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119" w:rsidRPr="009232B9" w:rsidRDefault="006F1119" w:rsidP="006F1119">
      <w:pPr>
        <w:pStyle w:val="berschrift2"/>
        <w:rPr>
          <w:rFonts w:cs="Arial"/>
          <w:sz w:val="22"/>
          <w:szCs w:val="22"/>
          <w:lang w:val="en-GB"/>
        </w:rPr>
      </w:pPr>
      <w:bookmarkStart w:id="0" w:name="_GoBack"/>
      <w:bookmarkEnd w:id="0"/>
      <w:r w:rsidRPr="009232B9">
        <w:rPr>
          <w:rFonts w:cs="Arial"/>
          <w:sz w:val="22"/>
          <w:szCs w:val="22"/>
          <w:lang w:val="en-GB"/>
        </w:rPr>
        <w:t>Additional file 3 – Category system</w:t>
      </w:r>
    </w:p>
    <w:p w:rsidR="006F1119" w:rsidRPr="00A46D3E" w:rsidRDefault="006F1119" w:rsidP="006F1119">
      <w:pPr>
        <w:rPr>
          <w:rFonts w:ascii="Arial" w:hAnsi="Arial" w:cs="Arial"/>
          <w:lang w:val="en-GB"/>
        </w:rPr>
      </w:pPr>
    </w:p>
    <w:tbl>
      <w:tblPr>
        <w:tblStyle w:val="Gitternetztabelle1hellAkzent31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70"/>
        <w:gridCol w:w="2336"/>
        <w:gridCol w:w="3402"/>
        <w:gridCol w:w="1438"/>
        <w:gridCol w:w="5002"/>
      </w:tblGrid>
      <w:tr w:rsidR="006F1119" w:rsidRPr="00A46D3E" w:rsidTr="00A46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Content</w:t>
            </w:r>
          </w:p>
        </w:tc>
        <w:tc>
          <w:tcPr>
            <w:tcW w:w="2336" w:type="dxa"/>
          </w:tcPr>
          <w:p w:rsidR="006F1119" w:rsidRPr="009232B9" w:rsidRDefault="006F1119" w:rsidP="006F1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Subcodes</w:t>
            </w:r>
            <w:proofErr w:type="spellEnd"/>
          </w:p>
        </w:tc>
        <w:tc>
          <w:tcPr>
            <w:tcW w:w="1438" w:type="dxa"/>
          </w:tcPr>
          <w:p w:rsidR="006F1119" w:rsidRPr="009232B9" w:rsidRDefault="006F1119" w:rsidP="006F1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Rules of coding</w:t>
            </w: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Category specification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 w:val="restart"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Personal information/ characteristics</w:t>
            </w: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One word</w:t>
            </w:r>
          </w:p>
        </w:tc>
        <w:tc>
          <w:tcPr>
            <w:tcW w:w="0" w:type="auto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30-39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Number [y]</w:t>
            </w:r>
          </w:p>
        </w:tc>
        <w:tc>
          <w:tcPr>
            <w:tcW w:w="0" w:type="auto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Years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40-49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50-59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60-69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Professional position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Methodological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One word</w:t>
            </w:r>
          </w:p>
        </w:tc>
        <w:tc>
          <w:tcPr>
            <w:tcW w:w="0" w:type="auto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Experts’ current occupation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Clinical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Time in professional position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&lt;1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Number or Word [y]</w:t>
            </w:r>
          </w:p>
        </w:tc>
        <w:tc>
          <w:tcPr>
            <w:tcW w:w="0" w:type="auto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Years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1-5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6-10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11-15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Tasks in PVG development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Development of general methodology/templates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 xml:space="preserve">Context </w:t>
            </w: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Coordination of PVG development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Organisation of patient involvement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Drafting of PVG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Drafting of PVG methods report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Experts’ participation in the development of methods reports for individual PVGs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Review of PVG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Dissemination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Number of accompanied PVGs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1-5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Number or Word</w:t>
            </w:r>
          </w:p>
        </w:tc>
        <w:tc>
          <w:tcPr>
            <w:tcW w:w="0" w:type="auto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Number of PVGs in whose development experts were involved, at minimum 1 PVG, since experts were identified through author lists of PVGs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6-10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31-35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 xml:space="preserve">Guideline program 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National Program for Disease Management Guidelines (NVL)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Word</w:t>
            </w:r>
          </w:p>
        </w:tc>
        <w:tc>
          <w:tcPr>
            <w:tcW w:w="0" w:type="auto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Guideline programs in which experts were involved during PVG development</w:t>
            </w: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German Guideline Program in Oncology (GGPO)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Years of experience in PVG development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&lt;1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Number or Word [y]</w:t>
            </w:r>
          </w:p>
        </w:tc>
        <w:tc>
          <w:tcPr>
            <w:tcW w:w="0" w:type="auto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Years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1-5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6-10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11-15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 w:val="restart"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Development process of PVGs</w:t>
            </w: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Development process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Structured process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 xml:space="preserve">Context </w:t>
            </w: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Descriptions of the PVG development as a formal/ structured process</w:t>
            </w: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Shortened process during updating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Descriptions of shortened procedures during the updating of PVGs in comparison to the regular updating process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Duration of development process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Start time of development process</w:t>
            </w:r>
          </w:p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Descriptions of the starting point of the PVG development process, such as during the con</w:t>
            </w:r>
            <w:r w:rsidR="009232B9">
              <w:rPr>
                <w:rFonts w:ascii="Arial" w:hAnsi="Arial" w:cs="Arial"/>
                <w:sz w:val="20"/>
                <w:szCs w:val="20"/>
                <w:lang w:val="en-GB"/>
              </w:rPr>
              <w:t>sultation phase or after finalis</w:t>
            </w: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ation of CPG</w:t>
            </w: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Editorial board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Descriptions on the acquisition/composition of the editorial board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Kick-off meeting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Conflicts of interest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Determining PVG content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Descriptions on the determination of the content and structure of a PVG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Development of draft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Review process</w:t>
            </w:r>
          </w:p>
          <w:p w:rsidR="006F1119" w:rsidRPr="009232B9" w:rsidRDefault="006F1119" w:rsidP="006F1119">
            <w:pPr>
              <w:numPr>
                <w:ilvl w:val="0"/>
                <w:numId w:val="1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Internal review process</w:t>
            </w:r>
          </w:p>
          <w:p w:rsidR="006F1119" w:rsidRPr="009232B9" w:rsidRDefault="006F1119" w:rsidP="006F1119">
            <w:pPr>
              <w:numPr>
                <w:ilvl w:val="0"/>
                <w:numId w:val="1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Public consultation</w:t>
            </w:r>
          </w:p>
          <w:p w:rsidR="006F1119" w:rsidRPr="009232B9" w:rsidRDefault="006F1119" w:rsidP="006F1119">
            <w:pPr>
              <w:numPr>
                <w:ilvl w:val="0"/>
                <w:numId w:val="1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Additional review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Dissemination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Influence factors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Extensive CPG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 xml:space="preserve">Context </w:t>
            </w: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Quality of CPG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Descriptions on the influence of methodological/reporting quality of CPGs on the development of PVGs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Patient representatives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Editorial Board</w:t>
            </w:r>
          </w:p>
          <w:p w:rsidR="006F1119" w:rsidRPr="009232B9" w:rsidRDefault="006F1119" w:rsidP="006F1119">
            <w:pPr>
              <w:numPr>
                <w:ilvl w:val="0"/>
                <w:numId w:val="1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Expertise on the subject</w:t>
            </w:r>
          </w:p>
          <w:p w:rsidR="006F1119" w:rsidRPr="009232B9" w:rsidRDefault="006F1119" w:rsidP="006F1119">
            <w:pPr>
              <w:numPr>
                <w:ilvl w:val="0"/>
                <w:numId w:val="1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Opposing perceptions</w:t>
            </w:r>
          </w:p>
          <w:p w:rsidR="006F1119" w:rsidRPr="009232B9" w:rsidRDefault="006F1119" w:rsidP="006F1119">
            <w:pPr>
              <w:numPr>
                <w:ilvl w:val="0"/>
                <w:numId w:val="1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Conflicts of interest</w:t>
            </w:r>
          </w:p>
          <w:p w:rsidR="006F1119" w:rsidRPr="009232B9" w:rsidRDefault="006F1119" w:rsidP="006F1119">
            <w:pPr>
              <w:numPr>
                <w:ilvl w:val="0"/>
                <w:numId w:val="1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 xml:space="preserve">Exchange between members </w:t>
            </w:r>
          </w:p>
          <w:p w:rsidR="006F1119" w:rsidRPr="009232B9" w:rsidRDefault="006F1119" w:rsidP="006F1119">
            <w:pPr>
              <w:numPr>
                <w:ilvl w:val="0"/>
                <w:numId w:val="1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Invariable pool of members</w:t>
            </w:r>
          </w:p>
          <w:p w:rsidR="006F1119" w:rsidRPr="009232B9" w:rsidRDefault="006F1119" w:rsidP="006F1119">
            <w:pPr>
              <w:numPr>
                <w:ilvl w:val="0"/>
                <w:numId w:val="1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Availability of members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Descriptions on the influence of the editorial board on the development of PVGs</w:t>
            </w:r>
          </w:p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Templates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Review process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 w:val="restart"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Up-to-dateness of PVGs</w:t>
            </w: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Up-to-dateness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General impression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 xml:space="preserve">Context </w:t>
            </w: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Exceptions in up-to-dateness</w:t>
            </w:r>
          </w:p>
          <w:p w:rsidR="006F1119" w:rsidRPr="009232B9" w:rsidRDefault="006F1119" w:rsidP="006F1119">
            <w:pPr>
              <w:numPr>
                <w:ilvl w:val="0"/>
                <w:numId w:val="15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Depending on chapter</w:t>
            </w:r>
          </w:p>
          <w:p w:rsidR="006F1119" w:rsidRPr="009232B9" w:rsidRDefault="006F1119" w:rsidP="006F1119">
            <w:pPr>
              <w:numPr>
                <w:ilvl w:val="0"/>
                <w:numId w:val="15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Depending on subject</w:t>
            </w:r>
          </w:p>
          <w:p w:rsidR="006F1119" w:rsidRPr="009232B9" w:rsidRDefault="006F1119" w:rsidP="006F1119">
            <w:pPr>
              <w:numPr>
                <w:ilvl w:val="0"/>
                <w:numId w:val="15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The judgement regarding the up-to-dateness depends on the topics and chapters of PVGs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Influence factors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Scientific progress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 xml:space="preserve">Context </w:t>
            </w: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Print version of PVG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Review process of PVG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Time of planning of PVG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Up-to-dateness/updating of CPG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Experts’ descriptions of the up-to-dateness or updating of CPGs as an influence factor on the up-to-dateness of PVGs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Time/personnel resources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Suggestions for improvement</w:t>
            </w: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Earlier onset of PVG development</w:t>
            </w:r>
          </w:p>
        </w:tc>
        <w:tc>
          <w:tcPr>
            <w:tcW w:w="1438" w:type="dxa"/>
            <w:vMerge w:val="restart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 xml:space="preserve">Context </w:t>
            </w: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Management of PVG development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Suggestions regarding the management of PVG development, such as defining clear responsibilities, timelines and milestones</w:t>
            </w: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Editorial board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Suggestions regarding the editorial board, such as time resources of members or responsibilities</w:t>
            </w:r>
          </w:p>
        </w:tc>
      </w:tr>
      <w:tr w:rsidR="006F1119" w:rsidRPr="009232B9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Dynamic processes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Suggestions regarding dynamic processes, such as amendments or living guidelines</w:t>
            </w: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2B9">
              <w:rPr>
                <w:rFonts w:ascii="Arial" w:hAnsi="Arial" w:cs="Arial"/>
                <w:sz w:val="20"/>
                <w:szCs w:val="20"/>
                <w:lang w:val="en-GB"/>
              </w:rPr>
              <w:t>Availability of resources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1119" w:rsidRPr="00A46D3E" w:rsidTr="00A46D3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vMerge/>
          </w:tcPr>
          <w:p w:rsidR="006F1119" w:rsidRPr="009232B9" w:rsidRDefault="006F1119" w:rsidP="006F11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36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</w:tcPr>
          <w:p w:rsidR="006F1119" w:rsidRPr="009232B9" w:rsidRDefault="009232B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Digitalis</w:t>
            </w:r>
            <w:r w:rsidR="006F1119" w:rsidRPr="009232B9">
              <w:rPr>
                <w:rFonts w:ascii="Arial" w:hAnsi="Arial" w:cs="Arial"/>
                <w:sz w:val="20"/>
                <w:szCs w:val="20"/>
                <w:lang w:val="en-GB"/>
              </w:rPr>
              <w:t>ation</w:t>
            </w:r>
          </w:p>
        </w:tc>
        <w:tc>
          <w:tcPr>
            <w:tcW w:w="1438" w:type="dxa"/>
            <w:vMerge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6F1119" w:rsidRPr="009232B9" w:rsidRDefault="006F1119" w:rsidP="006F1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6F1119" w:rsidRPr="00A46D3E" w:rsidRDefault="006F1119" w:rsidP="0012327C">
      <w:pPr>
        <w:spacing w:line="480" w:lineRule="auto"/>
        <w:rPr>
          <w:rFonts w:ascii="Arial" w:hAnsi="Arial" w:cs="Arial"/>
          <w:lang w:val="en-GB"/>
        </w:rPr>
      </w:pPr>
    </w:p>
    <w:sectPr w:rsidR="006F1119" w:rsidRPr="00A46D3E" w:rsidSect="006F11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089" w:rsidRDefault="00A46D3E">
      <w:pPr>
        <w:spacing w:after="0" w:line="240" w:lineRule="auto"/>
      </w:pPr>
      <w:r>
        <w:separator/>
      </w:r>
    </w:p>
  </w:endnote>
  <w:endnote w:type="continuationSeparator" w:id="0">
    <w:p w:rsidR="00431089" w:rsidRDefault="00A4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EEF" w:rsidRDefault="00DB1E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5599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B1EEF" w:rsidRPr="00DE34C8" w:rsidRDefault="00DB1EEF">
        <w:pPr>
          <w:pStyle w:val="Fuzeile"/>
          <w:jc w:val="right"/>
          <w:rPr>
            <w:sz w:val="20"/>
            <w:szCs w:val="20"/>
          </w:rPr>
        </w:pPr>
        <w:r w:rsidRPr="00DE34C8">
          <w:rPr>
            <w:sz w:val="20"/>
            <w:szCs w:val="20"/>
          </w:rPr>
          <w:fldChar w:fldCharType="begin"/>
        </w:r>
        <w:r w:rsidRPr="00DE34C8">
          <w:rPr>
            <w:sz w:val="20"/>
            <w:szCs w:val="20"/>
          </w:rPr>
          <w:instrText>PAGE   \* MERGEFORMAT</w:instrText>
        </w:r>
        <w:r w:rsidRPr="00DE34C8">
          <w:rPr>
            <w:sz w:val="20"/>
            <w:szCs w:val="20"/>
          </w:rPr>
          <w:fldChar w:fldCharType="separate"/>
        </w:r>
        <w:r w:rsidR="00DE34C8">
          <w:rPr>
            <w:noProof/>
            <w:sz w:val="20"/>
            <w:szCs w:val="20"/>
          </w:rPr>
          <w:t>2</w:t>
        </w:r>
        <w:r w:rsidRPr="00DE34C8">
          <w:rPr>
            <w:sz w:val="20"/>
            <w:szCs w:val="20"/>
          </w:rPr>
          <w:fldChar w:fldCharType="end"/>
        </w:r>
      </w:p>
    </w:sdtContent>
  </w:sdt>
  <w:p w:rsidR="00BE73E6" w:rsidRDefault="00BE73E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EEF" w:rsidRDefault="00DB1E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089" w:rsidRDefault="00A46D3E">
      <w:pPr>
        <w:spacing w:after="0" w:line="240" w:lineRule="auto"/>
      </w:pPr>
      <w:r>
        <w:separator/>
      </w:r>
    </w:p>
  </w:footnote>
  <w:footnote w:type="continuationSeparator" w:id="0">
    <w:p w:rsidR="00431089" w:rsidRDefault="00A46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EEF" w:rsidRDefault="00DB1E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7D8" w:rsidRPr="00DF17D8" w:rsidRDefault="00DF17D8">
    <w:pPr>
      <w:pStyle w:val="Kopfzeile"/>
      <w:rPr>
        <w:rFonts w:ascii="Arial" w:hAnsi="Arial" w:cs="Arial"/>
        <w:sz w:val="20"/>
        <w:lang w:val="en-GB"/>
      </w:rPr>
    </w:pPr>
    <w:r w:rsidRPr="006B7AE7">
      <w:rPr>
        <w:rFonts w:ascii="Arial" w:hAnsi="Arial" w:cs="Arial"/>
        <w:sz w:val="20"/>
        <w:lang w:val="en-GB"/>
      </w:rPr>
      <w:t>Up-to-dateness of patient versions of clinical practice guidelines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EEF" w:rsidRDefault="00DB1E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E33"/>
    <w:multiLevelType w:val="hybridMultilevel"/>
    <w:tmpl w:val="B97094B0"/>
    <w:lvl w:ilvl="0" w:tplc="0407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190F7C37"/>
    <w:multiLevelType w:val="hybridMultilevel"/>
    <w:tmpl w:val="539E4C1C"/>
    <w:lvl w:ilvl="0" w:tplc="FA7E51D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2D7381"/>
    <w:multiLevelType w:val="hybridMultilevel"/>
    <w:tmpl w:val="E4BCC0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C86262"/>
    <w:multiLevelType w:val="hybridMultilevel"/>
    <w:tmpl w:val="331AEC30"/>
    <w:lvl w:ilvl="0" w:tplc="FA7E51D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518E3B1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E62293"/>
    <w:multiLevelType w:val="hybridMultilevel"/>
    <w:tmpl w:val="2B5A9A00"/>
    <w:lvl w:ilvl="0" w:tplc="FA7E51D2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7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E1D5BBF"/>
    <w:multiLevelType w:val="hybridMultilevel"/>
    <w:tmpl w:val="FB2088C6"/>
    <w:lvl w:ilvl="0" w:tplc="FA7E51D2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2FF1B36"/>
    <w:multiLevelType w:val="hybridMultilevel"/>
    <w:tmpl w:val="3BB27CF0"/>
    <w:lvl w:ilvl="0" w:tplc="FA7E51D2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3406787"/>
    <w:multiLevelType w:val="hybridMultilevel"/>
    <w:tmpl w:val="671E5988"/>
    <w:lvl w:ilvl="0" w:tplc="0407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67B396D"/>
    <w:multiLevelType w:val="hybridMultilevel"/>
    <w:tmpl w:val="ACEC7A0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94AD3"/>
    <w:multiLevelType w:val="hybridMultilevel"/>
    <w:tmpl w:val="6C74368A"/>
    <w:lvl w:ilvl="0" w:tplc="518E3B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2755F"/>
    <w:multiLevelType w:val="hybridMultilevel"/>
    <w:tmpl w:val="F9FCF7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B65BF2"/>
    <w:multiLevelType w:val="hybridMultilevel"/>
    <w:tmpl w:val="866677DE"/>
    <w:lvl w:ilvl="0" w:tplc="518E3B1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B7D0897"/>
    <w:multiLevelType w:val="hybridMultilevel"/>
    <w:tmpl w:val="81202384"/>
    <w:lvl w:ilvl="0" w:tplc="518E3B1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FF917C5"/>
    <w:multiLevelType w:val="hybridMultilevel"/>
    <w:tmpl w:val="146837A0"/>
    <w:lvl w:ilvl="0" w:tplc="0407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 w15:restartNumberingAfterBreak="0">
    <w:nsid w:val="76EE5C2B"/>
    <w:multiLevelType w:val="hybridMultilevel"/>
    <w:tmpl w:val="371809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13"/>
  </w:num>
  <w:num w:numId="5">
    <w:abstractNumId w:val="12"/>
  </w:num>
  <w:num w:numId="6">
    <w:abstractNumId w:val="4"/>
  </w:num>
  <w:num w:numId="7">
    <w:abstractNumId w:val="5"/>
  </w:num>
  <w:num w:numId="8">
    <w:abstractNumId w:val="3"/>
  </w:num>
  <w:num w:numId="9">
    <w:abstractNumId w:val="9"/>
  </w:num>
  <w:num w:numId="10">
    <w:abstractNumId w:val="0"/>
  </w:num>
  <w:num w:numId="11">
    <w:abstractNumId w:val="8"/>
  </w:num>
  <w:num w:numId="12">
    <w:abstractNumId w:val="6"/>
  </w:num>
  <w:num w:numId="13">
    <w:abstractNumId w:val="1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E6"/>
    <w:rsid w:val="0012327C"/>
    <w:rsid w:val="002938D8"/>
    <w:rsid w:val="00431089"/>
    <w:rsid w:val="00645BF8"/>
    <w:rsid w:val="006F1119"/>
    <w:rsid w:val="009232B9"/>
    <w:rsid w:val="009912FD"/>
    <w:rsid w:val="00A46D3E"/>
    <w:rsid w:val="00BE73E6"/>
    <w:rsid w:val="00CB41E1"/>
    <w:rsid w:val="00DB1EEF"/>
    <w:rsid w:val="00DE34C8"/>
    <w:rsid w:val="00DF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A9994-1756-43AF-8EAB-B7880819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aliases w:val="Ü1"/>
    <w:basedOn w:val="Standard"/>
    <w:next w:val="Standard"/>
    <w:link w:val="berschrift1Zchn"/>
    <w:uiPriority w:val="9"/>
    <w:qFormat/>
    <w:rsid w:val="00BE73E6"/>
    <w:pPr>
      <w:keepNext/>
      <w:keepLines/>
      <w:spacing w:before="240" w:after="0"/>
      <w:jc w:val="both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berschrift2">
    <w:name w:val="heading 2"/>
    <w:aliases w:val="Ü2"/>
    <w:basedOn w:val="Standard"/>
    <w:next w:val="Standard"/>
    <w:link w:val="berschrift2Zchn"/>
    <w:uiPriority w:val="9"/>
    <w:unhideWhenUsed/>
    <w:qFormat/>
    <w:rsid w:val="00BE73E6"/>
    <w:pPr>
      <w:keepNext/>
      <w:keepLines/>
      <w:spacing w:before="40" w:after="0"/>
      <w:jc w:val="both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E73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73E6"/>
  </w:style>
  <w:style w:type="character" w:customStyle="1" w:styleId="berschrift1Zchn">
    <w:name w:val="Überschrift 1 Zchn"/>
    <w:aliases w:val="Ü1 Zchn"/>
    <w:basedOn w:val="Absatz-Standardschriftart"/>
    <w:link w:val="berschrift1"/>
    <w:uiPriority w:val="9"/>
    <w:rsid w:val="00BE73E6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9"/>
    <w:rsid w:val="00BE73E6"/>
    <w:rPr>
      <w:rFonts w:ascii="Arial" w:eastAsiaTheme="majorEastAsia" w:hAnsi="Arial" w:cstheme="majorBidi"/>
      <w:b/>
      <w:sz w:val="24"/>
      <w:szCs w:val="26"/>
    </w:rPr>
  </w:style>
  <w:style w:type="paragraph" w:styleId="Listenabsatz">
    <w:name w:val="List Paragraph"/>
    <w:basedOn w:val="Standard"/>
    <w:uiPriority w:val="34"/>
    <w:qFormat/>
    <w:rsid w:val="0012327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912FD"/>
    <w:rPr>
      <w:color w:val="0563C1" w:themeColor="hyperlink"/>
      <w:u w:val="single"/>
    </w:rPr>
  </w:style>
  <w:style w:type="table" w:customStyle="1" w:styleId="Gitternetztabelle1hellAkzent31">
    <w:name w:val="Gitternetztabelle 1 hell  – Akzent 31"/>
    <w:basedOn w:val="NormaleTabelle"/>
    <w:next w:val="Gitternetztabelle1hellAkzent3"/>
    <w:uiPriority w:val="46"/>
    <w:rsid w:val="006F1119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6F111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fzeile">
    <w:name w:val="header"/>
    <w:basedOn w:val="Standard"/>
    <w:link w:val="KopfzeileZchn"/>
    <w:uiPriority w:val="99"/>
    <w:unhideWhenUsed/>
    <w:rsid w:val="00DF1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1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500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Proposal for Master Thesis</vt:lpstr>
    </vt:vector>
  </TitlesOfParts>
  <Company>Universität Witten/Herdecke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 Master Thesis</dc:title>
  <dc:subject>Timeliness of patient versions of clinical practice guidelines and potential methodological influencing factors: a mixed-methods analysis of patient versions of guidelines.</dc:subject>
  <dc:creator>Hellbrecht, Irma</dc:creator>
  <cp:keywords/>
  <dc:description/>
  <cp:lastModifiedBy>Hellbrecht, Irma</cp:lastModifiedBy>
  <cp:revision>6</cp:revision>
  <dcterms:created xsi:type="dcterms:W3CDTF">2023-09-14T09:20:00Z</dcterms:created>
  <dcterms:modified xsi:type="dcterms:W3CDTF">2023-10-04T10:58:00Z</dcterms:modified>
</cp:coreProperties>
</file>