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220F7" w14:textId="5276707F" w:rsidR="006D7463" w:rsidRPr="00B90F1F" w:rsidRDefault="00D14C8B" w:rsidP="00FD0E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B90F1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Additional File 1</w:t>
      </w:r>
      <w:bookmarkStart w:id="0" w:name="_GoBack"/>
      <w:bookmarkEnd w:id="0"/>
    </w:p>
    <w:p w14:paraId="24C69F8A" w14:textId="697EDF30" w:rsidR="00B37002" w:rsidRPr="00FD0EBA" w:rsidRDefault="00B37002" w:rsidP="00FD0E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A list of all the indicators and their definitions and cut-offs have been provided.</w:t>
      </w:r>
    </w:p>
    <w:p w14:paraId="48F5F939" w14:textId="6002A9C4" w:rsidR="00FD0EBA" w:rsidRPr="00FD0EBA" w:rsidRDefault="00FD0EBA" w:rsidP="00FD0EBA">
      <w:pPr>
        <w:spacing w:after="0" w:line="240" w:lineRule="auto"/>
        <w:ind w:left="720" w:hanging="720"/>
        <w:jc w:val="both"/>
        <w:rPr>
          <w:rFonts w:ascii="Times New Roman" w:eastAsia="Calibri" w:hAnsi="Times New Roman" w:cs="Times New Roman"/>
          <w:b/>
          <w:lang w:val="en-US"/>
        </w:rPr>
      </w:pPr>
      <w:r w:rsidRPr="00FD0EB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Table 1: Binary indicators of vulnerability and their definitions </w:t>
      </w:r>
      <w:r w:rsidRPr="00FD0EBA">
        <w:rPr>
          <w:rFonts w:ascii="Times New Roman" w:eastAsia="Calibri" w:hAnsi="Times New Roman" w:cs="Times New Roman"/>
          <w:b/>
          <w:lang w:val="en-US"/>
        </w:rPr>
        <w:t xml:space="preserve"> </w:t>
      </w:r>
    </w:p>
    <w:tbl>
      <w:tblPr>
        <w:tblStyle w:val="TableGrid"/>
        <w:tblW w:w="8018" w:type="dxa"/>
        <w:tblLayout w:type="fixed"/>
        <w:tblLook w:val="04A0" w:firstRow="1" w:lastRow="0" w:firstColumn="1" w:lastColumn="0" w:noHBand="0" w:noVBand="1"/>
      </w:tblPr>
      <w:tblGrid>
        <w:gridCol w:w="1705"/>
        <w:gridCol w:w="6313"/>
      </w:tblGrid>
      <w:tr w:rsidR="00FD0EBA" w:rsidRPr="00FD0EBA" w14:paraId="031117AC" w14:textId="77777777" w:rsidTr="00FD0EBA">
        <w:trPr>
          <w:trHeight w:val="173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6D5BB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b/>
                <w:lang w:val="en-US"/>
              </w:rPr>
              <w:t xml:space="preserve">Variables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21F21" w14:textId="77777777" w:rsidR="00FD0EBA" w:rsidRPr="00FD0EBA" w:rsidRDefault="00FD0EBA" w:rsidP="00FD0EBA">
            <w:pPr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b/>
                <w:lang w:val="en-US"/>
              </w:rPr>
              <w:t xml:space="preserve">Definitions </w:t>
            </w:r>
          </w:p>
        </w:tc>
      </w:tr>
      <w:tr w:rsidR="00FD0EBA" w:rsidRPr="00FD0EBA" w14:paraId="670134AB" w14:textId="77777777" w:rsidTr="00FD0EBA">
        <w:trPr>
          <w:trHeight w:val="173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5DD6D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Big house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C846D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6 or more members (1); 1-5 members (0)</w:t>
            </w:r>
          </w:p>
        </w:tc>
      </w:tr>
      <w:tr w:rsidR="00FD0EBA" w:rsidRPr="00FD0EBA" w14:paraId="28C27B6D" w14:textId="77777777" w:rsidTr="00FD0EBA">
        <w:trPr>
          <w:trHeight w:val="215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E739E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Elderly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632AA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At least one elderly (1); no elderly (0)</w:t>
            </w:r>
          </w:p>
        </w:tc>
      </w:tr>
      <w:tr w:rsidR="00FD0EBA" w:rsidRPr="00FD0EBA" w14:paraId="658F21B5" w14:textId="77777777" w:rsidTr="00FD0EBA">
        <w:trPr>
          <w:trHeight w:val="26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5CC01" w14:textId="77777777" w:rsidR="00FD0EBA" w:rsidRPr="00FD0EBA" w:rsidRDefault="00FD0EBA" w:rsidP="00FD0EBA">
            <w:pPr>
              <w:tabs>
                <w:tab w:val="left" w:pos="1336"/>
              </w:tabs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Children </w:t>
            </w:r>
            <w:r w:rsidRPr="00FD0EBA">
              <w:rPr>
                <w:rFonts w:ascii="Times New Roman" w:eastAsia="Calibri" w:hAnsi="Times New Roman" w:cs="Times New Roman"/>
                <w:lang w:val="en-US"/>
              </w:rPr>
              <w:tab/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0202D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More than two children (1); two or less children (0)</w:t>
            </w:r>
          </w:p>
        </w:tc>
      </w:tr>
      <w:tr w:rsidR="00FD0EBA" w:rsidRPr="00FD0EBA" w14:paraId="6800D7B5" w14:textId="77777777" w:rsidTr="00FD0EBA">
        <w:trPr>
          <w:trHeight w:val="26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01E8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Chronic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F035C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At least one chronically ill person (1): no chronically ill person (0)</w:t>
            </w:r>
          </w:p>
        </w:tc>
      </w:tr>
      <w:tr w:rsidR="00FD0EBA" w:rsidRPr="00FD0EBA" w14:paraId="29155699" w14:textId="77777777" w:rsidTr="00FD0EBA">
        <w:trPr>
          <w:trHeight w:val="26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01B31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Acute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FD183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At least one acute ill person (1): no acute ill person (0)</w:t>
            </w:r>
          </w:p>
        </w:tc>
      </w:tr>
      <w:tr w:rsidR="00FD0EBA" w:rsidRPr="00FD0EBA" w14:paraId="06E5A57E" w14:textId="77777777" w:rsidTr="00FD0EBA">
        <w:trPr>
          <w:trHeight w:val="35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7F46A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Female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4F43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More than two female of reproductive age group (1); 2 or less female of reproductive age group (0) </w:t>
            </w:r>
          </w:p>
        </w:tc>
      </w:tr>
      <w:tr w:rsidR="00FD0EBA" w:rsidRPr="00FD0EBA" w14:paraId="6C2BCA02" w14:textId="77777777" w:rsidTr="00FD0EBA">
        <w:trPr>
          <w:trHeight w:val="187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A98D5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Poor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5F6DA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Household with PCCE &lt;Rs1000 (1); household with PCCE &gt;= Rs. 1000 (0)</w:t>
            </w:r>
          </w:p>
        </w:tc>
      </w:tr>
      <w:tr w:rsidR="00FD0EBA" w:rsidRPr="00FD0EBA" w14:paraId="7B420F0C" w14:textId="77777777" w:rsidTr="00FD0EBA">
        <w:trPr>
          <w:trHeight w:val="17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18D22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Insurance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04C75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More than half of the family members having no insurance coverage (1); more than half of the family members having insurance coverage (0) </w:t>
            </w:r>
          </w:p>
        </w:tc>
      </w:tr>
      <w:tr w:rsidR="00FD0EBA" w:rsidRPr="00FD0EBA" w14:paraId="6F30B067" w14:textId="77777777" w:rsidTr="00FD0EBA">
        <w:trPr>
          <w:trHeight w:val="251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84ACD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proofErr w:type="spellStart"/>
            <w:r w:rsidRPr="00FD0EBA">
              <w:rPr>
                <w:rFonts w:ascii="Times New Roman" w:eastAsia="Calibri" w:hAnsi="Times New Roman" w:cs="Times New Roman"/>
                <w:lang w:val="en-US"/>
              </w:rPr>
              <w:t>Labour</w:t>
            </w:r>
            <w:proofErr w:type="spellEnd"/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75A9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Casual </w:t>
            </w:r>
            <w:proofErr w:type="spellStart"/>
            <w:r w:rsidRPr="00FD0EBA">
              <w:rPr>
                <w:rFonts w:ascii="Times New Roman" w:eastAsia="Calibri" w:hAnsi="Times New Roman" w:cs="Times New Roman"/>
                <w:lang w:val="en-US"/>
              </w:rPr>
              <w:t>labour</w:t>
            </w:r>
            <w:proofErr w:type="spellEnd"/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 households (1); self-employed, regular wage/salaried, other households (0) </w:t>
            </w:r>
          </w:p>
        </w:tc>
      </w:tr>
      <w:tr w:rsidR="00FD0EBA" w:rsidRPr="00FD0EBA" w14:paraId="555B7886" w14:textId="77777777" w:rsidTr="00FD0EBA">
        <w:trPr>
          <w:trHeight w:val="224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C61B8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Hospitalization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DA4E3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Any episode of hospitalization (1); no episode of hospitalization (0)</w:t>
            </w:r>
          </w:p>
        </w:tc>
      </w:tr>
      <w:tr w:rsidR="00FD0EBA" w:rsidRPr="00FD0EBA" w14:paraId="624B67F4" w14:textId="77777777" w:rsidTr="00FD0EBA">
        <w:trPr>
          <w:trHeight w:val="35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8146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Private hospitalization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B370A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At last one episode of hospitalization in private hospital (1); no case of private hospitalization (0) </w:t>
            </w:r>
          </w:p>
        </w:tc>
      </w:tr>
      <w:tr w:rsidR="00FD0EBA" w:rsidRPr="00FD0EBA" w14:paraId="2F274894" w14:textId="77777777" w:rsidTr="00FD0EBA">
        <w:trPr>
          <w:trHeight w:val="332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FD615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Outside district hospitalization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4A053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At least one episode of hospitalization outside district (1); no episode of hospitalization outside district (0) </w:t>
            </w:r>
          </w:p>
        </w:tc>
      </w:tr>
      <w:tr w:rsidR="00FD0EBA" w:rsidRPr="00FD0EBA" w14:paraId="49B30EF7" w14:textId="77777777" w:rsidTr="00FD0EBA">
        <w:trPr>
          <w:trHeight w:val="332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817A0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OP visits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F1A5B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More than 2 OP visits (1); 2 or less than 2 episode of OP visit (0)</w:t>
            </w:r>
          </w:p>
        </w:tc>
      </w:tr>
      <w:tr w:rsidR="00FD0EBA" w:rsidRPr="00FD0EBA" w14:paraId="4477ACF4" w14:textId="77777777" w:rsidTr="00FD0EBA">
        <w:trPr>
          <w:trHeight w:val="233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207DF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Private OP visits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4F6A9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2 or more OP visit to private facility (1): no visit or single visit (0) </w:t>
            </w:r>
          </w:p>
        </w:tc>
      </w:tr>
      <w:tr w:rsidR="00FD0EBA" w:rsidRPr="00FD0EBA" w14:paraId="6FE2CF04" w14:textId="77777777" w:rsidTr="00FD0EBA">
        <w:trPr>
          <w:trHeight w:val="26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2D446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Outside district OP visit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64DC8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At least one OP visits outside district (1): no OP visit outside district (0) </w:t>
            </w:r>
          </w:p>
        </w:tc>
      </w:tr>
      <w:tr w:rsidR="00FD0EBA" w:rsidRPr="00FD0EBA" w14:paraId="7D49068E" w14:textId="77777777" w:rsidTr="00FD0EBA">
        <w:trPr>
          <w:trHeight w:val="36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CB2BA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Catastrophic health expenditure1 (Threshold1)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8787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Out-of-pocket health expenditure as a percentage of household consumption expenditure &gt; 10% (1); &lt;=10 % (0) </w:t>
            </w:r>
          </w:p>
        </w:tc>
      </w:tr>
      <w:tr w:rsidR="00FD0EBA" w:rsidRPr="00FD0EBA" w14:paraId="6E07868D" w14:textId="77777777" w:rsidTr="00FD0EBA">
        <w:trPr>
          <w:trHeight w:val="36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D5E7C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>Catastrophic health expenditure2 (Threshold2)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EA046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Out-of-pocket health expenditure as a percentage of household non-food consumption expenditure &gt; 40% (1); &lt;=40 % (0) </w:t>
            </w:r>
          </w:p>
        </w:tc>
      </w:tr>
      <w:tr w:rsidR="00FD0EBA" w:rsidRPr="00FD0EBA" w14:paraId="7C35210D" w14:textId="77777777" w:rsidTr="00FD0EBA">
        <w:trPr>
          <w:trHeight w:val="375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1C95B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Distress finance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84E4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For at least one episode of hospitalization, the major source of financing out-of-pocket expenditure is by borrowing or contribution from friends/relatives or by selling assets (1): by other sources (0) </w:t>
            </w:r>
          </w:p>
        </w:tc>
      </w:tr>
      <w:tr w:rsidR="00FD0EBA" w:rsidRPr="00FD0EBA" w14:paraId="6CA93FE1" w14:textId="77777777" w:rsidTr="00FD0EBA">
        <w:trPr>
          <w:trHeight w:val="375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E43D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Low/No healthcare 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BD06" w14:textId="77777777" w:rsidR="00FD0EBA" w:rsidRPr="00FD0EBA" w:rsidRDefault="00FD0EBA" w:rsidP="00FD0EBA">
            <w:pPr>
              <w:rPr>
                <w:rFonts w:ascii="Times New Roman" w:eastAsia="Calibri" w:hAnsi="Times New Roman" w:cs="Times New Roman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lang w:val="en-US"/>
              </w:rPr>
              <w:t xml:space="preserve">At least one untreated or informal medical care when the ill person was on restricted activity or confined to bed (1): otherwise (0) </w:t>
            </w:r>
          </w:p>
        </w:tc>
      </w:tr>
    </w:tbl>
    <w:p w14:paraId="34049D7D" w14:textId="77777777" w:rsidR="00FD0EBA" w:rsidRPr="00FD0EBA" w:rsidRDefault="00FD0EBA" w:rsidP="00FD0EBA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FD0EBA">
        <w:rPr>
          <w:rFonts w:ascii="Times New Roman" w:eastAsia="Calibri" w:hAnsi="Times New Roman" w:cs="Times New Roman"/>
          <w:sz w:val="20"/>
        </w:rPr>
        <w:t xml:space="preserve">Source: Estimated from Birbhum Population Project Survey data (2012). </w:t>
      </w:r>
    </w:p>
    <w:p w14:paraId="301A9CE7" w14:textId="77777777" w:rsidR="00FD0EBA" w:rsidRPr="00FD0EBA" w:rsidRDefault="00FD0EBA" w:rsidP="00FD0E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16902E97" w14:textId="77777777" w:rsidR="00FD0EBA" w:rsidRPr="00FD0EBA" w:rsidRDefault="00FD0EBA" w:rsidP="00FD0EB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4581BDE" w14:textId="77777777" w:rsidR="00FD0EBA" w:rsidRPr="00FD0EBA" w:rsidRDefault="00FD0EBA" w:rsidP="00FD0EB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331D24A" w14:textId="77777777" w:rsidR="00FD0EBA" w:rsidRPr="00FD0EBA" w:rsidRDefault="00FD0EBA" w:rsidP="00FD0EB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95D3508" w14:textId="77777777" w:rsidR="00FD0EBA" w:rsidRPr="00FD0EBA" w:rsidRDefault="00FD0EBA" w:rsidP="00FD0EB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8DF5E8B" w14:textId="77777777" w:rsidR="006F3D9D" w:rsidRDefault="006F3D9D"/>
    <w:sectPr w:rsidR="006F3D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BA"/>
    <w:rsid w:val="006D7463"/>
    <w:rsid w:val="006F3D9D"/>
    <w:rsid w:val="00B37002"/>
    <w:rsid w:val="00B90F1F"/>
    <w:rsid w:val="00D14C8B"/>
    <w:rsid w:val="00FD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33D84"/>
  <w15:chartTrackingRefBased/>
  <w15:docId w15:val="{83858B30-82B4-46DF-BA86-CD42D4D0E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FD0EBA"/>
    <w:pPr>
      <w:spacing w:after="0" w:line="240" w:lineRule="auto"/>
    </w:pPr>
    <w:rPr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dasgupta</dc:creator>
  <cp:keywords/>
  <dc:description/>
  <cp:lastModifiedBy>priyanka dasgupta</cp:lastModifiedBy>
  <cp:revision>4</cp:revision>
  <dcterms:created xsi:type="dcterms:W3CDTF">2020-06-08T06:47:00Z</dcterms:created>
  <dcterms:modified xsi:type="dcterms:W3CDTF">2020-06-08T10:00:00Z</dcterms:modified>
</cp:coreProperties>
</file>