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03BCB" w14:textId="1BD32C43" w:rsidR="00521AB0" w:rsidRDefault="00521AB0" w:rsidP="00521AB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Additional File 2</w:t>
      </w:r>
    </w:p>
    <w:p w14:paraId="0F55C522" w14:textId="68786511" w:rsidR="008765B3" w:rsidRDefault="008765B3" w:rsidP="00521AB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14:paraId="6B6F55ED" w14:textId="5AAFB6E3" w:rsidR="00521AB0" w:rsidRDefault="008765B3" w:rsidP="00521AB0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AC7F56">
        <w:rPr>
          <w:rFonts w:ascii="Times New Roman" w:eastAsia="Calibri" w:hAnsi="Times New Roman" w:cs="Times New Roman"/>
          <w:bCs/>
          <w:sz w:val="24"/>
        </w:rPr>
        <w:t xml:space="preserve">In </w:t>
      </w:r>
      <w:r w:rsidR="003C2F23">
        <w:rPr>
          <w:rFonts w:ascii="Times New Roman" w:eastAsia="Calibri" w:hAnsi="Times New Roman" w:cs="Times New Roman"/>
          <w:bCs/>
          <w:sz w:val="24"/>
        </w:rPr>
        <w:t>T</w:t>
      </w:r>
      <w:r w:rsidRPr="00AC7F56">
        <w:rPr>
          <w:rFonts w:ascii="Times New Roman" w:eastAsia="Calibri" w:hAnsi="Times New Roman" w:cs="Times New Roman"/>
          <w:bCs/>
          <w:sz w:val="24"/>
        </w:rPr>
        <w:t>able 1</w:t>
      </w:r>
      <w:r w:rsidR="003E207E">
        <w:rPr>
          <w:rFonts w:ascii="Times New Roman" w:eastAsia="Calibri" w:hAnsi="Times New Roman" w:cs="Times New Roman"/>
          <w:bCs/>
          <w:sz w:val="24"/>
        </w:rPr>
        <w:t xml:space="preserve"> and Table 2</w:t>
      </w:r>
      <w:r w:rsidRPr="00AC7F56">
        <w:rPr>
          <w:rFonts w:ascii="Times New Roman" w:eastAsia="Calibri" w:hAnsi="Times New Roman" w:cs="Times New Roman"/>
          <w:bCs/>
          <w:sz w:val="24"/>
        </w:rPr>
        <w:t xml:space="preserve">, distribution across socio-religious categories </w:t>
      </w:r>
      <w:r w:rsidR="003E207E">
        <w:rPr>
          <w:rFonts w:ascii="Times New Roman" w:eastAsia="Calibri" w:hAnsi="Times New Roman" w:cs="Times New Roman"/>
          <w:bCs/>
          <w:sz w:val="24"/>
        </w:rPr>
        <w:t xml:space="preserve">and income groups </w:t>
      </w:r>
      <w:r w:rsidR="00AC7F56">
        <w:rPr>
          <w:rFonts w:ascii="Times New Roman" w:eastAsia="Calibri" w:hAnsi="Times New Roman" w:cs="Times New Roman"/>
          <w:bCs/>
          <w:sz w:val="24"/>
        </w:rPr>
        <w:t xml:space="preserve">is </w:t>
      </w:r>
      <w:r w:rsidR="00C42227">
        <w:rPr>
          <w:rFonts w:ascii="Times New Roman" w:eastAsia="Calibri" w:hAnsi="Times New Roman" w:cs="Times New Roman"/>
          <w:bCs/>
          <w:sz w:val="24"/>
        </w:rPr>
        <w:t xml:space="preserve">observed for both threshold </w:t>
      </w:r>
      <w:r w:rsidR="007021E1">
        <w:rPr>
          <w:rFonts w:ascii="Times New Roman" w:eastAsia="Calibri" w:hAnsi="Times New Roman" w:cs="Times New Roman"/>
          <w:bCs/>
          <w:sz w:val="24"/>
        </w:rPr>
        <w:t xml:space="preserve">centric approach </w:t>
      </w:r>
      <w:r w:rsidR="00C42227">
        <w:rPr>
          <w:rFonts w:ascii="Times New Roman" w:eastAsia="Calibri" w:hAnsi="Times New Roman" w:cs="Times New Roman"/>
          <w:bCs/>
          <w:sz w:val="24"/>
        </w:rPr>
        <w:t xml:space="preserve">and multidimensional approach. </w:t>
      </w:r>
      <w:r w:rsidR="003C2F23">
        <w:rPr>
          <w:rFonts w:ascii="Times New Roman" w:eastAsia="Calibri" w:hAnsi="Times New Roman" w:cs="Times New Roman"/>
          <w:bCs/>
          <w:sz w:val="24"/>
        </w:rPr>
        <w:t xml:space="preserve">Comparison of the distributions is meaningful because the total percentage of households in both the approaches </w:t>
      </w:r>
      <w:r w:rsidR="007021E1">
        <w:rPr>
          <w:rFonts w:ascii="Times New Roman" w:eastAsia="Calibri" w:hAnsi="Times New Roman" w:cs="Times New Roman"/>
          <w:bCs/>
          <w:sz w:val="24"/>
        </w:rPr>
        <w:t>is almost equal (18.</w:t>
      </w:r>
      <w:r w:rsidR="004E262D">
        <w:rPr>
          <w:rFonts w:ascii="Times New Roman" w:eastAsia="Calibri" w:hAnsi="Times New Roman" w:cs="Times New Roman"/>
          <w:bCs/>
          <w:sz w:val="24"/>
        </w:rPr>
        <w:t xml:space="preserve">50 per cent for </w:t>
      </w:r>
      <w:r w:rsidR="004E262D" w:rsidRPr="00FD0EBA">
        <w:rPr>
          <w:rFonts w:ascii="Times New Roman" w:eastAsia="Calibri" w:hAnsi="Times New Roman" w:cs="Times New Roman"/>
        </w:rPr>
        <w:t>Wagstaff and van Doorslaer approach</w:t>
      </w:r>
      <w:r w:rsidR="004E262D">
        <w:rPr>
          <w:rFonts w:ascii="Times New Roman" w:eastAsia="Calibri" w:hAnsi="Times New Roman" w:cs="Times New Roman"/>
        </w:rPr>
        <w:t xml:space="preserve"> and 18.32 per cent for </w:t>
      </w:r>
      <w:r w:rsidR="004E262D">
        <w:rPr>
          <w:rFonts w:ascii="Times New Roman" w:eastAsia="Calibri" w:hAnsi="Times New Roman" w:cs="Times New Roman"/>
          <w:bCs/>
          <w:sz w:val="24"/>
        </w:rPr>
        <w:t>multidimensional approach</w:t>
      </w:r>
      <w:r w:rsidR="007021E1">
        <w:rPr>
          <w:rFonts w:ascii="Times New Roman" w:eastAsia="Calibri" w:hAnsi="Times New Roman" w:cs="Times New Roman"/>
          <w:bCs/>
          <w:sz w:val="24"/>
        </w:rPr>
        <w:t>)</w:t>
      </w:r>
      <w:r w:rsidR="003E207E">
        <w:rPr>
          <w:rFonts w:ascii="Times New Roman" w:eastAsia="Calibri" w:hAnsi="Times New Roman" w:cs="Times New Roman"/>
          <w:bCs/>
          <w:sz w:val="24"/>
        </w:rPr>
        <w:t xml:space="preserve">. This </w:t>
      </w:r>
      <w:r w:rsidR="00BF7C2A">
        <w:rPr>
          <w:rFonts w:ascii="Times New Roman" w:eastAsia="Calibri" w:hAnsi="Times New Roman" w:cs="Times New Roman"/>
          <w:bCs/>
          <w:sz w:val="24"/>
        </w:rPr>
        <w:t xml:space="preserve">analysis shows the variation in distribution using both the approaches. </w:t>
      </w:r>
      <w:r w:rsidR="008D5661">
        <w:rPr>
          <w:rFonts w:ascii="Times New Roman" w:eastAsia="Calibri" w:hAnsi="Times New Roman" w:cs="Times New Roman"/>
          <w:bCs/>
          <w:sz w:val="24"/>
        </w:rPr>
        <w:t>T</w:t>
      </w:r>
      <w:r w:rsidR="00317FFD">
        <w:rPr>
          <w:rFonts w:ascii="Times New Roman" w:eastAsia="Calibri" w:hAnsi="Times New Roman" w:cs="Times New Roman"/>
          <w:bCs/>
          <w:sz w:val="24"/>
        </w:rPr>
        <w:t>he distribution of households following multidimensional approach is more pro-poor</w:t>
      </w:r>
      <w:r w:rsidR="008D5661">
        <w:rPr>
          <w:rFonts w:ascii="Times New Roman" w:eastAsia="Calibri" w:hAnsi="Times New Roman" w:cs="Times New Roman"/>
          <w:bCs/>
          <w:sz w:val="24"/>
        </w:rPr>
        <w:t xml:space="preserve"> as compared to the one using </w:t>
      </w:r>
      <w:r w:rsidR="008D5661" w:rsidRPr="00FD0EBA">
        <w:rPr>
          <w:rFonts w:ascii="Times New Roman" w:eastAsia="Calibri" w:hAnsi="Times New Roman" w:cs="Times New Roman"/>
        </w:rPr>
        <w:t>Wagstaff and van Doorslaer approach</w:t>
      </w:r>
      <w:r w:rsidR="008D5661">
        <w:rPr>
          <w:rFonts w:ascii="Times New Roman" w:eastAsia="Calibri" w:hAnsi="Times New Roman" w:cs="Times New Roman"/>
        </w:rPr>
        <w:t xml:space="preserve">. </w:t>
      </w:r>
    </w:p>
    <w:p w14:paraId="2AC7F97F" w14:textId="77777777" w:rsidR="00C42227" w:rsidRDefault="00C42227" w:rsidP="00521AB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14:paraId="22EDB07A" w14:textId="0DB415B1" w:rsidR="00521AB0" w:rsidRPr="00FD0EBA" w:rsidRDefault="00521AB0" w:rsidP="00521AB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FD0EBA">
        <w:rPr>
          <w:rFonts w:ascii="Times New Roman" w:eastAsia="Calibri" w:hAnsi="Times New Roman" w:cs="Times New Roman"/>
          <w:b/>
          <w:sz w:val="24"/>
        </w:rPr>
        <w:t xml:space="preserve">Table </w:t>
      </w:r>
      <w:r>
        <w:rPr>
          <w:rFonts w:ascii="Times New Roman" w:eastAsia="Calibri" w:hAnsi="Times New Roman" w:cs="Times New Roman"/>
          <w:b/>
          <w:sz w:val="24"/>
        </w:rPr>
        <w:t>1</w:t>
      </w:r>
      <w:r w:rsidRPr="00FD0EBA">
        <w:rPr>
          <w:rFonts w:ascii="Times New Roman" w:eastAsia="Calibri" w:hAnsi="Times New Roman" w:cs="Times New Roman"/>
          <w:b/>
          <w:sz w:val="24"/>
        </w:rPr>
        <w:t>: Percentage of households with catastrophic health expenditure (Threshold 1) and multidimensionally deprived households by socio-religious categories</w:t>
      </w:r>
    </w:p>
    <w:tbl>
      <w:tblPr>
        <w:tblStyle w:val="TableGrid"/>
        <w:tblW w:w="8733" w:type="dxa"/>
        <w:tblLayout w:type="fixed"/>
        <w:tblLook w:val="04A0" w:firstRow="1" w:lastRow="0" w:firstColumn="1" w:lastColumn="0" w:noHBand="0" w:noVBand="1"/>
      </w:tblPr>
      <w:tblGrid>
        <w:gridCol w:w="1548"/>
        <w:gridCol w:w="3701"/>
        <w:gridCol w:w="3484"/>
      </w:tblGrid>
      <w:tr w:rsidR="00521AB0" w:rsidRPr="00FD0EBA" w14:paraId="73655719" w14:textId="77777777" w:rsidTr="00D71D2B">
        <w:trPr>
          <w:trHeight w:val="1052"/>
        </w:trPr>
        <w:tc>
          <w:tcPr>
            <w:tcW w:w="1548" w:type="dxa"/>
          </w:tcPr>
          <w:p w14:paraId="13980F77" w14:textId="77777777" w:rsidR="00521AB0" w:rsidRPr="00FD0EBA" w:rsidRDefault="00521AB0" w:rsidP="00D71D2B">
            <w:pPr>
              <w:rPr>
                <w:rFonts w:ascii="Times New Roman" w:eastAsia="Calibri" w:hAnsi="Times New Roman" w:cs="Times New Roman"/>
              </w:rPr>
            </w:pPr>
            <w:r w:rsidRPr="00FD0EBA">
              <w:rPr>
                <w:rFonts w:ascii="Times New Roman" w:eastAsia="Calibri" w:hAnsi="Times New Roman" w:cs="Times New Roman"/>
              </w:rPr>
              <w:t>Socio-religious category</w:t>
            </w:r>
          </w:p>
        </w:tc>
        <w:tc>
          <w:tcPr>
            <w:tcW w:w="3701" w:type="dxa"/>
          </w:tcPr>
          <w:p w14:paraId="4B960539" w14:textId="7015AED0" w:rsidR="00521AB0" w:rsidRPr="00FD0EBA" w:rsidRDefault="00521AB0" w:rsidP="00D71D2B">
            <w:pPr>
              <w:rPr>
                <w:rFonts w:ascii="Times New Roman" w:eastAsia="Calibri" w:hAnsi="Times New Roman" w:cs="Times New Roman"/>
              </w:rPr>
            </w:pPr>
            <w:r w:rsidRPr="00FD0EBA">
              <w:rPr>
                <w:rFonts w:ascii="Times New Roman" w:eastAsia="Calibri" w:hAnsi="Times New Roman" w:cs="Times New Roman"/>
              </w:rPr>
              <w:t xml:space="preserve">Households with catastrophic health expenditure </w:t>
            </w:r>
            <w:r w:rsidR="00A202A7">
              <w:rPr>
                <w:rFonts w:ascii="Times New Roman" w:eastAsia="Calibri" w:hAnsi="Times New Roman" w:cs="Times New Roman"/>
              </w:rPr>
              <w:t>(in percentages)</w:t>
            </w:r>
            <w:r w:rsidRPr="00FD0EBA">
              <w:rPr>
                <w:rFonts w:ascii="Times New Roman" w:eastAsia="Calibri" w:hAnsi="Times New Roman" w:cs="Times New Roman"/>
              </w:rPr>
              <w:t xml:space="preserve"> (Wagstaff and van Doorslaer approach with cut-off at 13 per cent)</w:t>
            </w:r>
          </w:p>
        </w:tc>
        <w:tc>
          <w:tcPr>
            <w:tcW w:w="3484" w:type="dxa"/>
          </w:tcPr>
          <w:p w14:paraId="55533000" w14:textId="2DC96F12" w:rsidR="00521AB0" w:rsidRPr="00FD0EBA" w:rsidRDefault="00521AB0" w:rsidP="00D71D2B">
            <w:pPr>
              <w:rPr>
                <w:rFonts w:ascii="Times New Roman" w:eastAsia="Calibri" w:hAnsi="Times New Roman" w:cs="Times New Roman"/>
              </w:rPr>
            </w:pPr>
            <w:r w:rsidRPr="00FD0EBA">
              <w:rPr>
                <w:rFonts w:ascii="Times New Roman" w:eastAsia="Calibri" w:hAnsi="Times New Roman" w:cs="Times New Roman"/>
              </w:rPr>
              <w:t>Multidimensionally vulnerable households with cut-off at ≥8 dimensions</w:t>
            </w:r>
            <w:r w:rsidR="00A202A7">
              <w:rPr>
                <w:rFonts w:ascii="Times New Roman" w:eastAsia="Calibri" w:hAnsi="Times New Roman" w:cs="Times New Roman"/>
              </w:rPr>
              <w:t xml:space="preserve"> (in percentages)</w:t>
            </w:r>
          </w:p>
        </w:tc>
      </w:tr>
      <w:tr w:rsidR="00521AB0" w:rsidRPr="00FD0EBA" w14:paraId="68966A6D" w14:textId="77777777" w:rsidTr="00D71D2B">
        <w:trPr>
          <w:trHeight w:val="246"/>
        </w:trPr>
        <w:tc>
          <w:tcPr>
            <w:tcW w:w="1548" w:type="dxa"/>
            <w:vAlign w:val="bottom"/>
          </w:tcPr>
          <w:p w14:paraId="11CB57E4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lang w:val="en-US"/>
              </w:rPr>
              <w:t>ST</w:t>
            </w:r>
          </w:p>
        </w:tc>
        <w:tc>
          <w:tcPr>
            <w:tcW w:w="3701" w:type="dxa"/>
            <w:vAlign w:val="bottom"/>
          </w:tcPr>
          <w:p w14:paraId="40F77868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7.24</w:t>
            </w:r>
          </w:p>
        </w:tc>
        <w:tc>
          <w:tcPr>
            <w:tcW w:w="3484" w:type="dxa"/>
            <w:vAlign w:val="bottom"/>
          </w:tcPr>
          <w:p w14:paraId="70D2F88F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16.18</w:t>
            </w:r>
          </w:p>
        </w:tc>
      </w:tr>
      <w:tr w:rsidR="00521AB0" w:rsidRPr="00FD0EBA" w14:paraId="02668F37" w14:textId="77777777" w:rsidTr="00D71D2B">
        <w:trPr>
          <w:trHeight w:val="234"/>
        </w:trPr>
        <w:tc>
          <w:tcPr>
            <w:tcW w:w="1548" w:type="dxa"/>
            <w:vAlign w:val="bottom"/>
          </w:tcPr>
          <w:p w14:paraId="6D7DC7C3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lang w:val="en-US"/>
              </w:rPr>
              <w:t>SC</w:t>
            </w:r>
          </w:p>
        </w:tc>
        <w:tc>
          <w:tcPr>
            <w:tcW w:w="3701" w:type="dxa"/>
            <w:vAlign w:val="bottom"/>
          </w:tcPr>
          <w:p w14:paraId="0D6580D3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15.55</w:t>
            </w:r>
          </w:p>
        </w:tc>
        <w:tc>
          <w:tcPr>
            <w:tcW w:w="3484" w:type="dxa"/>
            <w:vAlign w:val="bottom"/>
          </w:tcPr>
          <w:p w14:paraId="0A0BD13C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18.81</w:t>
            </w:r>
          </w:p>
        </w:tc>
      </w:tr>
      <w:tr w:rsidR="00521AB0" w:rsidRPr="00FD0EBA" w14:paraId="2AB30EFA" w14:textId="77777777" w:rsidTr="00D71D2B">
        <w:trPr>
          <w:trHeight w:val="246"/>
        </w:trPr>
        <w:tc>
          <w:tcPr>
            <w:tcW w:w="1548" w:type="dxa"/>
            <w:vAlign w:val="bottom"/>
          </w:tcPr>
          <w:p w14:paraId="3390EF19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lang w:val="en-US"/>
              </w:rPr>
              <w:t>Muslim</w:t>
            </w:r>
          </w:p>
        </w:tc>
        <w:tc>
          <w:tcPr>
            <w:tcW w:w="3701" w:type="dxa"/>
            <w:vAlign w:val="bottom"/>
          </w:tcPr>
          <w:p w14:paraId="5A315BD0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21.21</w:t>
            </w:r>
          </w:p>
        </w:tc>
        <w:tc>
          <w:tcPr>
            <w:tcW w:w="3484" w:type="dxa"/>
            <w:vAlign w:val="bottom"/>
          </w:tcPr>
          <w:p w14:paraId="329C2137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22.49</w:t>
            </w:r>
          </w:p>
        </w:tc>
      </w:tr>
      <w:tr w:rsidR="00521AB0" w:rsidRPr="00FD0EBA" w14:paraId="38272D5D" w14:textId="77777777" w:rsidTr="00D71D2B">
        <w:trPr>
          <w:trHeight w:val="234"/>
        </w:trPr>
        <w:tc>
          <w:tcPr>
            <w:tcW w:w="1548" w:type="dxa"/>
            <w:vAlign w:val="bottom"/>
          </w:tcPr>
          <w:p w14:paraId="3252580D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lang w:val="en-US"/>
              </w:rPr>
              <w:t>Others</w:t>
            </w:r>
          </w:p>
        </w:tc>
        <w:tc>
          <w:tcPr>
            <w:tcW w:w="3701" w:type="dxa"/>
            <w:vAlign w:val="bottom"/>
          </w:tcPr>
          <w:p w14:paraId="1C08AC4A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23.36</w:t>
            </w:r>
          </w:p>
        </w:tc>
        <w:tc>
          <w:tcPr>
            <w:tcW w:w="3484" w:type="dxa"/>
            <w:vAlign w:val="bottom"/>
          </w:tcPr>
          <w:p w14:paraId="13C643E4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14.03</w:t>
            </w:r>
          </w:p>
        </w:tc>
      </w:tr>
      <w:tr w:rsidR="00521AB0" w:rsidRPr="00FD0EBA" w14:paraId="20F00844" w14:textId="77777777" w:rsidTr="00D71D2B">
        <w:trPr>
          <w:trHeight w:val="246"/>
        </w:trPr>
        <w:tc>
          <w:tcPr>
            <w:tcW w:w="1548" w:type="dxa"/>
            <w:vAlign w:val="bottom"/>
          </w:tcPr>
          <w:p w14:paraId="520410B7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lang w:val="en-US"/>
              </w:rPr>
              <w:t>Total</w:t>
            </w:r>
          </w:p>
        </w:tc>
        <w:tc>
          <w:tcPr>
            <w:tcW w:w="3701" w:type="dxa"/>
            <w:vAlign w:val="bottom"/>
          </w:tcPr>
          <w:p w14:paraId="010224B6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18.50</w:t>
            </w:r>
          </w:p>
        </w:tc>
        <w:tc>
          <w:tcPr>
            <w:tcW w:w="3484" w:type="dxa"/>
            <w:vAlign w:val="bottom"/>
          </w:tcPr>
          <w:p w14:paraId="4A4700A1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18.32</w:t>
            </w:r>
          </w:p>
        </w:tc>
      </w:tr>
    </w:tbl>
    <w:p w14:paraId="3379ED99" w14:textId="77777777" w:rsidR="00521AB0" w:rsidRPr="00FD0EBA" w:rsidRDefault="00521AB0" w:rsidP="00521AB0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FD0EBA">
        <w:rPr>
          <w:rFonts w:ascii="Calibri" w:eastAsia="Calibri" w:hAnsi="Calibri" w:cs="Times New Roman"/>
          <w:sz w:val="20"/>
        </w:rPr>
        <w:t xml:space="preserve"> </w:t>
      </w:r>
      <w:r w:rsidRPr="00FD0EBA">
        <w:rPr>
          <w:rFonts w:ascii="Times New Roman" w:eastAsia="Calibri" w:hAnsi="Times New Roman" w:cs="Times New Roman"/>
          <w:sz w:val="20"/>
        </w:rPr>
        <w:t xml:space="preserve">Source: Estimated from Birbhum Population Project Survey data (2012). </w:t>
      </w:r>
    </w:p>
    <w:p w14:paraId="679CD8B4" w14:textId="77777777" w:rsidR="00521AB0" w:rsidRPr="00FD0EBA" w:rsidRDefault="00521AB0" w:rsidP="00521AB0">
      <w:pPr>
        <w:tabs>
          <w:tab w:val="left" w:pos="4105"/>
        </w:tabs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07324E3B" w14:textId="29CBECBA" w:rsidR="00521AB0" w:rsidRPr="00FD0EBA" w:rsidRDefault="00521AB0" w:rsidP="00521AB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D0EBA">
        <w:rPr>
          <w:rFonts w:ascii="Times New Roman" w:eastAsia="Calibri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FD0EBA">
        <w:rPr>
          <w:rFonts w:ascii="Times New Roman" w:eastAsia="Calibri" w:hAnsi="Times New Roman" w:cs="Times New Roman"/>
          <w:b/>
          <w:sz w:val="24"/>
          <w:szCs w:val="24"/>
        </w:rPr>
        <w:t>: Percentage of households with catastrophic health expenditure (Threshold 1) and multidimensionally deprived households by income groups</w:t>
      </w:r>
    </w:p>
    <w:tbl>
      <w:tblPr>
        <w:tblStyle w:val="TableGrid"/>
        <w:tblW w:w="8733" w:type="dxa"/>
        <w:tblLayout w:type="fixed"/>
        <w:tblLook w:val="04A0" w:firstRow="1" w:lastRow="0" w:firstColumn="1" w:lastColumn="0" w:noHBand="0" w:noVBand="1"/>
      </w:tblPr>
      <w:tblGrid>
        <w:gridCol w:w="1548"/>
        <w:gridCol w:w="3701"/>
        <w:gridCol w:w="3484"/>
      </w:tblGrid>
      <w:tr w:rsidR="00521AB0" w:rsidRPr="00FD0EBA" w14:paraId="52AA1DA0" w14:textId="77777777" w:rsidTr="00D71D2B">
        <w:trPr>
          <w:trHeight w:val="1187"/>
        </w:trPr>
        <w:tc>
          <w:tcPr>
            <w:tcW w:w="1548" w:type="dxa"/>
          </w:tcPr>
          <w:p w14:paraId="2FEFE2EF" w14:textId="77777777" w:rsidR="00521AB0" w:rsidRPr="00FD0EBA" w:rsidRDefault="00521AB0" w:rsidP="00D71D2B">
            <w:pPr>
              <w:rPr>
                <w:rFonts w:ascii="Times New Roman" w:eastAsia="Calibri" w:hAnsi="Times New Roman" w:cs="Times New Roman"/>
              </w:rPr>
            </w:pPr>
            <w:r w:rsidRPr="00FD0EBA">
              <w:rPr>
                <w:rFonts w:ascii="Times New Roman" w:eastAsia="Calibri" w:hAnsi="Times New Roman" w:cs="Times New Roman"/>
              </w:rPr>
              <w:t>Income groups</w:t>
            </w:r>
          </w:p>
        </w:tc>
        <w:tc>
          <w:tcPr>
            <w:tcW w:w="3701" w:type="dxa"/>
          </w:tcPr>
          <w:p w14:paraId="20E1B8D4" w14:textId="0AE06750" w:rsidR="00521AB0" w:rsidRPr="00FD0EBA" w:rsidRDefault="00521AB0" w:rsidP="00D71D2B">
            <w:pPr>
              <w:rPr>
                <w:rFonts w:ascii="Times New Roman" w:eastAsia="Calibri" w:hAnsi="Times New Roman" w:cs="Times New Roman"/>
              </w:rPr>
            </w:pPr>
            <w:r w:rsidRPr="00FD0EBA">
              <w:rPr>
                <w:rFonts w:ascii="Times New Roman" w:eastAsia="Calibri" w:hAnsi="Times New Roman" w:cs="Times New Roman"/>
              </w:rPr>
              <w:t xml:space="preserve">Households with catastrophic health expenditure </w:t>
            </w:r>
            <w:r w:rsidR="00A202A7">
              <w:rPr>
                <w:rFonts w:ascii="Times New Roman" w:eastAsia="Calibri" w:hAnsi="Times New Roman" w:cs="Times New Roman"/>
              </w:rPr>
              <w:t xml:space="preserve">(in percentages) </w:t>
            </w:r>
            <w:bookmarkStart w:id="0" w:name="_GoBack"/>
            <w:bookmarkEnd w:id="0"/>
            <w:r w:rsidRPr="00FD0EBA">
              <w:rPr>
                <w:rFonts w:ascii="Times New Roman" w:eastAsia="Calibri" w:hAnsi="Times New Roman" w:cs="Times New Roman"/>
              </w:rPr>
              <w:t>(Wagstaff and van Doorslaer approach with cut-off at 13 per cent)</w:t>
            </w:r>
          </w:p>
        </w:tc>
        <w:tc>
          <w:tcPr>
            <w:tcW w:w="3484" w:type="dxa"/>
          </w:tcPr>
          <w:p w14:paraId="0E7C53DE" w14:textId="152CD55E" w:rsidR="00521AB0" w:rsidRPr="00FD0EBA" w:rsidRDefault="00521AB0" w:rsidP="00D71D2B">
            <w:pPr>
              <w:rPr>
                <w:rFonts w:ascii="Times New Roman" w:eastAsia="Calibri" w:hAnsi="Times New Roman" w:cs="Times New Roman"/>
              </w:rPr>
            </w:pPr>
            <w:r w:rsidRPr="00FD0EBA">
              <w:rPr>
                <w:rFonts w:ascii="Times New Roman" w:eastAsia="Calibri" w:hAnsi="Times New Roman" w:cs="Times New Roman"/>
              </w:rPr>
              <w:t>Multidimensionally vulnerable households with cut-off at ≥8 dimensions</w:t>
            </w:r>
            <w:r w:rsidR="00A202A7">
              <w:rPr>
                <w:rFonts w:ascii="Times New Roman" w:eastAsia="Calibri" w:hAnsi="Times New Roman" w:cs="Times New Roman"/>
              </w:rPr>
              <w:t xml:space="preserve"> (in percentages)</w:t>
            </w:r>
          </w:p>
        </w:tc>
      </w:tr>
      <w:tr w:rsidR="00521AB0" w:rsidRPr="00FD0EBA" w14:paraId="7F2CC470" w14:textId="77777777" w:rsidTr="00D71D2B">
        <w:trPr>
          <w:trHeight w:val="246"/>
        </w:trPr>
        <w:tc>
          <w:tcPr>
            <w:tcW w:w="1548" w:type="dxa"/>
            <w:vAlign w:val="bottom"/>
          </w:tcPr>
          <w:p w14:paraId="633F62E2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  <w:t>Poor</w:t>
            </w:r>
          </w:p>
        </w:tc>
        <w:tc>
          <w:tcPr>
            <w:tcW w:w="3701" w:type="dxa"/>
            <w:vAlign w:val="bottom"/>
          </w:tcPr>
          <w:p w14:paraId="11C15730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11.74</w:t>
            </w:r>
          </w:p>
        </w:tc>
        <w:tc>
          <w:tcPr>
            <w:tcW w:w="3484" w:type="dxa"/>
            <w:vAlign w:val="bottom"/>
          </w:tcPr>
          <w:p w14:paraId="413A932C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27.55</w:t>
            </w:r>
          </w:p>
        </w:tc>
      </w:tr>
      <w:tr w:rsidR="00521AB0" w:rsidRPr="00FD0EBA" w14:paraId="1CB9173F" w14:textId="77777777" w:rsidTr="00D71D2B">
        <w:trPr>
          <w:trHeight w:val="234"/>
        </w:trPr>
        <w:tc>
          <w:tcPr>
            <w:tcW w:w="1548" w:type="dxa"/>
            <w:vAlign w:val="bottom"/>
          </w:tcPr>
          <w:p w14:paraId="73790B7F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  <w:t>Lower middle</w:t>
            </w:r>
          </w:p>
        </w:tc>
        <w:tc>
          <w:tcPr>
            <w:tcW w:w="3701" w:type="dxa"/>
            <w:vAlign w:val="bottom"/>
          </w:tcPr>
          <w:p w14:paraId="05BB0F6F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16.43</w:t>
            </w:r>
          </w:p>
        </w:tc>
        <w:tc>
          <w:tcPr>
            <w:tcW w:w="3484" w:type="dxa"/>
            <w:vAlign w:val="bottom"/>
          </w:tcPr>
          <w:p w14:paraId="744BD862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16.52</w:t>
            </w:r>
          </w:p>
        </w:tc>
      </w:tr>
      <w:tr w:rsidR="00521AB0" w:rsidRPr="00FD0EBA" w14:paraId="110063BD" w14:textId="77777777" w:rsidTr="00D71D2B">
        <w:trPr>
          <w:trHeight w:val="246"/>
        </w:trPr>
        <w:tc>
          <w:tcPr>
            <w:tcW w:w="1548" w:type="dxa"/>
            <w:vAlign w:val="bottom"/>
          </w:tcPr>
          <w:p w14:paraId="03BD983E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  <w:t>Mid-middle</w:t>
            </w:r>
          </w:p>
        </w:tc>
        <w:tc>
          <w:tcPr>
            <w:tcW w:w="3701" w:type="dxa"/>
            <w:vAlign w:val="bottom"/>
          </w:tcPr>
          <w:p w14:paraId="1B863986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29.42</w:t>
            </w:r>
          </w:p>
        </w:tc>
        <w:tc>
          <w:tcPr>
            <w:tcW w:w="3484" w:type="dxa"/>
            <w:vAlign w:val="bottom"/>
          </w:tcPr>
          <w:p w14:paraId="07598999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12.29</w:t>
            </w:r>
          </w:p>
        </w:tc>
      </w:tr>
      <w:tr w:rsidR="00521AB0" w:rsidRPr="00FD0EBA" w14:paraId="0E9D9582" w14:textId="77777777" w:rsidTr="00D71D2B">
        <w:trPr>
          <w:trHeight w:val="234"/>
        </w:trPr>
        <w:tc>
          <w:tcPr>
            <w:tcW w:w="1548" w:type="dxa"/>
            <w:vAlign w:val="bottom"/>
          </w:tcPr>
          <w:p w14:paraId="56FF0321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  <w:t>Upper middle</w:t>
            </w:r>
          </w:p>
        </w:tc>
        <w:tc>
          <w:tcPr>
            <w:tcW w:w="3701" w:type="dxa"/>
            <w:vAlign w:val="bottom"/>
          </w:tcPr>
          <w:p w14:paraId="1027EF0B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36.02</w:t>
            </w:r>
          </w:p>
        </w:tc>
        <w:tc>
          <w:tcPr>
            <w:tcW w:w="3484" w:type="dxa"/>
            <w:vAlign w:val="bottom"/>
          </w:tcPr>
          <w:p w14:paraId="670A3B9B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10.79</w:t>
            </w:r>
          </w:p>
        </w:tc>
      </w:tr>
      <w:tr w:rsidR="00521AB0" w:rsidRPr="00FD0EBA" w14:paraId="4E5EC820" w14:textId="77777777" w:rsidTr="00D71D2B">
        <w:trPr>
          <w:trHeight w:val="246"/>
        </w:trPr>
        <w:tc>
          <w:tcPr>
            <w:tcW w:w="1548" w:type="dxa"/>
            <w:vAlign w:val="bottom"/>
          </w:tcPr>
          <w:p w14:paraId="4E7D5ACB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  <w:t>Total</w:t>
            </w:r>
          </w:p>
        </w:tc>
        <w:tc>
          <w:tcPr>
            <w:tcW w:w="3701" w:type="dxa"/>
            <w:vAlign w:val="bottom"/>
          </w:tcPr>
          <w:p w14:paraId="3A10EAEC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18.5</w:t>
            </w: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84" w:type="dxa"/>
            <w:vAlign w:val="bottom"/>
          </w:tcPr>
          <w:p w14:paraId="36113D05" w14:textId="77777777" w:rsidR="00521AB0" w:rsidRPr="00FD0EBA" w:rsidRDefault="00521AB0" w:rsidP="00D71D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D0EB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18.32</w:t>
            </w:r>
          </w:p>
        </w:tc>
      </w:tr>
    </w:tbl>
    <w:p w14:paraId="25304F44" w14:textId="77777777" w:rsidR="00521AB0" w:rsidRPr="00FD0EBA" w:rsidRDefault="00521AB0" w:rsidP="00521AB0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FD0EBA">
        <w:rPr>
          <w:rFonts w:ascii="Calibri" w:eastAsia="Calibri" w:hAnsi="Calibri" w:cs="Times New Roman"/>
          <w:sz w:val="20"/>
        </w:rPr>
        <w:t xml:space="preserve"> </w:t>
      </w:r>
      <w:r w:rsidRPr="00FD0EBA">
        <w:rPr>
          <w:rFonts w:ascii="Times New Roman" w:eastAsia="Calibri" w:hAnsi="Times New Roman" w:cs="Times New Roman"/>
          <w:sz w:val="20"/>
        </w:rPr>
        <w:t xml:space="preserve">Source: Estimated from Birbhum Population Project Survey data (2012). </w:t>
      </w:r>
    </w:p>
    <w:p w14:paraId="495D9CCC" w14:textId="77777777" w:rsidR="00521AB0" w:rsidRPr="00FD0EBA" w:rsidRDefault="00521AB0" w:rsidP="00521AB0">
      <w:pPr>
        <w:tabs>
          <w:tab w:val="left" w:pos="4105"/>
        </w:tabs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7B8D317F" w14:textId="77777777" w:rsidR="00EB2A0E" w:rsidRDefault="00EB2A0E"/>
    <w:sectPr w:rsidR="00EB2A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AB0"/>
    <w:rsid w:val="00317FFD"/>
    <w:rsid w:val="003C2F23"/>
    <w:rsid w:val="003E207E"/>
    <w:rsid w:val="004E262D"/>
    <w:rsid w:val="00521AB0"/>
    <w:rsid w:val="007021E1"/>
    <w:rsid w:val="008765B3"/>
    <w:rsid w:val="008D5661"/>
    <w:rsid w:val="009B1DFE"/>
    <w:rsid w:val="00A202A7"/>
    <w:rsid w:val="00AC7F56"/>
    <w:rsid w:val="00BF7C2A"/>
    <w:rsid w:val="00C319F2"/>
    <w:rsid w:val="00C42227"/>
    <w:rsid w:val="00EB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9F903"/>
  <w15:chartTrackingRefBased/>
  <w15:docId w15:val="{18B4E349-BDD5-4E3E-AF30-48AB64E4E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21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521AB0"/>
    <w:pPr>
      <w:spacing w:after="0" w:line="240" w:lineRule="auto"/>
    </w:pPr>
    <w:rPr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dasgupta</dc:creator>
  <cp:keywords/>
  <dc:description/>
  <cp:lastModifiedBy>priyanka dasgupta</cp:lastModifiedBy>
  <cp:revision>13</cp:revision>
  <dcterms:created xsi:type="dcterms:W3CDTF">2020-06-08T09:57:00Z</dcterms:created>
  <dcterms:modified xsi:type="dcterms:W3CDTF">2020-06-08T11:55:00Z</dcterms:modified>
</cp:coreProperties>
</file>