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A7B057" w14:textId="0A5B9E1A" w:rsidR="00D84FA2" w:rsidRPr="002B2917" w:rsidRDefault="00D84FA2" w:rsidP="008532E4">
      <w:pPr>
        <w:spacing w:after="0" w:line="480" w:lineRule="auto"/>
        <w:jc w:val="both"/>
        <w:rPr>
          <w:rFonts w:cs="Arial"/>
          <w:b/>
          <w:bCs/>
          <w:lang w:val="en-US"/>
        </w:rPr>
      </w:pPr>
      <w:r w:rsidRPr="00D84FA2">
        <w:rPr>
          <w:rFonts w:cs="Arial"/>
          <w:b/>
          <w:bCs/>
          <w:lang w:val="en-US"/>
        </w:rPr>
        <w:t>Supplementary</w:t>
      </w:r>
      <w:r>
        <w:rPr>
          <w:rFonts w:cs="Arial"/>
          <w:b/>
          <w:bCs/>
          <w:lang w:val="en-US"/>
        </w:rPr>
        <w:t xml:space="preserve">_Data </w:t>
      </w:r>
    </w:p>
    <w:p w14:paraId="4624B33A" w14:textId="77777777" w:rsidR="005B3383" w:rsidRPr="00794F6D" w:rsidRDefault="005B3383" w:rsidP="008532E4">
      <w:pPr>
        <w:spacing w:after="0" w:line="480" w:lineRule="auto"/>
        <w:jc w:val="both"/>
        <w:rPr>
          <w:rFonts w:cs="Arial"/>
          <w:b/>
          <w:lang w:val="en-US"/>
        </w:rPr>
      </w:pPr>
      <w:r w:rsidRPr="00794F6D">
        <w:rPr>
          <w:rFonts w:cs="Arial"/>
          <w:b/>
          <w:lang w:val="en-US"/>
        </w:rPr>
        <w:t>Cell culture and treatments</w:t>
      </w:r>
    </w:p>
    <w:p w14:paraId="08FC85B3" w14:textId="77777777" w:rsidR="005B3383" w:rsidRDefault="005B3383" w:rsidP="008532E4">
      <w:pPr>
        <w:spacing w:after="0" w:line="480" w:lineRule="auto"/>
        <w:jc w:val="both"/>
        <w:rPr>
          <w:rFonts w:cs="Arial"/>
          <w:lang w:val="en-US"/>
        </w:rPr>
      </w:pPr>
      <w:r w:rsidRPr="00794F6D">
        <w:rPr>
          <w:rFonts w:cs="Arial"/>
          <w:lang w:val="en-US"/>
        </w:rPr>
        <w:t>HEK293T (CRL-3216) and NCI-H1975 (CRL-5908) cell lines were obtained from the American Type Culture Collection (ATCC, US). Sylvie Gazzeri kindly provided us the NCI-H3255 cell line from the Albert Bonniot Institute (France). All cell lines were grown in Dulbecco's DMEM GlutaMAX medium (Gibco, ThermoFisher, France) supplemented with 10% fetal bovine serum (FBS) (IDbio, France), 1% non-essential amino acids (Gibco), and 1% antibiotics (penicillin and streptomycin, at 100 Units/mL and 100 µg/mL, respectively) (IDbio). All cells were cultured in a humidified incubator set at 5% CO</w:t>
      </w:r>
      <w:r w:rsidRPr="00794F6D">
        <w:rPr>
          <w:rFonts w:cs="Arial"/>
          <w:vertAlign w:val="subscript"/>
          <w:lang w:val="en-US"/>
        </w:rPr>
        <w:t>2</w:t>
      </w:r>
      <w:r w:rsidRPr="00794F6D">
        <w:rPr>
          <w:rFonts w:cs="Arial"/>
          <w:lang w:val="en-US"/>
        </w:rPr>
        <w:t xml:space="preserve"> and 37°C.</w:t>
      </w:r>
    </w:p>
    <w:p w14:paraId="5AA1DE65" w14:textId="77777777" w:rsidR="00C1535D" w:rsidRDefault="00C1535D" w:rsidP="008532E4">
      <w:pPr>
        <w:spacing w:after="0" w:line="480" w:lineRule="auto"/>
        <w:jc w:val="both"/>
        <w:rPr>
          <w:rFonts w:cs="Arial"/>
          <w:lang w:val="en-US"/>
        </w:rPr>
      </w:pPr>
    </w:p>
    <w:p w14:paraId="0EDDB5A4" w14:textId="77777777" w:rsidR="00C1535D" w:rsidRPr="00C1535D" w:rsidRDefault="00C1535D" w:rsidP="008532E4">
      <w:pPr>
        <w:spacing w:after="0" w:line="480" w:lineRule="auto"/>
        <w:jc w:val="both"/>
        <w:rPr>
          <w:rFonts w:cs="Arial"/>
          <w:b/>
          <w:lang w:val="en-US"/>
        </w:rPr>
      </w:pPr>
      <w:r w:rsidRPr="00C1535D">
        <w:rPr>
          <w:rFonts w:cs="Arial"/>
          <w:b/>
          <w:lang w:val="en-US"/>
        </w:rPr>
        <w:t xml:space="preserve">Plasmids </w:t>
      </w:r>
    </w:p>
    <w:p w14:paraId="6A8E0C19" w14:textId="77777777" w:rsidR="00C1535D" w:rsidRPr="00794F6D" w:rsidRDefault="00C1535D" w:rsidP="008532E4">
      <w:pPr>
        <w:spacing w:after="0" w:line="480" w:lineRule="auto"/>
        <w:jc w:val="both"/>
        <w:rPr>
          <w:rFonts w:cs="Arial"/>
          <w:lang w:val="en-US"/>
        </w:rPr>
      </w:pPr>
      <w:r w:rsidRPr="00794F6D">
        <w:rPr>
          <w:rFonts w:cs="Arial"/>
          <w:lang w:val="en-US"/>
        </w:rPr>
        <w:t xml:space="preserve">CRISPR plasmid were purchased from Horizon (New England). Plasmids were designed to include respectively each sgRNA target sequence (SgRNA#1 5’-TCATAATTACCAGTGGTACA-3’, SgRNA#2 5’-ATCTCACCTTCGATATAGCT-3’, SgRNA#3 5’-TTCCCATAATCCTCACTGAG-3’, SgRNA#4 5’-TCATCAATAACACCTTTATT-3’, SgRNA#5 5’-ACTGAATTTGGCATGGCTAT-3’), the Cas9 and the dasher GFP to sort transfected-cells by flow cytometry. Wild type </w:t>
      </w:r>
      <w:r w:rsidRPr="002377DE">
        <w:rPr>
          <w:rFonts w:cs="Arial"/>
          <w:i/>
          <w:lang w:val="en-US"/>
        </w:rPr>
        <w:t>EGFR</w:t>
      </w:r>
      <w:r w:rsidRPr="00794F6D">
        <w:rPr>
          <w:rFonts w:cs="Arial"/>
          <w:lang w:val="en-US"/>
        </w:rPr>
        <w:t xml:space="preserve"> (Addgene plasmid #11011); Mutant </w:t>
      </w:r>
      <w:r w:rsidRPr="002377DE">
        <w:rPr>
          <w:rFonts w:cs="Arial"/>
          <w:i/>
          <w:lang w:val="en-US"/>
        </w:rPr>
        <w:t>EGFR</w:t>
      </w:r>
      <w:r w:rsidRPr="002377DE">
        <w:rPr>
          <w:rFonts w:cs="Arial"/>
          <w:i/>
          <w:vertAlign w:val="superscript"/>
          <w:lang w:val="en-US"/>
        </w:rPr>
        <w:t>G719S</w:t>
      </w:r>
      <w:r w:rsidRPr="00794F6D">
        <w:rPr>
          <w:rFonts w:cs="Arial"/>
          <w:lang w:val="en-US"/>
        </w:rPr>
        <w:t xml:space="preserve"> (Addgene plasmid #11013), Mutant </w:t>
      </w:r>
      <w:r w:rsidRPr="002377DE">
        <w:rPr>
          <w:rFonts w:cs="Arial"/>
          <w:i/>
          <w:lang w:val="en-US"/>
        </w:rPr>
        <w:t>EGFR</w:t>
      </w:r>
      <w:r w:rsidRPr="002377DE">
        <w:rPr>
          <w:rFonts w:cs="Arial"/>
          <w:i/>
          <w:vertAlign w:val="superscript"/>
          <w:lang w:val="en-US"/>
        </w:rPr>
        <w:t>L858R</w:t>
      </w:r>
      <w:r w:rsidRPr="00794F6D">
        <w:rPr>
          <w:rFonts w:cs="Arial"/>
          <w:lang w:val="en-US"/>
        </w:rPr>
        <w:t xml:space="preserve"> (Addgene plasmid #11012); Mutant </w:t>
      </w:r>
      <w:r w:rsidRPr="002377DE">
        <w:rPr>
          <w:rFonts w:cs="Arial"/>
          <w:i/>
          <w:lang w:val="en-US"/>
        </w:rPr>
        <w:t>EGFR</w:t>
      </w:r>
      <w:r w:rsidRPr="002377DE">
        <w:rPr>
          <w:rFonts w:cs="Arial"/>
          <w:i/>
          <w:vertAlign w:val="superscript"/>
          <w:lang w:val="en-US"/>
        </w:rPr>
        <w:t>L861Q</w:t>
      </w:r>
      <w:r w:rsidRPr="00794F6D">
        <w:rPr>
          <w:rFonts w:cs="Arial"/>
          <w:lang w:val="en-US"/>
        </w:rPr>
        <w:t xml:space="preserve"> (Addgene plasmid #32068); Mutant </w:t>
      </w:r>
      <w:r w:rsidRPr="002377DE">
        <w:rPr>
          <w:rFonts w:cs="Arial"/>
          <w:i/>
          <w:lang w:val="en-US"/>
        </w:rPr>
        <w:t>EGFR</w:t>
      </w:r>
      <w:r w:rsidRPr="002377DE">
        <w:rPr>
          <w:rFonts w:cs="Arial"/>
          <w:i/>
          <w:vertAlign w:val="superscript"/>
          <w:lang w:val="en-US"/>
        </w:rPr>
        <w:t>L858R/T790M</w:t>
      </w:r>
      <w:r w:rsidRPr="002377DE">
        <w:rPr>
          <w:rFonts w:cs="Arial"/>
          <w:vertAlign w:val="superscript"/>
          <w:lang w:val="en-US"/>
        </w:rPr>
        <w:t xml:space="preserve"> </w:t>
      </w:r>
      <w:r w:rsidRPr="00794F6D">
        <w:rPr>
          <w:rFonts w:cs="Arial"/>
          <w:lang w:val="en-US"/>
        </w:rPr>
        <w:t>(Addgene plasmid #32073); were a gift from Matthew Meyerson et al.</w:t>
      </w:r>
      <w:r w:rsidRPr="00794F6D">
        <w:rPr>
          <w:rFonts w:cs="Arial"/>
          <w:lang w:val="en-US"/>
        </w:rPr>
        <w:fldChar w:fldCharType="begin"/>
      </w:r>
      <w:r w:rsidRPr="00794F6D">
        <w:rPr>
          <w:rFonts w:cs="Arial"/>
          <w:lang w:val="en-US"/>
        </w:rPr>
        <w:instrText xml:space="preserve"> ADDIN ZOTERO_ITEM CSL_CITATION {"citationID":"a2kc9fli7ig","properties":{"formattedCitation":"\\super 9\\nosupersub{}","plainCitation":"9","noteIndex":0},"citationItems":[{"id":139,"uris":["http://zotero.org/users/12266972/items/IYRPDWTH"],"itemData":{"id":139,"type":"article-journal","abstract":"Targeted cancer therapies impede cancer cell growth by inhibiting the function of activated oncogene products. Patients with non-small cell lung cancer and somatic mutations of EGFR can have a dramatic response to treatment with erlotinib and gefitinib; different somatic mutations are associated with different times to progression and survival. In this study, the relative and absolute potencies of two distinct EGFR tyrosine kinase inhibitors, erlotinib and an investigational irreversible inhibitor, HKI-272, were found to vary significantly in a panel of Ba/F3 cells transformed by representative EGFR somatic mutations. HKI-272 more potently inhibited the primary exon 20 insertion mutants, the secondary erlotinib-resistance mutants including T790M and many erlotinib-sensitive mutants including L858R. In contrast, erlotinib is a more potent inhibitor of the major exon 19 deletion mutants than is HKI-272. Analyses of EGFR autophosphorylation patterns confirmed the mutation-specific variation in relative potency of these tyrosine kinase inhibitors. Our finding that distinct EGFR inhibitors are more effective in vitro for different mutant forms of the protein suggests that tyrosine kinase inhibitor treatment could be tailored to specific EGFR mutations. More broadly, these results imply that the development and deployment of targeted therapies should focus on inhibition of specific cancer-causing mutations, not only on the mutated target.","container-title":"Cancer Biology &amp; Therapy","DOI":"10.4161/cbt.6.5.4003","ISSN":"1555-8576","issue":"5","journalAbbreviation":"Cancer Biol Ther","language":"eng","note":"PMID: 17495523","page":"661-667","source":"PubMed","title":"Allele-dependent variation in the relative cellular potency of distinct EGFR inhibitors","volume":"6","author":[{"family":"Yuza","given":"Yuki"},{"family":"Glatt","given":"Karen A."},{"family":"Jiang","given":"Jingrui"},{"family":"Greulich","given":"Heidi"},{"family":"Minami","given":"Yuko"},{"family":"Woo","given":"Michele S."},{"family":"Shimamura","given":"Takeshi"},{"family":"Shapiro","given":"Geoffrey"},{"family":"Lee","given":"Jeffrey C."},{"family":"Ji","given":"Hongbin"},{"family":"Feng","given":"Whei"},{"family":"Chen","given":"Tzu-Hsiu"},{"family":"Yanagisawa","given":"Haruhiko"},{"family":"Wong","given":"Kwok-Kin"},{"family":"Meyerson","given":"Matthew"}],"issued":{"date-parts":[["2007",5]]}}}],"schema":"https://github.com/citation-style-language/schema/raw/master/csl-citation.json"} </w:instrText>
      </w:r>
      <w:r w:rsidRPr="00794F6D">
        <w:rPr>
          <w:rFonts w:cs="Arial"/>
          <w:lang w:val="en-US"/>
        </w:rPr>
        <w:fldChar w:fldCharType="separate"/>
      </w:r>
      <w:r w:rsidRPr="002377DE">
        <w:rPr>
          <w:rFonts w:cs="Arial"/>
          <w:vertAlign w:val="superscript"/>
          <w:lang w:val="en-US"/>
        </w:rPr>
        <w:t>9</w:t>
      </w:r>
      <w:r w:rsidRPr="00794F6D">
        <w:rPr>
          <w:rFonts w:cs="Arial"/>
          <w:lang w:val="en-US"/>
        </w:rPr>
        <w:fldChar w:fldCharType="end"/>
      </w:r>
      <w:r w:rsidRPr="00794F6D">
        <w:rPr>
          <w:rFonts w:cs="Arial"/>
          <w:lang w:val="en-US"/>
        </w:rPr>
        <w:t>; and sortilin Full-Length was gift from Gina Finan et al.</w:t>
      </w:r>
      <w:r w:rsidRPr="00794F6D">
        <w:rPr>
          <w:rFonts w:cs="Arial"/>
          <w:lang w:val="en-US"/>
        </w:rPr>
        <w:fldChar w:fldCharType="begin"/>
      </w:r>
      <w:r w:rsidRPr="00794F6D">
        <w:rPr>
          <w:rFonts w:cs="Arial"/>
          <w:lang w:val="en-US"/>
        </w:rPr>
        <w:instrText xml:space="preserve"> ADDIN ZOTERO_ITEM CSL_CITATION {"citationID":"a2aj5kr6vmk","properties":{"formattedCitation":"\\super 10\\nosupersub{}","plainCitation":"10","noteIndex":0},"citationItems":[{"id":141,"uris":["http://zotero.org/users/12266972/items/U5JNQLKI"],"itemData":{"id":141,"type":"article-journal","abstract":"BACE1 (β-site β-amyloid precursor protein (APP)-cleaving enzyme 1) mediates the first proteolytic cleavage of APP, leading to amyloid β-peptide (Aβ) production. It has been reported that BACE1 intracellular trafficking, in particular endosome-to-TGN sorting, is mediated by adaptor complexes, such as retromer and Golgi-localized γ-ear-containing ARF-binding proteins (GGAs). Here we investigated whether sortilin, a Vps10p domain-sorting receptor believed to participate in retromer-mediated transport of select membrane cargoes, contributes to the subcellular trafficking and activity of BACE1. Our initial studies revealed increased levels of sortilin in post-mortem brain tissue of AD patients and that overexpression of sortilin leads to increased BACE1-mediated cleavage of APP in cultured cells. In contrast, RNAi suppression of sortilin results in decreased BACE1-mediated cleavage of APP. We also found that sortilin interacts with BACE1 and that a sortilin construct lacking its cytoplasmic domain, which contains putative retromer sorting motifs, remains bound to BACE1. However, expression of this truncated sortilin redistributes BACE1 from the trans-Golgi network to the endosomes and substantially reduces the retrograde trafficking of BACE1. Site-directed mutagenesis and chimera experiments reveal that the cytoplasmic tail of sortilin, but not those from other VPS10p domain receptors (e.g. SorCs1b and SorLA), plays a unique role in BACE1 trafficking. Our studies suggest a new function for sortilin as a modulator of BACE1 retrograde trafficking and subsequent generation of Aβ.","container-title":"The Journal of Biological Chemistry","DOI":"10.1074/jbc.M110.170217","ISSN":"1083-351X","issue":"14","journalAbbreviation":"J Biol Chem","language":"eng","note":"PMID: 21245145\nPMCID: PMC3069461","page":"12602-12616","source":"PubMed","title":"BACE1 retrograde trafficking is uniquely regulated by the cytoplasmic domain of sortilin","volume":"286","author":[{"family":"Finan","given":"Gina M."},{"family":"Okada","given":"Hirokazu"},{"family":"Kim","given":"Tae-Wan"}],"issued":{"date-parts":[["2011",4,8]]}}}],"schema":"https://github.com/citation-style-language/schema/raw/master/csl-citation.json"} </w:instrText>
      </w:r>
      <w:r w:rsidRPr="00794F6D">
        <w:rPr>
          <w:rFonts w:cs="Arial"/>
          <w:lang w:val="en-US"/>
        </w:rPr>
        <w:fldChar w:fldCharType="separate"/>
      </w:r>
      <w:r w:rsidRPr="002377DE">
        <w:rPr>
          <w:rFonts w:cs="Arial"/>
          <w:vertAlign w:val="superscript"/>
          <w:lang w:val="en-US"/>
        </w:rPr>
        <w:t>10</w:t>
      </w:r>
      <w:r w:rsidRPr="00794F6D">
        <w:rPr>
          <w:rFonts w:cs="Arial"/>
          <w:lang w:val="en-US"/>
        </w:rPr>
        <w:fldChar w:fldCharType="end"/>
      </w:r>
      <w:r w:rsidRPr="002377DE">
        <w:rPr>
          <w:rFonts w:cs="Arial"/>
          <w:lang w:val="en-US"/>
        </w:rPr>
        <w:t xml:space="preserve">. </w:t>
      </w:r>
      <w:r w:rsidRPr="00794F6D">
        <w:rPr>
          <w:rFonts w:cs="Arial"/>
          <w:lang w:val="en-US"/>
        </w:rPr>
        <w:t xml:space="preserve">All plasmids encoding </w:t>
      </w:r>
      <w:r w:rsidRPr="00794F6D">
        <w:rPr>
          <w:rFonts w:cs="Arial"/>
          <w:i/>
          <w:lang w:val="en-US"/>
        </w:rPr>
        <w:t>SORT1</w:t>
      </w:r>
      <w:r w:rsidRPr="00794F6D">
        <w:rPr>
          <w:rFonts w:cs="Arial"/>
          <w:lang w:val="en-US"/>
        </w:rPr>
        <w:t xml:space="preserve"> fused to the BirA enzyme biotin ligase for protein-protein interaction were produced by VectorBuilder (USA); BirA (VB201022-1029), </w:t>
      </w:r>
      <w:r w:rsidRPr="00794F6D">
        <w:rPr>
          <w:rFonts w:cs="Arial"/>
          <w:i/>
          <w:lang w:val="en-US"/>
        </w:rPr>
        <w:t>SORT1</w:t>
      </w:r>
      <w:r w:rsidRPr="00794F6D">
        <w:rPr>
          <w:rFonts w:cs="Arial"/>
          <w:lang w:val="en-US"/>
        </w:rPr>
        <w:t>-Avitag (VB220523-1246).</w:t>
      </w:r>
    </w:p>
    <w:p w14:paraId="66730BC6" w14:textId="77777777" w:rsidR="005B3383" w:rsidRDefault="005B3383" w:rsidP="008532E4">
      <w:pPr>
        <w:spacing w:after="0" w:line="480" w:lineRule="auto"/>
        <w:jc w:val="both"/>
        <w:rPr>
          <w:rFonts w:eastAsia="Calibri" w:cs="Arial"/>
          <w:b/>
          <w:bCs/>
          <w:lang w:val="en-US"/>
        </w:rPr>
      </w:pPr>
    </w:p>
    <w:p w14:paraId="66978BF6" w14:textId="30ED1DD6" w:rsidR="005B3383" w:rsidRPr="00794F6D" w:rsidRDefault="005B3383" w:rsidP="008532E4">
      <w:pPr>
        <w:spacing w:after="0" w:line="480" w:lineRule="auto"/>
        <w:jc w:val="both"/>
        <w:rPr>
          <w:rFonts w:eastAsia="Calibri" w:cs="Arial"/>
          <w:b/>
          <w:bCs/>
          <w:lang w:val="en-US"/>
        </w:rPr>
      </w:pPr>
      <w:r w:rsidRPr="00794F6D">
        <w:rPr>
          <w:rFonts w:eastAsia="Calibri" w:cs="Arial"/>
          <w:b/>
          <w:bCs/>
          <w:lang w:val="en-US"/>
        </w:rPr>
        <w:t>Immunoblotting</w:t>
      </w:r>
      <w:r w:rsidR="002B509C">
        <w:rPr>
          <w:rFonts w:eastAsia="Calibri" w:cs="Arial"/>
          <w:b/>
          <w:bCs/>
          <w:lang w:val="en-US"/>
        </w:rPr>
        <w:t xml:space="preserve"> / Western Blot (WB)</w:t>
      </w:r>
    </w:p>
    <w:p w14:paraId="5EE13ED2" w14:textId="107EAD73" w:rsidR="005B3383" w:rsidRDefault="005B3383" w:rsidP="008532E4">
      <w:pPr>
        <w:spacing w:after="0" w:line="480" w:lineRule="auto"/>
        <w:jc w:val="both"/>
        <w:rPr>
          <w:rFonts w:eastAsia="Calibri" w:cs="Arial"/>
          <w:lang w:val="en-US"/>
        </w:rPr>
      </w:pPr>
      <w:r w:rsidRPr="00794F6D">
        <w:rPr>
          <w:rFonts w:eastAsia="Arial," w:cs="Arial"/>
          <w:lang w:val="en-US"/>
        </w:rPr>
        <w:t>Following cell culture, cells were first washed with PBS (Gibco) and then solubilized in cell lysis buffer (4% SDS, 10% 2-mercaptoethanol, 20% glycerol, 0.125 M Tris-HCl at pH 6.8) supplemented with 1% protease inhibitor cocktail (PIC, #7012, Cell Signaling</w:t>
      </w:r>
      <w:r w:rsidR="00125D76">
        <w:rPr>
          <w:rFonts w:eastAsia="Arial," w:cs="Arial"/>
          <w:lang w:val="en-US"/>
        </w:rPr>
        <w:t>, France</w:t>
      </w:r>
      <w:r w:rsidRPr="00794F6D">
        <w:rPr>
          <w:rFonts w:eastAsia="Arial," w:cs="Arial"/>
          <w:lang w:val="en-US"/>
        </w:rPr>
        <w:t xml:space="preserve">). </w:t>
      </w:r>
      <w:r w:rsidRPr="00794F6D">
        <w:rPr>
          <w:rFonts w:eastAsia="Arial," w:cs="Arial"/>
          <w:lang w:val="en-US"/>
        </w:rPr>
        <w:lastRenderedPageBreak/>
        <w:t xml:space="preserve">Subsequently, cell lysates underwent three-phase sonication (2 seconds per phase, at 50% amplitude on a Vibra-Cell sonicator, each phase separated by </w:t>
      </w:r>
      <w:r w:rsidR="00D84FA2" w:rsidRPr="00794F6D">
        <w:rPr>
          <w:rFonts w:eastAsia="Arial," w:cs="Arial"/>
          <w:lang w:val="en-US"/>
        </w:rPr>
        <w:t>one-minute</w:t>
      </w:r>
      <w:r w:rsidRPr="00794F6D">
        <w:rPr>
          <w:rFonts w:eastAsia="Arial," w:cs="Arial"/>
          <w:lang w:val="en-US"/>
        </w:rPr>
        <w:t xml:space="preserve"> cooling on ice). Then cell lysates were clear following centrifugation at 18 000×g. Then, 30 </w:t>
      </w:r>
      <w:proofErr w:type="spellStart"/>
      <w:r w:rsidRPr="00794F6D">
        <w:rPr>
          <w:rFonts w:eastAsia="Arial," w:cs="Arial"/>
          <w:lang w:val="en-US"/>
        </w:rPr>
        <w:t>μg</w:t>
      </w:r>
      <w:proofErr w:type="spellEnd"/>
      <w:r w:rsidRPr="00794F6D">
        <w:rPr>
          <w:rFonts w:eastAsia="Arial," w:cs="Arial"/>
          <w:lang w:val="en-US"/>
        </w:rPr>
        <w:t xml:space="preserve"> of solubilized proteins were isolated, separated by SDS-PAGE and immunodetected by using specific antibodies; Sortilin (#Ab16640, 1:1000 dilution, Abcam, France), Lamin B1 (#Ab16048, 1:1000 dilution, Abcam, France) and actin (#A2066, 1:10000 dilution, Sigma, France).</w:t>
      </w:r>
      <w:r w:rsidRPr="00794F6D">
        <w:rPr>
          <w:rFonts w:eastAsia="Calibri" w:cs="Arial"/>
          <w:lang w:val="en-US"/>
        </w:rPr>
        <w:t xml:space="preserve"> Primary antibodies are then immunorevealed by using secondary antibodies (Dako, Agilent, France; 1:1000 dilution) conjugated to horseradish peroxidase (HRP). Membranes are revealed with Azure imager (Azure, Biosystems</w:t>
      </w:r>
      <w:r w:rsidR="00125D76">
        <w:rPr>
          <w:rFonts w:eastAsia="Calibri" w:cs="Arial"/>
          <w:lang w:val="en-US"/>
        </w:rPr>
        <w:t>, USA</w:t>
      </w:r>
      <w:r w:rsidRPr="00794F6D">
        <w:rPr>
          <w:rFonts w:eastAsia="Calibri" w:cs="Arial"/>
          <w:lang w:val="en-US"/>
        </w:rPr>
        <w:t>) using chemiluminescence HRP substrate (MERCK, Germany).</w:t>
      </w:r>
    </w:p>
    <w:p w14:paraId="6A9E31C3" w14:textId="77777777" w:rsidR="00D84FA2" w:rsidRPr="00794F6D" w:rsidRDefault="00D84FA2" w:rsidP="008532E4">
      <w:pPr>
        <w:spacing w:after="0" w:line="480" w:lineRule="auto"/>
        <w:jc w:val="both"/>
        <w:rPr>
          <w:rFonts w:eastAsia="Calibri" w:cs="Arial"/>
          <w:lang w:val="en-US"/>
        </w:rPr>
      </w:pPr>
    </w:p>
    <w:p w14:paraId="0233F20F" w14:textId="77777777" w:rsidR="005B3383" w:rsidRPr="00794F6D" w:rsidRDefault="005B3383" w:rsidP="008532E4">
      <w:pPr>
        <w:spacing w:after="0" w:line="480" w:lineRule="auto"/>
        <w:jc w:val="both"/>
        <w:rPr>
          <w:rFonts w:eastAsia="Calibri" w:cs="Arial"/>
          <w:b/>
          <w:bCs/>
          <w:lang w:val="en-US"/>
        </w:rPr>
      </w:pPr>
      <w:r w:rsidRPr="00794F6D">
        <w:rPr>
          <w:rFonts w:eastAsia="Calibri" w:cs="Arial"/>
          <w:b/>
          <w:bCs/>
          <w:lang w:val="en-US"/>
        </w:rPr>
        <w:t>Nuclear purification</w:t>
      </w:r>
    </w:p>
    <w:p w14:paraId="50ACD79B" w14:textId="6EA5EFA6" w:rsidR="008532E4" w:rsidRDefault="005B3383" w:rsidP="008532E4">
      <w:pPr>
        <w:spacing w:after="240" w:line="480" w:lineRule="auto"/>
        <w:jc w:val="both"/>
        <w:rPr>
          <w:rFonts w:eastAsia="Calibri" w:cs="Arial"/>
          <w:lang w:val="en-US"/>
        </w:rPr>
      </w:pPr>
      <w:r w:rsidRPr="00794F6D">
        <w:rPr>
          <w:rFonts w:eastAsia="Calibri" w:cs="Arial"/>
          <w:lang w:val="en-US"/>
        </w:rPr>
        <w:t xml:space="preserve">To separate nuclear and cytoplasmic proteins, the nuclear protein extraction kit from Abcam (#ab113474, Abcam) was used according to the manufacturer's instructions. In summary, after harvesting cells with trypsin/EDTA and washing twice cold PBS, </w:t>
      </w:r>
      <m:oMath>
        <m:sSup>
          <m:sSupPr>
            <m:ctrlPr>
              <w:rPr>
                <w:rFonts w:ascii="Cambria Math" w:eastAsia="Calibri" w:hAnsi="Cambria Math" w:cs="Arial"/>
                <w:i/>
                <w:lang w:val="en-US"/>
              </w:rPr>
            </m:ctrlPr>
          </m:sSupPr>
          <m:e>
            <m:r>
              <w:rPr>
                <w:rFonts w:ascii="Cambria Math" w:eastAsia="Calibri" w:hAnsi="Cambria Math" w:cs="Arial"/>
                <w:lang w:val="en-US"/>
              </w:rPr>
              <m:t>10</m:t>
            </m:r>
          </m:e>
          <m:sup>
            <m:r>
              <w:rPr>
                <w:rFonts w:ascii="Cambria Math" w:eastAsia="Calibri" w:hAnsi="Cambria Math" w:cs="Arial"/>
                <w:lang w:val="en-US"/>
              </w:rPr>
              <m:t>6</m:t>
            </m:r>
          </m:sup>
        </m:sSup>
      </m:oMath>
      <w:r w:rsidRPr="00794F6D">
        <w:rPr>
          <w:rFonts w:eastAsia="Calibri" w:cs="Arial"/>
          <w:lang w:val="en-US"/>
        </w:rPr>
        <w:t xml:space="preserve"> cells were transferred to a microcentrifuge tube and then centrifuged at 500 g for 5 min. Cells were then solubilized in 100 </w:t>
      </w:r>
      <w:r w:rsidRPr="002377DE">
        <w:rPr>
          <w:rFonts w:eastAsia="Calibri" w:cs="Arial"/>
          <w:lang w:val="en-US"/>
        </w:rPr>
        <w:t>μ</w:t>
      </w:r>
      <w:r w:rsidRPr="00794F6D">
        <w:rPr>
          <w:rFonts w:eastAsia="Calibri" w:cs="Arial"/>
          <w:lang w:val="en-US"/>
        </w:rPr>
        <w:t xml:space="preserve">L of 1X pre-extraction buffer containing respectively 0,1% DTT and PIC, vortexed vigorously for 10 s, and incubated on ice for 10 min. Cell lysates were then centrifuged for 1 min at 12000 g. Supernatants corresponding to the cytoplasmic proteins were gently transferred and </w:t>
      </w:r>
      <w:r w:rsidRPr="000F647B">
        <w:rPr>
          <w:rFonts w:eastAsia="Calibri" w:cs="Arial"/>
          <w:lang w:val="en-US"/>
        </w:rPr>
        <w:t>insoluble pellets containing nuclei were washed three times with cold PBS to remove intracytoplasmic contamination</w:t>
      </w:r>
      <w:r w:rsidRPr="00794F6D">
        <w:rPr>
          <w:rFonts w:eastAsia="Calibri" w:cs="Arial"/>
          <w:lang w:val="en-US"/>
        </w:rPr>
        <w:t xml:space="preserve">. Then pellets were lysed with 10 </w:t>
      </w:r>
      <w:r w:rsidRPr="002377DE">
        <w:rPr>
          <w:rFonts w:eastAsia="Calibri" w:cs="Arial"/>
          <w:lang w:val="en-US"/>
        </w:rPr>
        <w:t>μ</w:t>
      </w:r>
      <w:r w:rsidRPr="00794F6D">
        <w:rPr>
          <w:rFonts w:eastAsia="Calibri" w:cs="Arial"/>
          <w:lang w:val="en-US"/>
        </w:rPr>
        <w:t xml:space="preserve">L of extraction buffer also containing respectively 0,1% of DTT and PIC. Nuclear </w:t>
      </w:r>
      <w:r w:rsidR="00D84FA2" w:rsidRPr="00794F6D">
        <w:rPr>
          <w:rFonts w:eastAsia="Calibri" w:cs="Arial"/>
          <w:lang w:val="en-US"/>
        </w:rPr>
        <w:t>lysates</w:t>
      </w:r>
      <w:r w:rsidRPr="00794F6D">
        <w:rPr>
          <w:rFonts w:eastAsia="Calibri" w:cs="Arial"/>
          <w:lang w:val="en-US"/>
        </w:rPr>
        <w:t xml:space="preserve"> were incubated on ice for 15 minutes then vortexed 5 s every 3 min before to be sonicated for 3 x 10 s increasing solubilization of nuclear proteins then centrifuged for 10 minutes at 14 000 g at 4°C. Nuclear </w:t>
      </w:r>
      <w:r w:rsidR="00D84FA2" w:rsidRPr="00794F6D">
        <w:rPr>
          <w:rFonts w:eastAsia="Calibri" w:cs="Arial"/>
          <w:lang w:val="en-US"/>
        </w:rPr>
        <w:t>lysates</w:t>
      </w:r>
      <w:r w:rsidRPr="00794F6D">
        <w:rPr>
          <w:rFonts w:eastAsia="Calibri" w:cs="Arial"/>
          <w:lang w:val="en-US"/>
        </w:rPr>
        <w:t xml:space="preserve"> were transferred to a new microcentrifuge tube. Nuclear and cytoplasmic proteins were titrated and loaded onto SDS-PAGE gel as described previously.</w:t>
      </w:r>
    </w:p>
    <w:p w14:paraId="6EE7ACC3" w14:textId="77777777" w:rsidR="00726A7F" w:rsidRPr="00794F6D" w:rsidRDefault="00726A7F" w:rsidP="008532E4">
      <w:pPr>
        <w:spacing w:after="240" w:line="480" w:lineRule="auto"/>
        <w:jc w:val="both"/>
        <w:rPr>
          <w:rFonts w:eastAsia="Calibri" w:cs="Arial"/>
          <w:lang w:val="en-US"/>
        </w:rPr>
      </w:pPr>
    </w:p>
    <w:p w14:paraId="47E3B9F5" w14:textId="2C871DBB" w:rsidR="005B3383" w:rsidRPr="00A86152" w:rsidRDefault="005B3383" w:rsidP="008532E4">
      <w:pPr>
        <w:spacing w:after="0" w:line="480" w:lineRule="auto"/>
        <w:jc w:val="both"/>
        <w:textAlignment w:val="baseline"/>
        <w:rPr>
          <w:rFonts w:eastAsia="Calibri" w:cs="Arial"/>
          <w:b/>
          <w:bCs/>
          <w:lang w:val="en-US"/>
        </w:rPr>
      </w:pPr>
      <w:r w:rsidRPr="00A86152">
        <w:rPr>
          <w:rFonts w:eastAsia="Calibri" w:cs="Arial"/>
          <w:b/>
          <w:bCs/>
          <w:lang w:val="en-US"/>
        </w:rPr>
        <w:lastRenderedPageBreak/>
        <w:t>Immunofluorescence</w:t>
      </w:r>
      <w:r w:rsidR="00726A7F">
        <w:rPr>
          <w:rFonts w:eastAsia="Calibri" w:cs="Arial"/>
          <w:b/>
          <w:bCs/>
          <w:lang w:val="en-US"/>
        </w:rPr>
        <w:t xml:space="preserve"> / Immunolabeling (IF)</w:t>
      </w:r>
      <w:bookmarkStart w:id="0" w:name="_GoBack"/>
      <w:bookmarkEnd w:id="0"/>
      <w:r w:rsidRPr="00A86152">
        <w:rPr>
          <w:rFonts w:eastAsia="Calibri" w:cs="Arial"/>
          <w:b/>
          <w:bCs/>
          <w:lang w:val="en-US"/>
        </w:rPr>
        <w:t xml:space="preserve"> </w:t>
      </w:r>
    </w:p>
    <w:p w14:paraId="0661B969" w14:textId="52B9D286" w:rsidR="00C94D5B" w:rsidRDefault="005B3383" w:rsidP="008532E4">
      <w:pPr>
        <w:spacing w:after="0" w:line="480" w:lineRule="auto"/>
        <w:jc w:val="both"/>
        <w:textAlignment w:val="baseline"/>
        <w:rPr>
          <w:rFonts w:eastAsia="Calibri" w:cs="Arial"/>
          <w:lang w:val="en-US"/>
        </w:rPr>
      </w:pPr>
      <w:r w:rsidRPr="00A86152">
        <w:rPr>
          <w:rFonts w:eastAsia="Calibri" w:cs="Arial"/>
          <w:lang w:val="en-US"/>
        </w:rPr>
        <w:t>Cells were harvested on glass slides and washed with cold PBS (Gibco). Fixation was carried out with cold methanol for 20 minutes. After fixation, cells were washed with a buffer solution containing 1% PBS and 1% bovine serum albumin (BSA) (IDbio). A 30-minute blocking step was performed with a blocking solution containing 3% of BSA diluted in PBS. Anti-sortilin (Abcam, #ab16640</w:t>
      </w:r>
      <w:r w:rsidR="00044B56">
        <w:rPr>
          <w:rFonts w:eastAsia="Calibri" w:cs="Arial"/>
          <w:lang w:val="en-US"/>
        </w:rPr>
        <w:t>, France</w:t>
      </w:r>
      <w:r w:rsidR="00FB1A6E">
        <w:rPr>
          <w:rFonts w:eastAsia="Calibri" w:cs="Arial"/>
          <w:lang w:val="en-US"/>
        </w:rPr>
        <w:t>,</w:t>
      </w:r>
      <w:r w:rsidRPr="00A86152">
        <w:rPr>
          <w:rFonts w:eastAsia="Calibri" w:cs="Arial"/>
          <w:lang w:val="en-US"/>
        </w:rPr>
        <w:t xml:space="preserve"> dilution</w:t>
      </w:r>
      <w:r w:rsidR="00FB1A6E">
        <w:rPr>
          <w:rFonts w:eastAsia="Calibri" w:cs="Arial"/>
          <w:lang w:val="en-US"/>
        </w:rPr>
        <w:t>:</w:t>
      </w:r>
      <w:r w:rsidRPr="00A86152">
        <w:rPr>
          <w:rFonts w:eastAsia="Calibri" w:cs="Arial"/>
          <w:lang w:val="en-US"/>
        </w:rPr>
        <w:t xml:space="preserve"> 1/100), was added to the blocking solution and cells were incubated overnight at 4°C. The next day, cells were thoroughly washed with PBS containing 1% BSA. Alexa Fluor 488-conjugated secondary antibodies (Life Technologies</w:t>
      </w:r>
      <w:r w:rsidR="008930BD">
        <w:rPr>
          <w:rFonts w:eastAsia="Calibri" w:cs="Arial"/>
          <w:lang w:val="en-US"/>
        </w:rPr>
        <w:t>, France</w:t>
      </w:r>
      <w:r w:rsidRPr="00A86152">
        <w:rPr>
          <w:rFonts w:eastAsia="Calibri" w:cs="Arial"/>
          <w:lang w:val="en-US"/>
        </w:rPr>
        <w:t>) were then applied. Cells were incubated with the secondary antibodies for 2 h at room temperature in blocking solution. After three additional washes with PBS containing 1% BSA, cells were mounted with Fluor-shield mounting medium (Sigma) containing 4ʹ,6-diamidino-2-phenylindole (DAPI). Confocal microscopy imaging was performed using advanced confocal laser scanning microscopes (Zeiss LSM800)</w:t>
      </w:r>
      <w:r>
        <w:rPr>
          <w:rFonts w:eastAsia="Calibri" w:cs="Arial"/>
          <w:lang w:val="en-US"/>
        </w:rPr>
        <w:t xml:space="preserve">, </w:t>
      </w:r>
      <w:r w:rsidRPr="00614BC5">
        <w:rPr>
          <w:rFonts w:eastAsia="Calibri" w:cs="Arial"/>
          <w:lang w:val="en-US"/>
        </w:rPr>
        <w:t>and image analysis was performed with ImageJ software (NIH, USA)</w:t>
      </w:r>
      <w:r>
        <w:rPr>
          <w:rFonts w:eastAsia="Calibri" w:cs="Arial"/>
          <w:lang w:val="en-US"/>
        </w:rPr>
        <w:t xml:space="preserve">. </w:t>
      </w:r>
    </w:p>
    <w:p w14:paraId="6E12969B" w14:textId="77777777" w:rsidR="005B3383" w:rsidRDefault="005B3383" w:rsidP="008532E4">
      <w:pPr>
        <w:spacing w:after="0" w:line="480" w:lineRule="auto"/>
        <w:jc w:val="both"/>
        <w:textAlignment w:val="baseline"/>
        <w:rPr>
          <w:rFonts w:eastAsia="Calibri" w:cs="Arial"/>
          <w:lang w:val="en-US"/>
        </w:rPr>
      </w:pPr>
    </w:p>
    <w:p w14:paraId="5A28B19E" w14:textId="74BB4A03" w:rsidR="005B3383" w:rsidRPr="00794F6D" w:rsidRDefault="005B3383" w:rsidP="008532E4">
      <w:pPr>
        <w:spacing w:after="0" w:line="480" w:lineRule="auto"/>
        <w:jc w:val="both"/>
        <w:rPr>
          <w:rFonts w:eastAsia="Calibri" w:cs="Arial"/>
          <w:b/>
          <w:bCs/>
          <w:lang w:val="en-US"/>
        </w:rPr>
      </w:pPr>
      <w:r w:rsidRPr="00794F6D">
        <w:rPr>
          <w:rFonts w:eastAsia="Calibri" w:cs="Arial"/>
          <w:b/>
          <w:bCs/>
          <w:lang w:val="en-US"/>
        </w:rPr>
        <w:t xml:space="preserve">Identification of protein-protein interactions / </w:t>
      </w:r>
      <w:r w:rsidR="00E3519C">
        <w:rPr>
          <w:rFonts w:eastAsia="Calibri" w:cs="Arial"/>
          <w:b/>
          <w:bCs/>
          <w:lang w:val="en-US"/>
        </w:rPr>
        <w:t xml:space="preserve">Immunoprecipitation </w:t>
      </w:r>
      <w:r w:rsidRPr="00794F6D">
        <w:rPr>
          <w:rFonts w:eastAsia="Calibri" w:cs="Arial"/>
          <w:b/>
          <w:bCs/>
          <w:lang w:val="en-US"/>
        </w:rPr>
        <w:t xml:space="preserve">assays </w:t>
      </w:r>
      <w:r w:rsidR="008532E4">
        <w:rPr>
          <w:rFonts w:eastAsia="Calibri" w:cs="Arial"/>
          <w:b/>
          <w:bCs/>
          <w:lang w:val="en-US"/>
        </w:rPr>
        <w:t>(IP)</w:t>
      </w:r>
    </w:p>
    <w:p w14:paraId="6632D73C" w14:textId="22825330" w:rsidR="005B3383" w:rsidRPr="00794F6D" w:rsidRDefault="005B3383" w:rsidP="008532E4">
      <w:pPr>
        <w:spacing w:after="0" w:line="480" w:lineRule="auto"/>
        <w:jc w:val="both"/>
        <w:rPr>
          <w:rFonts w:cs="Arial"/>
          <w:lang w:val="en-US"/>
        </w:rPr>
      </w:pPr>
      <w:r w:rsidRPr="00794F6D">
        <w:rPr>
          <w:rFonts w:cs="Arial"/>
          <w:lang w:val="en-US"/>
        </w:rPr>
        <w:t>To probe protein-protein interactions via proximity biotinylation, we employed AviTag peptide technology in conjunction with the BirA enzyme system</w:t>
      </w:r>
      <w:r w:rsidRPr="008532E4">
        <w:rPr>
          <w:rFonts w:cs="Arial"/>
          <w:vertAlign w:val="superscript"/>
          <w:lang w:val="en-US"/>
        </w:rPr>
        <w:fldChar w:fldCharType="begin"/>
      </w:r>
      <w:r w:rsidRPr="008532E4">
        <w:rPr>
          <w:rFonts w:cs="Arial"/>
          <w:vertAlign w:val="superscript"/>
          <w:lang w:val="en-US"/>
        </w:rPr>
        <w:instrText xml:space="preserve"> ADDIN ZOTERO_ITEM CSL_CITATION {"citationID":"a9lvllslsj","properties":{"formattedCitation":"\\super 11\\nosupersub{}","plainCitation":"11","noteIndex":0},"citationItems":[{"id":144,"uris":["http://zotero.org/users/12266972/items/U5Q9LH9P"],"itemData":{"id":144,"type":"webpage","abstract":"The binding between biotin and streptavidin or avidin is one of the strongest known non-covalent biological interactions. The (strept)avidin-biotin interaction ...","language":"en","title":"Site-Specific Biotinylation of Purified Proteins Using BirA | Springer Nature Experiments","URL":"https://experiments.springernature.com/articles/10.1007/978-1-4939-2272-7_12","accessed":{"date-parts":[["2023",9,13]]}}}],"schema":"https://github.com/citation-style-language/schema/raw/master/csl-citation.json"} </w:instrText>
      </w:r>
      <w:r w:rsidRPr="008532E4">
        <w:rPr>
          <w:rFonts w:cs="Arial"/>
          <w:vertAlign w:val="superscript"/>
          <w:lang w:val="en-US"/>
        </w:rPr>
        <w:fldChar w:fldCharType="separate"/>
      </w:r>
      <w:r w:rsidRPr="008532E4">
        <w:rPr>
          <w:rFonts w:cs="Arial"/>
          <w:vertAlign w:val="superscript"/>
          <w:lang w:val="en-US"/>
        </w:rPr>
        <w:t>11</w:t>
      </w:r>
      <w:r w:rsidRPr="008532E4">
        <w:rPr>
          <w:rFonts w:cs="Arial"/>
          <w:vertAlign w:val="superscript"/>
          <w:lang w:val="en-US"/>
        </w:rPr>
        <w:fldChar w:fldCharType="end"/>
      </w:r>
      <w:r w:rsidR="008532E4" w:rsidRPr="008532E4">
        <w:rPr>
          <w:rFonts w:cs="Arial"/>
          <w:vertAlign w:val="superscript"/>
          <w:lang w:val="en-US"/>
        </w:rPr>
        <w:t>,</w:t>
      </w:r>
      <w:r w:rsidRPr="008532E4">
        <w:rPr>
          <w:rFonts w:cs="Arial"/>
          <w:vertAlign w:val="superscript"/>
          <w:lang w:val="en-US"/>
        </w:rPr>
        <w:fldChar w:fldCharType="begin"/>
      </w:r>
      <w:r w:rsidRPr="008532E4">
        <w:rPr>
          <w:rFonts w:cs="Arial"/>
          <w:vertAlign w:val="superscript"/>
          <w:lang w:val="en-US"/>
        </w:rPr>
        <w:instrText xml:space="preserve"> ADDIN ZOTERO_ITEM CSL_CITATION {"citationID":"a2dce5hgcc6","properties":{"formattedCitation":"\\super 12\\nosupersub{}","plainCitation":"12","noteIndex":0},"citationItems":[{"id":146,"uris":["http://zotero.org/users/12266972/items/WA3F4SL3"],"itemData":{"id":146,"type":"article-journal","abstract":"Characterization of protein interaction domains is crucial for understanding protein functions. Here we combine cross-linking mass spectrometry (XL-MS) with deletion analysis to accurately locate minimal protein interaction domains. As a proof of concept, we investigated in detail the binding interfaces of two protein assemblies: the complex formed by MICAL3, ELKS and Rab8A, which is involved in exocytosis, and the complex of SLAIN2, CLASP2 and ch-TOG, which controls microtubule dynamics. We found that XL-MS provides valuable information to efficiently guide the design of protein fragments that are essential for protein interaction. However, we also observed a number of cross-links between polypeptide regions that were dispensable for complex formation, especially among intrinsically disordered sequences. Collectively, our results indicate that XL-MS, which renders distance restrains of linked residue pairs, accelerates the characterization of protein binding regions in combination with other biochemical approaches.","container-title":"Scientific Reports","DOI":"10.1038/s41598-017-13663-y","ISSN":"2045-2322","issue":"1","journalAbbreviation":"Sci Rep","language":"en","license":"2017 The Author(s)","note":"number: 1\npublisher: Nature Publishing Group","page":"13453","source":"www.nature.com","title":"Facilitating identification of minimal protein binding domains by cross-linking mass spectrometry","volume":"7","author":[{"family":"Liu","given":"Qingyang"},{"family":"Remmelzwaal","given":"Sanne"},{"family":"Heck","given":"Albert J. R."},{"family":"Akhmanova","given":"Anna"},{"family":"Liu","given":"Fan"}],"issued":{"date-parts":[["2017",10,18]]}}}],"schema":"https://github.com/citation-style-language/schema/raw/master/csl-citation.json"} </w:instrText>
      </w:r>
      <w:r w:rsidRPr="008532E4">
        <w:rPr>
          <w:rFonts w:cs="Arial"/>
          <w:vertAlign w:val="superscript"/>
          <w:lang w:val="en-US"/>
        </w:rPr>
        <w:fldChar w:fldCharType="separate"/>
      </w:r>
      <w:r w:rsidRPr="008532E4">
        <w:rPr>
          <w:rFonts w:cs="Arial"/>
          <w:vertAlign w:val="superscript"/>
          <w:lang w:val="en-US"/>
        </w:rPr>
        <w:t>12</w:t>
      </w:r>
      <w:r w:rsidRPr="008532E4">
        <w:rPr>
          <w:rFonts w:cs="Arial"/>
          <w:vertAlign w:val="superscript"/>
          <w:lang w:val="en-US"/>
        </w:rPr>
        <w:fldChar w:fldCharType="end"/>
      </w:r>
      <w:r w:rsidRPr="00794F6D">
        <w:rPr>
          <w:rFonts w:cs="Arial"/>
          <w:lang w:val="en-US"/>
        </w:rPr>
        <w:t xml:space="preserve">. We engineered plasmid constructs encoding an N-terminal fusion of sortilin with the AviTag peptide, as well as an empty control vector also tagged with AviTag. </w:t>
      </w:r>
      <w:r w:rsidR="004A22D7" w:rsidRPr="004A22D7">
        <w:rPr>
          <w:rFonts w:cs="Arial"/>
          <w:lang w:val="en-US"/>
        </w:rPr>
        <w:t>Vector constructs SORT1-AviTag or EV-AviTag were introduced via co-expression with the BirA vector in the #3 CRISPR SORT1 cell line. Biotin was added simultaneously to the transfection at a concentration of 40µM</w:t>
      </w:r>
      <w:r w:rsidRPr="00794F6D">
        <w:rPr>
          <w:rFonts w:cs="Arial"/>
          <w:lang w:val="en-US"/>
        </w:rPr>
        <w:t>. Following a 24-hour post-transfection interval, we isolated the cytoplasmic and nuclear proteins via cell fractionation as described above. The extracted proteins were then incubated for two hours at a temperature of 4°C, under continuous agitation, in the presence of streptavidin-coated magnetic beads (Dynabeads™ M-280 Streptavidin, Invitrogen</w:t>
      </w:r>
      <w:r w:rsidR="008930BD">
        <w:rPr>
          <w:rFonts w:cs="Arial"/>
          <w:lang w:val="en-US"/>
        </w:rPr>
        <w:t>, France</w:t>
      </w:r>
      <w:r w:rsidRPr="00794F6D">
        <w:rPr>
          <w:rFonts w:cs="Arial"/>
          <w:lang w:val="en-US"/>
        </w:rPr>
        <w:t xml:space="preserve">). After four to five wash cycles with cold PBS, we eluted the proteins using Laemmli 4X buffer containing 10% </w:t>
      </w:r>
      <w:r w:rsidRPr="002377DE">
        <w:rPr>
          <w:rFonts w:cs="Arial"/>
          <w:lang w:val="en-US"/>
        </w:rPr>
        <w:t>β</w:t>
      </w:r>
      <w:r w:rsidRPr="00794F6D">
        <w:rPr>
          <w:rFonts w:cs="Arial"/>
          <w:lang w:val="en-US"/>
        </w:rPr>
        <w:t xml:space="preserve">-mercaptoethanol and proceeded with denaturation at 95°C for 5 minutes. Detection of </w:t>
      </w:r>
      <w:r w:rsidRPr="00794F6D">
        <w:rPr>
          <w:rFonts w:cs="Arial"/>
          <w:lang w:val="en-US"/>
        </w:rPr>
        <w:lastRenderedPageBreak/>
        <w:t xml:space="preserve">biotinylated sortilin presence was performed using an antibody specifically directed against sortilin (#Ab16640, Abcam, France) and a streptavidin-HRP (#DY998, R&amp;D Systems, USA). Subsequent protein purification, as well as their analysis via mass spectrometry and the ensuing bioinformatics analysis, were rigorously conducted at the Institute of Genetics and Molecular and Cellular Biology (IGBMC, Strasbourg, France). </w:t>
      </w:r>
    </w:p>
    <w:p w14:paraId="4777F4A9" w14:textId="77777777" w:rsidR="005B3383" w:rsidRPr="00794F6D" w:rsidRDefault="005B3383" w:rsidP="008532E4">
      <w:pPr>
        <w:spacing w:after="0" w:line="480" w:lineRule="auto"/>
        <w:jc w:val="both"/>
        <w:rPr>
          <w:rFonts w:cs="Arial"/>
          <w:lang w:val="en-US"/>
        </w:rPr>
      </w:pPr>
    </w:p>
    <w:p w14:paraId="5FF1C565" w14:textId="77777777" w:rsidR="005B3383" w:rsidRPr="00794F6D" w:rsidRDefault="005B3383" w:rsidP="008532E4">
      <w:pPr>
        <w:spacing w:after="0" w:line="480" w:lineRule="auto"/>
        <w:jc w:val="both"/>
        <w:rPr>
          <w:rFonts w:eastAsia="Calibri" w:cs="Arial"/>
          <w:b/>
          <w:bCs/>
          <w:lang w:val="en-US"/>
        </w:rPr>
      </w:pPr>
      <w:r w:rsidRPr="00794F6D">
        <w:rPr>
          <w:rFonts w:eastAsia="Calibri" w:cs="Arial"/>
          <w:b/>
          <w:bCs/>
          <w:lang w:val="en-US"/>
        </w:rPr>
        <w:t>Reverse transcription and real-time PCR</w:t>
      </w:r>
    </w:p>
    <w:p w14:paraId="592E90E7" w14:textId="411C2BEC" w:rsidR="005B3383" w:rsidRDefault="005B3383" w:rsidP="008532E4">
      <w:pPr>
        <w:spacing w:after="0" w:line="480" w:lineRule="auto"/>
        <w:jc w:val="both"/>
        <w:rPr>
          <w:rFonts w:eastAsia="Calibri" w:cs="Arial"/>
          <w:lang w:val="en-US"/>
        </w:rPr>
      </w:pPr>
      <w:bookmarkStart w:id="1" w:name="OLE_LINK1"/>
      <w:r w:rsidRPr="00794F6D">
        <w:rPr>
          <w:rFonts w:eastAsia="Calibri" w:cs="Arial"/>
          <w:lang w:val="en-US"/>
        </w:rPr>
        <w:t>The total RNA extraction was carried out with the Qiagen RNeasy kit, following the manufacturer’s protocol. The synthesis of cDNA was performed with the High-Capacity cDNA Reverse Transcription Kit (#4368813, Applied Biosystems</w:t>
      </w:r>
      <w:r w:rsidR="00FB1A6E" w:rsidRPr="00FB1A6E">
        <w:rPr>
          <w:rFonts w:eastAsia="Calibri" w:cs="Arial"/>
          <w:lang w:val="en-US"/>
        </w:rPr>
        <w:t>, U</w:t>
      </w:r>
      <w:r w:rsidR="00FB1A6E">
        <w:rPr>
          <w:rFonts w:eastAsia="Calibri" w:cs="Arial"/>
          <w:lang w:val="en-US"/>
        </w:rPr>
        <w:t>SA</w:t>
      </w:r>
      <w:r w:rsidRPr="00794F6D">
        <w:rPr>
          <w:rFonts w:eastAsia="Calibri" w:cs="Arial"/>
          <w:lang w:val="en-US"/>
        </w:rPr>
        <w:t xml:space="preserve">). For quantitative PCR analysis, each qPCR reaction contained 100 ng of cDNA, TaqMan probes for </w:t>
      </w:r>
      <w:r w:rsidRPr="00794F6D">
        <w:rPr>
          <w:rFonts w:eastAsia="Calibri" w:cs="Arial"/>
          <w:i/>
          <w:lang w:val="en-US"/>
        </w:rPr>
        <w:t>ACTB</w:t>
      </w:r>
      <w:r w:rsidRPr="00794F6D">
        <w:rPr>
          <w:rFonts w:eastAsia="Calibri" w:cs="Arial"/>
          <w:lang w:val="en-US"/>
        </w:rPr>
        <w:t xml:space="preserve"> (Hs01060665_g1), </w:t>
      </w:r>
      <w:r w:rsidRPr="00794F6D">
        <w:rPr>
          <w:rFonts w:eastAsia="Calibri" w:cs="Arial"/>
          <w:i/>
          <w:lang w:val="en-US"/>
        </w:rPr>
        <w:t>SORT1</w:t>
      </w:r>
      <w:r w:rsidRPr="00794F6D">
        <w:rPr>
          <w:rFonts w:eastAsia="Calibri" w:cs="Arial"/>
          <w:lang w:val="en-US"/>
        </w:rPr>
        <w:t xml:space="preserve"> (Hs00361760_m1)</w:t>
      </w:r>
      <w:r>
        <w:rPr>
          <w:rFonts w:eastAsia="Calibri" w:cs="Arial"/>
          <w:lang w:val="en-US"/>
        </w:rPr>
        <w:t>,</w:t>
      </w:r>
      <w:r w:rsidRPr="00794F6D">
        <w:rPr>
          <w:rFonts w:eastAsia="Calibri" w:cs="Arial"/>
          <w:lang w:val="en-US"/>
        </w:rPr>
        <w:t xml:space="preserve"> </w:t>
      </w:r>
      <w:r w:rsidRPr="00794F6D">
        <w:rPr>
          <w:rFonts w:eastAsia="Calibri" w:cs="Arial"/>
          <w:i/>
          <w:lang w:val="en-US"/>
        </w:rPr>
        <w:t>EGFR</w:t>
      </w:r>
      <w:r w:rsidRPr="00794F6D">
        <w:rPr>
          <w:rFonts w:eastAsia="Calibri" w:cs="Arial"/>
          <w:lang w:val="en-US"/>
        </w:rPr>
        <w:t xml:space="preserve"> (Hs01076090_m1)</w:t>
      </w:r>
      <w:r>
        <w:rPr>
          <w:rFonts w:eastAsia="Calibri" w:cs="Arial"/>
          <w:lang w:val="en-US"/>
        </w:rPr>
        <w:t>,</w:t>
      </w:r>
      <w:r w:rsidRPr="00794F6D">
        <w:rPr>
          <w:rFonts w:eastAsia="Calibri" w:cs="Arial"/>
          <w:lang w:val="en-US"/>
        </w:rPr>
        <w:t xml:space="preserve"> </w:t>
      </w:r>
      <w:r w:rsidRPr="00794F6D">
        <w:rPr>
          <w:rFonts w:eastAsia="Calibri" w:cs="Arial"/>
          <w:i/>
          <w:iCs/>
          <w:lang w:val="en-US"/>
        </w:rPr>
        <w:t>AKT</w:t>
      </w:r>
      <w:r w:rsidRPr="00794F6D">
        <w:rPr>
          <w:rFonts w:eastAsia="Calibri" w:cs="Arial"/>
          <w:lang w:val="en-US"/>
        </w:rPr>
        <w:t xml:space="preserve"> (Hs00178289_m1), </w:t>
      </w:r>
      <w:r w:rsidRPr="00794F6D">
        <w:rPr>
          <w:rFonts w:eastAsia="Calibri" w:cs="Arial"/>
          <w:i/>
          <w:iCs/>
          <w:lang w:val="en-US"/>
        </w:rPr>
        <w:t>MTOR</w:t>
      </w:r>
      <w:r w:rsidRPr="00794F6D">
        <w:rPr>
          <w:rFonts w:eastAsia="Calibri" w:cs="Arial"/>
          <w:lang w:val="en-US"/>
        </w:rPr>
        <w:t xml:space="preserve"> (Hs00234508_m1), </w:t>
      </w:r>
      <w:r w:rsidRPr="00794F6D">
        <w:rPr>
          <w:rFonts w:eastAsia="Calibri" w:cs="Arial"/>
          <w:i/>
          <w:iCs/>
          <w:lang w:val="en-US"/>
        </w:rPr>
        <w:t>SOX2</w:t>
      </w:r>
      <w:r w:rsidRPr="00794F6D">
        <w:rPr>
          <w:rFonts w:eastAsia="Calibri" w:cs="Arial"/>
          <w:lang w:val="en-US"/>
        </w:rPr>
        <w:t xml:space="preserve"> (Hs0423836_s1)</w:t>
      </w:r>
      <w:r>
        <w:rPr>
          <w:rFonts w:eastAsia="Calibri" w:cs="Arial"/>
          <w:lang w:val="en-US"/>
        </w:rPr>
        <w:t xml:space="preserve"> and</w:t>
      </w:r>
      <w:r w:rsidRPr="00794F6D">
        <w:rPr>
          <w:rFonts w:eastAsia="Calibri" w:cs="Arial"/>
          <w:lang w:val="en-US"/>
        </w:rPr>
        <w:t xml:space="preserve"> </w:t>
      </w:r>
      <w:r w:rsidRPr="00794F6D">
        <w:rPr>
          <w:rFonts w:eastAsia="Calibri" w:cs="Arial"/>
          <w:i/>
          <w:iCs/>
          <w:lang w:val="en-US"/>
        </w:rPr>
        <w:t>UBC</w:t>
      </w:r>
      <w:r w:rsidRPr="00794F6D">
        <w:rPr>
          <w:rFonts w:eastAsia="Calibri" w:cs="Arial"/>
          <w:lang w:val="en-US"/>
        </w:rPr>
        <w:t xml:space="preserve"> (Hs0082473_m1), were from Applied Biosystems</w:t>
      </w:r>
      <w:r w:rsidR="002B509C">
        <w:rPr>
          <w:rFonts w:eastAsia="Calibri" w:cs="Arial"/>
          <w:lang w:val="en-US"/>
        </w:rPr>
        <w:t xml:space="preserve"> (France)</w:t>
      </w:r>
      <w:r w:rsidRPr="00794F6D">
        <w:rPr>
          <w:rFonts w:eastAsia="Calibri" w:cs="Arial"/>
          <w:lang w:val="en-US"/>
        </w:rPr>
        <w:t xml:space="preserve"> and the SensiFAST Probe Hi-ROX kit (#BIO-82020, Meridian Bioscience</w:t>
      </w:r>
      <w:r w:rsidR="00FB1A6E">
        <w:rPr>
          <w:rFonts w:eastAsia="Calibri" w:cs="Arial"/>
          <w:lang w:val="en-US"/>
        </w:rPr>
        <w:t>, France</w:t>
      </w:r>
      <w:r w:rsidRPr="00794F6D">
        <w:rPr>
          <w:rFonts w:eastAsia="Calibri" w:cs="Arial"/>
          <w:lang w:val="en-US"/>
        </w:rPr>
        <w:t>). The amplification step was performed using the QuantStudio5 real-time PCR system from ThermoFisher Scientific.</w:t>
      </w:r>
      <w:bookmarkEnd w:id="1"/>
    </w:p>
    <w:p w14:paraId="6A79C642" w14:textId="77777777" w:rsidR="00E65293" w:rsidRDefault="00E65293" w:rsidP="008532E4">
      <w:pPr>
        <w:spacing w:after="0" w:line="480" w:lineRule="auto"/>
        <w:jc w:val="both"/>
        <w:rPr>
          <w:rFonts w:eastAsia="Calibri" w:cs="Arial"/>
          <w:lang w:val="en-US"/>
        </w:rPr>
      </w:pPr>
    </w:p>
    <w:p w14:paraId="5CB7B1BC" w14:textId="77777777" w:rsidR="00E65293" w:rsidRPr="00794F6D" w:rsidRDefault="00E65293" w:rsidP="008532E4">
      <w:pPr>
        <w:spacing w:after="0" w:line="480" w:lineRule="auto"/>
        <w:jc w:val="both"/>
        <w:rPr>
          <w:rFonts w:cs="Arial"/>
          <w:b/>
          <w:lang w:val="en-US"/>
        </w:rPr>
      </w:pPr>
      <w:r w:rsidRPr="00794F6D">
        <w:rPr>
          <w:rFonts w:cs="Arial"/>
          <w:b/>
          <w:lang w:val="en-US"/>
        </w:rPr>
        <w:t xml:space="preserve">Clonogenic assay </w:t>
      </w:r>
    </w:p>
    <w:p w14:paraId="0E2A5862" w14:textId="77777777" w:rsidR="005B3383" w:rsidRPr="00D84FA2" w:rsidRDefault="00E65293" w:rsidP="008532E4">
      <w:pPr>
        <w:spacing w:after="0" w:line="480" w:lineRule="auto"/>
        <w:jc w:val="both"/>
        <w:rPr>
          <w:rFonts w:cs="Arial"/>
          <w:bCs/>
          <w:lang w:val="en-US"/>
        </w:rPr>
      </w:pPr>
      <w:r w:rsidRPr="00614BC5">
        <w:rPr>
          <w:rFonts w:cs="Arial"/>
          <w:bCs/>
          <w:lang w:val="en-US"/>
        </w:rPr>
        <w:t xml:space="preserve">Spheroids were generated using ultra-low-fixation Nunc Sphera 96U 96-well plates (#174925, Thermo Fisher Scientific, USA). Cells were maintained in Dulbecco's DMEM GlutaMAX medium. For cell density, 100 cells were seeded per well in 200 µl of DMEM GlutaMAX medium. After seeding, 100 nM doxycycline was added to the wells, as per experimental requirements. Plates were incubated at 37°C and 5% CO2. Spheroid formation was monitored from 24 h to 15 days after seeding. Spheroid dimensions were determined by bright-field microscopy at 5X magnification (LEICA DMi8), and image analysis was performed with ImageJ software (NIH, USA). The maximum (h) and minimum (s) diameters of each spheroid were measured, and the spheroid volume (V) was estimated using the modified ellipsoid formula: V </w:t>
      </w:r>
      <w:r w:rsidRPr="00614BC5">
        <w:rPr>
          <w:rFonts w:cs="Arial"/>
          <w:bCs/>
          <w:lang w:val="en-US"/>
        </w:rPr>
        <w:lastRenderedPageBreak/>
        <w:t>= h × s^2 × π/6, an approach derived from the method described by D. Braunholz et al. (2016)</w:t>
      </w:r>
      <w:r w:rsidRPr="00794F6D">
        <w:rPr>
          <w:rFonts w:cs="Arial"/>
          <w:bCs/>
          <w:lang w:val="en-US"/>
        </w:rPr>
        <w:fldChar w:fldCharType="begin"/>
      </w:r>
      <w:r w:rsidRPr="00794F6D">
        <w:rPr>
          <w:rFonts w:cs="Arial"/>
          <w:bCs/>
          <w:lang w:val="en-US"/>
        </w:rPr>
        <w:instrText xml:space="preserve"> ADDIN ZOTERO_ITEM CSL_CITATION {"citationID":"a2mh1r2kq2h","properties":{"formattedCitation":"\\super 13\\nosupersub{}","plainCitation":"13","noteIndex":0},"citationItems":[{"id":155,"uris":["http://zotero.org/users/12266972/items/P366239J"],"itemData":{"id":155,"type":"article-journal","abstract":"In solid tumours millions of cells are shed into the blood circulation each day. Only a subset of these circulating tumour cells (CTCs) survive, many of them presumable because of their potential to form multi-cellular clusters also named spheroids. Tumour cells within these spheroids are protected from anoikis, which allows them to metastasize to distant organs or re-seed at the primary site. We used spheroid cultures of head and neck squamous cell carcinoma (HNSCC) cell lines as a model for such CTC clusters for determining the role of the epidermal growth factor receptor (EGFR) in cluster formation ability and cell survival after detachment from the extra-cellular matrix. The HNSCC cell lines FaDu, SCC-9 and UT-SCC-9 (UT-SCC-9P) as well as its cetuximab (CTX)-resistant sub-clone (UT-SCC-9R) were forced to grow in an anchorage-independent manner by coating culture dishes with the anti-adhesive polymer poly-2-hydroxyethylmethacrylate (poly-HEMA). The extent of apoptosis, clonogenic survival and EGFR signalling under such culture conditions was evaluated. The potential of spheroid formation in suspension culture was found to be positively correlated with the proliferation rate of HNSCC cell lines as well as their basal EGFR expression levels. CTX and gefitinib blocked, whereas the addition of EGFR ligands promoted anchorage-independent cell survival and spheroid formation. Increased spheroid formation and growth were associated with persistent activation of EGFR and its downstream signalling component (MAPK/ERK). Importantly, HNSCC cells derived from spheroid cultures retained their clonogenic potential in the absence of cell-matrix contact. Addition of CTX under these conditions strongly inhibited colony formation in CTX-sensitive cell lines but not their resistant subclones. Altogether, EGFR activation was identified as crucial factor for anchorage-independent survival of HNSCC cells. Targeting EGFR in CTC cluster formation might represent an attractive anti-metastatic treatment approach in HNSCC.","container-title":"PLoS ONE","DOI":"10.1371/journal.pone.0163149","ISSN":"1932-6203","issue":"9","journalAbbreviation":"PLoS One","note":"PMID: 27643613\nPMCID: PMC5028019","page":"e0163149","source":"PubMed Central","title":"Spheroid Culture of Head and Neck Cancer Cells Reveals an Important Role of EGFR Signalling in Anchorage Independent Survival","volume":"11","author":[{"family":"Braunholz","given":"Diana"},{"family":"Saki","given":"Mohammad"},{"family":"Niehr","given":"Franziska"},{"family":"Öztürk","given":"Merve"},{"family":"Borràs Puértolas","given":"Berta"},{"family":"Konschak","given":"Robert"},{"family":"Budach","given":"Volker"},{"family":"Tinhofer","given":"Ingeborg"}],"issued":{"date-parts":[["2016",9,19]]}}}],"schema":"https://github.com/citation-style-language/schema/raw/master/csl-citation.json"} </w:instrText>
      </w:r>
      <w:r w:rsidRPr="00794F6D">
        <w:rPr>
          <w:rFonts w:cs="Arial"/>
          <w:bCs/>
          <w:lang w:val="en-US"/>
        </w:rPr>
        <w:fldChar w:fldCharType="separate"/>
      </w:r>
      <w:r w:rsidRPr="002377DE">
        <w:rPr>
          <w:rFonts w:cs="Arial"/>
          <w:vertAlign w:val="superscript"/>
          <w:lang w:val="en-US"/>
        </w:rPr>
        <w:t>13</w:t>
      </w:r>
      <w:r w:rsidRPr="00794F6D">
        <w:rPr>
          <w:rFonts w:cs="Arial"/>
          <w:bCs/>
          <w:lang w:val="en-US"/>
        </w:rPr>
        <w:fldChar w:fldCharType="end"/>
      </w:r>
      <w:r w:rsidRPr="00794F6D">
        <w:rPr>
          <w:rFonts w:cs="Arial"/>
          <w:bCs/>
          <w:lang w:val="en-US"/>
        </w:rPr>
        <w:t>.</w:t>
      </w:r>
    </w:p>
    <w:sectPr w:rsidR="005B3383" w:rsidRPr="00D84F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383"/>
    <w:rsid w:val="00044B56"/>
    <w:rsid w:val="00052692"/>
    <w:rsid w:val="00125D76"/>
    <w:rsid w:val="002B2917"/>
    <w:rsid w:val="002B509C"/>
    <w:rsid w:val="00364796"/>
    <w:rsid w:val="004A22D7"/>
    <w:rsid w:val="005B3383"/>
    <w:rsid w:val="00726A7F"/>
    <w:rsid w:val="007C3A3B"/>
    <w:rsid w:val="008532E4"/>
    <w:rsid w:val="008930BD"/>
    <w:rsid w:val="00C1535D"/>
    <w:rsid w:val="00C94D5B"/>
    <w:rsid w:val="00D84FA2"/>
    <w:rsid w:val="00DA0432"/>
    <w:rsid w:val="00E3519C"/>
    <w:rsid w:val="00E65293"/>
    <w:rsid w:val="00FB1A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09A7E"/>
  <w15:chartTrackingRefBased/>
  <w15:docId w15:val="{C2F1D863-0AE4-4E1D-8F11-BDEDC827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383"/>
    <w:rPr>
      <w:rFonts w:ascii="Arial" w:hAnsi="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3026</Words>
  <Characters>16649</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Yassine</dc:creator>
  <cp:keywords/>
  <dc:description/>
  <cp:lastModifiedBy>Thomas Naves</cp:lastModifiedBy>
  <cp:revision>2</cp:revision>
  <cp:lastPrinted>2023-10-02T15:30:00Z</cp:lastPrinted>
  <dcterms:created xsi:type="dcterms:W3CDTF">2023-10-10T09:56:00Z</dcterms:created>
  <dcterms:modified xsi:type="dcterms:W3CDTF">2023-10-10T09:56:00Z</dcterms:modified>
</cp:coreProperties>
</file>