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1F9" w:rsidRDefault="0035521F">
      <w:r>
        <w:t>Supplemental Figure 1</w:t>
      </w:r>
    </w:p>
    <w:p w:rsidR="0035521F" w:rsidRDefault="0035521F"/>
    <w:p w:rsidR="0035521F" w:rsidRDefault="0035521F">
      <w:commentRangeStart w:id="0"/>
      <w:r>
        <w:rPr>
          <w:noProof/>
        </w:rPr>
        <w:drawing>
          <wp:anchor distT="0" distB="0" distL="114300" distR="114300" simplePos="0" relativeHeight="251659264" behindDoc="0" locked="0" layoutInCell="1" allowOverlap="1" wp14:anchorId="0D9818E9" wp14:editId="1F00529A">
            <wp:simplePos x="0" y="0"/>
            <wp:positionH relativeFrom="column">
              <wp:posOffset>390525</wp:posOffset>
            </wp:positionH>
            <wp:positionV relativeFrom="paragraph">
              <wp:posOffset>186055</wp:posOffset>
            </wp:positionV>
            <wp:extent cx="4724400" cy="4876800"/>
            <wp:effectExtent l="0" t="0" r="0" b="0"/>
            <wp:wrapSquare wrapText="bothSides"/>
            <wp:docPr id="26" name="Chart 26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cx="http://schemas.microsoft.com/office/drawing/2014/chartex" xmlns="" id="{0EB260EB-6A36-416F-8DC7-311D59556851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commentRangeEnd w:id="0"/>
    </w:p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Pr="0035521F" w:rsidRDefault="0035521F" w:rsidP="0035521F">
      <w:pPr>
        <w:spacing w:after="120" w:line="360" w:lineRule="auto"/>
        <w:rPr>
          <w:rFonts w:ascii="Times New Roman" w:hAnsi="Times New Roman"/>
          <w:noProof/>
          <w:lang w:val="en-GB"/>
        </w:rPr>
      </w:pPr>
      <w:bookmarkStart w:id="1" w:name="_GoBack"/>
      <w:r w:rsidRPr="0035521F">
        <w:rPr>
          <w:rFonts w:ascii="Times New Roman" w:hAnsi="Times New Roman"/>
          <w:b/>
          <w:noProof/>
          <w:lang w:val="en-GB"/>
        </w:rPr>
        <w:t xml:space="preserve">Supplemental </w:t>
      </w:r>
      <w:r w:rsidRPr="0035521F">
        <w:rPr>
          <w:rFonts w:ascii="Times New Roman" w:hAnsi="Times New Roman"/>
          <w:b/>
          <w:noProof/>
          <w:lang w:val="en-GB"/>
        </w:rPr>
        <w:t xml:space="preserve">Figure </w:t>
      </w:r>
      <w:r w:rsidRPr="0035521F">
        <w:rPr>
          <w:rFonts w:ascii="Times New Roman" w:hAnsi="Times New Roman"/>
          <w:b/>
          <w:noProof/>
          <w:lang w:val="en-GB"/>
        </w:rPr>
        <w:t>1</w:t>
      </w:r>
      <w:r w:rsidRPr="0035521F">
        <w:rPr>
          <w:rFonts w:ascii="Times New Roman" w:hAnsi="Times New Roman"/>
          <w:b/>
          <w:noProof/>
          <w:lang w:val="en-GB"/>
        </w:rPr>
        <w:t>:</w:t>
      </w:r>
      <w:r w:rsidRPr="0035521F">
        <w:rPr>
          <w:rFonts w:ascii="Times New Roman" w:hAnsi="Times New Roman"/>
          <w:noProof/>
          <w:lang w:val="en-GB"/>
        </w:rPr>
        <w:t xml:space="preserve"> </w:t>
      </w:r>
      <w:bookmarkEnd w:id="1"/>
      <w:r w:rsidRPr="0035521F">
        <w:rPr>
          <w:rFonts w:ascii="Times New Roman" w:hAnsi="Times New Roman"/>
          <w:noProof/>
          <w:lang w:val="en-GB"/>
        </w:rPr>
        <w:t xml:space="preserve">The mean reduction (differences in post-treatment   minus baseline) </w:t>
      </w:r>
      <w:r w:rsidRPr="0035521F">
        <w:rPr>
          <w:rFonts w:ascii="Times New Roman" w:hAnsi="Times New Roman" w:cs="Times New Roman"/>
          <w:sz w:val="24"/>
          <w:szCs w:val="24"/>
        </w:rPr>
        <w:t>There were statistically significant differences</w:t>
      </w:r>
      <w:r w:rsidRPr="0035521F">
        <w:rPr>
          <w:rFonts w:ascii="Times New Roman" w:hAnsi="Times New Roman"/>
          <w:noProof/>
          <w:lang w:val="en-GB"/>
        </w:rPr>
        <w:t xml:space="preserve"> in individual NDI components, for the two treatment arms (p&lt;0.0001). PSWT Treatment resulted in superior NDI reduction, among all 10 components. </w:t>
      </w:r>
    </w:p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p w:rsidR="0035521F" w:rsidRDefault="0035521F"/>
    <w:sectPr w:rsidR="00355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521F"/>
    <w:rsid w:val="002731F9"/>
    <w:rsid w:val="0035521F"/>
    <w:rsid w:val="0040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C:\Users\Sree%20Koneru\Dropbox%20(BioElectronics)\Research\Lebanon%20Studies\Chronic%20neck%20pain\Data\NECK%20DATA%20FILE%20REPORT%20with%20OA%20grading_BMI_April%202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3101030212633111"/>
          <c:y val="0.20764784284776902"/>
          <c:w val="0.80611745117763367"/>
          <c:h val="0.7707281414041994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'May 21 Plots'!$B$1</c:f>
              <c:strCache>
                <c:ptCount val="1"/>
                <c:pt idx="0">
                  <c:v>PSWT</c:v>
                </c:pt>
              </c:strCache>
            </c:strRef>
          </c:tx>
          <c:spPr>
            <a:pattFill prst="ltDnDiag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dk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'May 21 Plots'!$C$2:$C$11</c:f>
                <c:numCache>
                  <c:formatCode>General</c:formatCode>
                  <c:ptCount val="10"/>
                  <c:pt idx="0">
                    <c:v>7.6385971622630805E-2</c:v>
                  </c:pt>
                  <c:pt idx="1">
                    <c:v>7.6879557478789953E-2</c:v>
                  </c:pt>
                  <c:pt idx="2">
                    <c:v>6.6654798991153563E-2</c:v>
                  </c:pt>
                  <c:pt idx="3">
                    <c:v>7.4235153105305665E-2</c:v>
                  </c:pt>
                  <c:pt idx="4">
                    <c:v>8.7165931466379493E-2</c:v>
                  </c:pt>
                  <c:pt idx="5">
                    <c:v>6.8055429422156352E-2</c:v>
                  </c:pt>
                  <c:pt idx="6">
                    <c:v>6.4682866854422455E-2</c:v>
                  </c:pt>
                  <c:pt idx="7">
                    <c:v>8.0741711172753264E-2</c:v>
                  </c:pt>
                  <c:pt idx="8">
                    <c:v>8.6138843272931864E-2</c:v>
                  </c:pt>
                  <c:pt idx="9">
                    <c:v>7.4546212321277033E-2</c:v>
                  </c:pt>
                </c:numCache>
              </c:numRef>
            </c:plus>
            <c:minus>
              <c:numRef>
                <c:f>'May 21 Plots'!$C$2:$C$11</c:f>
                <c:numCache>
                  <c:formatCode>General</c:formatCode>
                  <c:ptCount val="10"/>
                  <c:pt idx="0">
                    <c:v>7.6385971622630805E-2</c:v>
                  </c:pt>
                  <c:pt idx="1">
                    <c:v>7.6879557478789953E-2</c:v>
                  </c:pt>
                  <c:pt idx="2">
                    <c:v>6.6654798991153563E-2</c:v>
                  </c:pt>
                  <c:pt idx="3">
                    <c:v>7.4235153105305665E-2</c:v>
                  </c:pt>
                  <c:pt idx="4">
                    <c:v>8.7165931466379493E-2</c:v>
                  </c:pt>
                  <c:pt idx="5">
                    <c:v>6.8055429422156352E-2</c:v>
                  </c:pt>
                  <c:pt idx="6">
                    <c:v>6.4682866854422455E-2</c:v>
                  </c:pt>
                  <c:pt idx="7">
                    <c:v>8.0741711172753264E-2</c:v>
                  </c:pt>
                  <c:pt idx="8">
                    <c:v>8.6138843272931864E-2</c:v>
                  </c:pt>
                  <c:pt idx="9">
                    <c:v>7.4546212321277033E-2</c:v>
                  </c:pt>
                </c:numCache>
              </c:numRef>
            </c:minus>
            <c:spPr>
              <a:noFill/>
              <a:ln w="1587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'May 21 Plots'!$A$2:$A$11</c:f>
              <c:strCache>
                <c:ptCount val="10"/>
                <c:pt idx="0">
                  <c:v>Pain Intensity</c:v>
                </c:pt>
                <c:pt idx="1">
                  <c:v>Personal Care</c:v>
                </c:pt>
                <c:pt idx="2">
                  <c:v>Lifting</c:v>
                </c:pt>
                <c:pt idx="3">
                  <c:v>Reading</c:v>
                </c:pt>
                <c:pt idx="4">
                  <c:v>Headaches</c:v>
                </c:pt>
                <c:pt idx="5">
                  <c:v>Concentration</c:v>
                </c:pt>
                <c:pt idx="6">
                  <c:v>Work</c:v>
                </c:pt>
                <c:pt idx="7">
                  <c:v>Driving</c:v>
                </c:pt>
                <c:pt idx="8">
                  <c:v>Sleeping</c:v>
                </c:pt>
                <c:pt idx="9">
                  <c:v>Recreation</c:v>
                </c:pt>
              </c:strCache>
            </c:strRef>
          </c:cat>
          <c:val>
            <c:numRef>
              <c:f>'May 21 Plots'!$B$2:$B$11</c:f>
              <c:numCache>
                <c:formatCode>General</c:formatCode>
                <c:ptCount val="10"/>
                <c:pt idx="0">
                  <c:v>-2.0377358490566038</c:v>
                </c:pt>
                <c:pt idx="1">
                  <c:v>-1.6320754716981132</c:v>
                </c:pt>
                <c:pt idx="2">
                  <c:v>-1.320754716981132</c:v>
                </c:pt>
                <c:pt idx="3">
                  <c:v>-1.5283018867924529</c:v>
                </c:pt>
                <c:pt idx="4">
                  <c:v>-1.9339622641509433</c:v>
                </c:pt>
                <c:pt idx="5">
                  <c:v>-1.320754716981132</c:v>
                </c:pt>
                <c:pt idx="6">
                  <c:v>-1.5377358490566038</c:v>
                </c:pt>
                <c:pt idx="7">
                  <c:v>-1.7641509433962264</c:v>
                </c:pt>
                <c:pt idx="8">
                  <c:v>-1.6320754716981132</c:v>
                </c:pt>
                <c:pt idx="9">
                  <c:v>-1.3773584905660377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8A99-4054-B104-D498633589C1}"/>
            </c:ext>
          </c:extLst>
        </c:ser>
        <c:ser>
          <c:idx val="1"/>
          <c:order val="1"/>
          <c:tx>
            <c:strRef>
              <c:f>'May 21 Plots'!$D$1</c:f>
              <c:strCache>
                <c:ptCount val="1"/>
                <c:pt idx="0">
                  <c:v>NSAID</c:v>
                </c:pt>
              </c:strCache>
            </c:strRef>
          </c:tx>
          <c:spPr>
            <a:pattFill prst="dashHorz">
              <a:fgClr>
                <a:schemeClr val="tx1"/>
              </a:fgClr>
              <a:bgClr>
                <a:schemeClr val="bg1"/>
              </a:bgClr>
            </a:pattFill>
            <a:ln>
              <a:solidFill>
                <a:schemeClr val="dk1"/>
              </a:solidFill>
            </a:ln>
            <a:effectLst/>
          </c:spPr>
          <c:invertIfNegative val="0"/>
          <c:errBars>
            <c:errBarType val="both"/>
            <c:errValType val="cust"/>
            <c:noEndCap val="0"/>
            <c:plus>
              <c:numRef>
                <c:f>'May 21 Plots'!$E$2:$E$11</c:f>
                <c:numCache>
                  <c:formatCode>General</c:formatCode>
                  <c:ptCount val="10"/>
                  <c:pt idx="0">
                    <c:v>6.7585504758895895E-2</c:v>
                  </c:pt>
                  <c:pt idx="1">
                    <c:v>6.4410813024422545E-2</c:v>
                  </c:pt>
                  <c:pt idx="2">
                    <c:v>5.639189083080938E-2</c:v>
                  </c:pt>
                  <c:pt idx="3">
                    <c:v>7.8915552327110852E-2</c:v>
                  </c:pt>
                  <c:pt idx="4">
                    <c:v>7.0269968555035117E-2</c:v>
                  </c:pt>
                  <c:pt idx="5">
                    <c:v>7.3709609793864192E-2</c:v>
                  </c:pt>
                  <c:pt idx="6">
                    <c:v>6.1912087478647654E-2</c:v>
                  </c:pt>
                  <c:pt idx="7">
                    <c:v>8.2785957379431355E-2</c:v>
                  </c:pt>
                  <c:pt idx="8">
                    <c:v>8.6974857575854284E-2</c:v>
                  </c:pt>
                  <c:pt idx="9">
                    <c:v>6.4481184304040984E-2</c:v>
                  </c:pt>
                </c:numCache>
              </c:numRef>
            </c:plus>
            <c:minus>
              <c:numRef>
                <c:f>'May 21 Plots'!$E$2:$E$11</c:f>
                <c:numCache>
                  <c:formatCode>General</c:formatCode>
                  <c:ptCount val="10"/>
                  <c:pt idx="0">
                    <c:v>6.7585504758895895E-2</c:v>
                  </c:pt>
                  <c:pt idx="1">
                    <c:v>6.4410813024422545E-2</c:v>
                  </c:pt>
                  <c:pt idx="2">
                    <c:v>5.639189083080938E-2</c:v>
                  </c:pt>
                  <c:pt idx="3">
                    <c:v>7.8915552327110852E-2</c:v>
                  </c:pt>
                  <c:pt idx="4">
                    <c:v>7.0269968555035117E-2</c:v>
                  </c:pt>
                  <c:pt idx="5">
                    <c:v>7.3709609793864192E-2</c:v>
                  </c:pt>
                  <c:pt idx="6">
                    <c:v>6.1912087478647654E-2</c:v>
                  </c:pt>
                  <c:pt idx="7">
                    <c:v>8.2785957379431355E-2</c:v>
                  </c:pt>
                  <c:pt idx="8">
                    <c:v>8.6974857575854284E-2</c:v>
                  </c:pt>
                  <c:pt idx="9">
                    <c:v>6.4481184304040984E-2</c:v>
                  </c:pt>
                </c:numCache>
              </c:numRef>
            </c:minus>
            <c:spPr>
              <a:noFill/>
              <a:ln w="15875" cap="flat" cmpd="sng" algn="ctr">
                <a:solidFill>
                  <a:schemeClr val="tx1">
                    <a:lumMod val="65000"/>
                    <a:lumOff val="35000"/>
                  </a:schemeClr>
                </a:solidFill>
                <a:round/>
              </a:ln>
              <a:effectLst/>
            </c:spPr>
          </c:errBars>
          <c:cat>
            <c:strRef>
              <c:f>'May 21 Plots'!$A$2:$A$11</c:f>
              <c:strCache>
                <c:ptCount val="10"/>
                <c:pt idx="0">
                  <c:v>Pain Intensity</c:v>
                </c:pt>
                <c:pt idx="1">
                  <c:v>Personal Care</c:v>
                </c:pt>
                <c:pt idx="2">
                  <c:v>Lifting</c:v>
                </c:pt>
                <c:pt idx="3">
                  <c:v>Reading</c:v>
                </c:pt>
                <c:pt idx="4">
                  <c:v>Headaches</c:v>
                </c:pt>
                <c:pt idx="5">
                  <c:v>Concentration</c:v>
                </c:pt>
                <c:pt idx="6">
                  <c:v>Work</c:v>
                </c:pt>
                <c:pt idx="7">
                  <c:v>Driving</c:v>
                </c:pt>
                <c:pt idx="8">
                  <c:v>Sleeping</c:v>
                </c:pt>
                <c:pt idx="9">
                  <c:v>Recreation</c:v>
                </c:pt>
              </c:strCache>
            </c:strRef>
          </c:cat>
          <c:val>
            <c:numRef>
              <c:f>'May 21 Plots'!$D$2:$D$11</c:f>
              <c:numCache>
                <c:formatCode>General</c:formatCode>
                <c:ptCount val="10"/>
                <c:pt idx="0">
                  <c:v>-1.6476190476190475</c:v>
                </c:pt>
                <c:pt idx="1">
                  <c:v>-1.2476190476190476</c:v>
                </c:pt>
                <c:pt idx="2">
                  <c:v>-1.0761904761904761</c:v>
                </c:pt>
                <c:pt idx="3">
                  <c:v>-1.1238095238095238</c:v>
                </c:pt>
                <c:pt idx="4">
                  <c:v>-1.4380952380952381</c:v>
                </c:pt>
                <c:pt idx="5">
                  <c:v>-1.0952380952380953</c:v>
                </c:pt>
                <c:pt idx="6">
                  <c:v>-1.161904761904762</c:v>
                </c:pt>
                <c:pt idx="7">
                  <c:v>-1.3523809523809525</c:v>
                </c:pt>
                <c:pt idx="8">
                  <c:v>-1.2857142857142858</c:v>
                </c:pt>
                <c:pt idx="9">
                  <c:v>-1.0571428571428572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8A99-4054-B104-D498633589C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60"/>
        <c:axId val="202323456"/>
        <c:axId val="178352640"/>
      </c:barChart>
      <c:catAx>
        <c:axId val="202323456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NDI Component</a:t>
                </a:r>
              </a:p>
            </c:rich>
          </c:tx>
          <c:layout>
            <c:manualLayout>
              <c:xMode val="edge"/>
              <c:yMode val="edge"/>
              <c:x val="0.42234038031898086"/>
              <c:y val="5.7855415710831408E-3"/>
            </c:manualLayout>
          </c:layout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high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8352640"/>
        <c:crosses val="autoZero"/>
        <c:auto val="1"/>
        <c:lblAlgn val="ctr"/>
        <c:lblOffset val="10"/>
        <c:noMultiLvlLbl val="0"/>
      </c:catAx>
      <c:valAx>
        <c:axId val="178352640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b="1">
                    <a:solidFill>
                      <a:schemeClr val="tx1"/>
                    </a:solidFill>
                  </a:rPr>
                  <a:t>Mean Reduction (NDI</a:t>
                </a:r>
                <a:r>
                  <a:rPr lang="en-US" b="1" baseline="0">
                    <a:solidFill>
                      <a:schemeClr val="tx1"/>
                    </a:solidFill>
                  </a:rPr>
                  <a:t> Points)</a:t>
                </a:r>
                <a:endParaRPr lang="en-US" b="1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</c:title>
        <c:numFmt formatCode="General" sourceLinked="1"/>
        <c:majorTickMark val="none"/>
        <c:minorTickMark val="none"/>
        <c:tickLblPos val="nextTo"/>
        <c:spPr>
          <a:noFill/>
          <a:ln w="6350" cap="flat" cmpd="sng" algn="ctr">
            <a:solidFill>
              <a:schemeClr val="dk1"/>
            </a:solidFill>
            <a:prstDash val="solid"/>
            <a:miter lim="800000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202323456"/>
        <c:crosses val="autoZero"/>
        <c:crossBetween val="between"/>
      </c:valAx>
      <c:spPr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c:spPr>
    </c:plotArea>
    <c:legend>
      <c:legendPos val="b"/>
      <c:layout>
        <c:manualLayout>
          <c:xMode val="edge"/>
          <c:yMode val="edge"/>
          <c:x val="0.65046101184835481"/>
          <c:y val="0.80817595635191275"/>
          <c:w val="0.27183652371681111"/>
          <c:h val="0.14517763035526068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50" b="1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Ian Rawe</dc:creator>
  <cp:lastModifiedBy>Ian Rawe</cp:lastModifiedBy>
  <cp:revision>1</cp:revision>
  <dcterms:created xsi:type="dcterms:W3CDTF">2020-06-09T21:00:00Z</dcterms:created>
  <dcterms:modified xsi:type="dcterms:W3CDTF">2020-06-09T21:02:00Z</dcterms:modified>
</cp:coreProperties>
</file>