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447" w:rsidRDefault="004A5447" w:rsidP="00B6292A">
      <w:pPr>
        <w:spacing w:line="360" w:lineRule="auto"/>
        <w:jc w:val="both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Supplementary </w:t>
      </w:r>
      <w:r w:rsidR="00747BBA">
        <w:rPr>
          <w:rFonts w:ascii="Arial" w:hAnsi="Arial" w:cs="Arial"/>
          <w:b/>
          <w:sz w:val="32"/>
          <w:szCs w:val="32"/>
          <w:lang w:val="en-US"/>
        </w:rPr>
        <w:t xml:space="preserve">Materials </w:t>
      </w:r>
    </w:p>
    <w:p w:rsidR="00B6292A" w:rsidRPr="00DC382F" w:rsidRDefault="00B6292A" w:rsidP="00B6292A">
      <w:pPr>
        <w:spacing w:line="360" w:lineRule="auto"/>
        <w:jc w:val="both"/>
        <w:rPr>
          <w:rFonts w:ascii="Arial" w:hAnsi="Arial" w:cs="Arial"/>
          <w:b/>
          <w:sz w:val="24"/>
          <w:lang w:val="en-US"/>
        </w:rPr>
      </w:pPr>
      <w:r w:rsidRPr="00DC382F">
        <w:rPr>
          <w:rFonts w:ascii="Arial" w:hAnsi="Arial" w:cs="Arial"/>
          <w:b/>
          <w:sz w:val="24"/>
          <w:lang w:val="en-US"/>
        </w:rPr>
        <w:t>Indirect Magnetic Cell Sorting</w:t>
      </w:r>
    </w:p>
    <w:p w:rsidR="00B6292A" w:rsidRPr="008E3B9F" w:rsidRDefault="00B6292A" w:rsidP="00B6292A">
      <w:pPr>
        <w:spacing w:line="360" w:lineRule="auto"/>
        <w:jc w:val="both"/>
        <w:rPr>
          <w:rFonts w:ascii="Arial" w:hAnsi="Arial" w:cs="Arial"/>
          <w:lang w:val="en-US"/>
        </w:rPr>
      </w:pPr>
      <w:r w:rsidRPr="00DC382F">
        <w:rPr>
          <w:rFonts w:ascii="Arial" w:hAnsi="Arial" w:cs="Arial"/>
          <w:lang w:val="en-US"/>
        </w:rPr>
        <w:t>MACS sorting was performed from 2.10</w:t>
      </w:r>
      <w:r w:rsidRPr="00AF29BE">
        <w:rPr>
          <w:rFonts w:ascii="Arial" w:hAnsi="Arial" w:cs="Arial"/>
          <w:vertAlign w:val="superscript"/>
          <w:lang w:val="en-US"/>
        </w:rPr>
        <w:t>7</w:t>
      </w:r>
      <w:r w:rsidRPr="00DC382F">
        <w:rPr>
          <w:rFonts w:ascii="Arial" w:hAnsi="Arial" w:cs="Arial"/>
          <w:lang w:val="en-US"/>
        </w:rPr>
        <w:t xml:space="preserve"> cells/mL using the </w:t>
      </w:r>
      <w:proofErr w:type="spellStart"/>
      <w:r w:rsidRPr="00DC382F">
        <w:rPr>
          <w:rFonts w:ascii="Arial" w:hAnsi="Arial" w:cs="Arial"/>
          <w:lang w:val="en-US"/>
        </w:rPr>
        <w:t>CELLection</w:t>
      </w:r>
      <w:proofErr w:type="spellEnd"/>
      <w:r w:rsidRPr="00DC382F">
        <w:rPr>
          <w:rFonts w:ascii="Arial" w:hAnsi="Arial" w:cs="Arial"/>
          <w:lang w:val="en-US"/>
        </w:rPr>
        <w:t>™ Biotin Binder kit (Invitrogen-</w:t>
      </w:r>
      <w:proofErr w:type="spellStart"/>
      <w:r w:rsidRPr="00DC382F">
        <w:rPr>
          <w:rFonts w:ascii="Arial" w:hAnsi="Arial" w:cs="Arial"/>
          <w:lang w:val="en-US"/>
        </w:rPr>
        <w:t>ThermoFisher</w:t>
      </w:r>
      <w:proofErr w:type="spellEnd"/>
      <w:r w:rsidRPr="00DC382F">
        <w:rPr>
          <w:rFonts w:ascii="Arial" w:hAnsi="Arial" w:cs="Arial"/>
          <w:lang w:val="en-US"/>
        </w:rPr>
        <w:t xml:space="preserve"> Scientific</w:t>
      </w:r>
      <w:r w:rsidR="00AB1497">
        <w:rPr>
          <w:rFonts w:ascii="Arial" w:hAnsi="Arial" w:cs="Arial"/>
          <w:lang w:val="en-US"/>
        </w:rPr>
        <w:t>, France</w:t>
      </w:r>
      <w:r w:rsidRPr="00DC382F">
        <w:rPr>
          <w:rFonts w:ascii="Arial" w:hAnsi="Arial" w:cs="Arial"/>
          <w:lang w:val="en-US"/>
        </w:rPr>
        <w:t>) according to the manufacturer’s instructions, by using 10</w:t>
      </w:r>
      <w:r>
        <w:rPr>
          <w:rFonts w:ascii="Arial" w:hAnsi="Arial" w:cs="Arial"/>
          <w:lang w:val="en-US"/>
        </w:rPr>
        <w:t xml:space="preserve"> </w:t>
      </w:r>
      <w:r w:rsidRPr="00DC382F">
        <w:rPr>
          <w:rFonts w:ascii="Arial" w:hAnsi="Arial" w:cs="Arial"/>
          <w:lang w:val="en-US"/>
        </w:rPr>
        <w:t>µg of either the MIX (</w:t>
      </w:r>
      <w:proofErr w:type="spellStart"/>
      <w:r w:rsidRPr="00DC382F">
        <w:rPr>
          <w:rFonts w:ascii="Arial" w:hAnsi="Arial" w:cs="Arial"/>
          <w:lang w:val="en-US"/>
        </w:rPr>
        <w:t>LungSTEM</w:t>
      </w:r>
      <w:proofErr w:type="spellEnd"/>
      <w:r w:rsidRPr="00DC382F">
        <w:rPr>
          <w:rFonts w:ascii="Arial" w:hAnsi="Arial" w:cs="Arial"/>
          <w:lang w:val="en-US"/>
        </w:rPr>
        <w:t>) or the AC133 biotinylated antibody (</w:t>
      </w:r>
      <w:proofErr w:type="spellStart"/>
      <w:r w:rsidRPr="00DC382F">
        <w:rPr>
          <w:rFonts w:ascii="Arial" w:hAnsi="Arial" w:cs="Arial"/>
          <w:lang w:val="en-US"/>
        </w:rPr>
        <w:t>Miltenyi</w:t>
      </w:r>
      <w:proofErr w:type="spellEnd"/>
      <w:r w:rsidRPr="00DC382F">
        <w:rPr>
          <w:rFonts w:ascii="Arial" w:hAnsi="Arial" w:cs="Arial"/>
          <w:lang w:val="en-US"/>
        </w:rPr>
        <w:t xml:space="preserve"> Biotech, France). </w:t>
      </w:r>
      <w:r w:rsidRPr="008E3B9F">
        <w:rPr>
          <w:rFonts w:ascii="Arial" w:hAnsi="Arial" w:cs="Arial"/>
          <w:lang w:val="en-US"/>
        </w:rPr>
        <w:t xml:space="preserve">For the </w:t>
      </w:r>
      <w:proofErr w:type="spellStart"/>
      <w:r w:rsidRPr="008E3B9F">
        <w:rPr>
          <w:rFonts w:ascii="Arial" w:hAnsi="Arial" w:cs="Arial"/>
          <w:lang w:val="en-US"/>
        </w:rPr>
        <w:t>clonogenic</w:t>
      </w:r>
      <w:proofErr w:type="spellEnd"/>
      <w:r w:rsidRPr="008E3B9F">
        <w:rPr>
          <w:rFonts w:ascii="Arial" w:hAnsi="Arial" w:cs="Arial"/>
          <w:lang w:val="en-US"/>
        </w:rPr>
        <w:t xml:space="preserve"> assay, sorted cells were seeded in ultra-low attachment 96-well plates</w:t>
      </w:r>
      <w:r w:rsidR="00AB1497">
        <w:rPr>
          <w:rFonts w:ascii="Arial" w:hAnsi="Arial" w:cs="Arial"/>
          <w:lang w:val="en-US"/>
        </w:rPr>
        <w:t xml:space="preserve"> </w:t>
      </w:r>
      <w:r w:rsidR="00AB1497" w:rsidRPr="00DC382F">
        <w:rPr>
          <w:rFonts w:ascii="Arial" w:hAnsi="Arial" w:cs="Arial"/>
          <w:lang w:val="en-US"/>
        </w:rPr>
        <w:t>(Falcon Corning brand, France)</w:t>
      </w:r>
      <w:r>
        <w:rPr>
          <w:rFonts w:ascii="Arial" w:hAnsi="Arial" w:cs="Arial"/>
          <w:lang w:val="en-US"/>
        </w:rPr>
        <w:t xml:space="preserve"> </w:t>
      </w:r>
      <w:r w:rsidRPr="008E3B9F">
        <w:rPr>
          <w:rFonts w:ascii="Arial" w:hAnsi="Arial" w:cs="Arial"/>
          <w:lang w:val="en-US"/>
        </w:rPr>
        <w:t>at decreasing cell densities</w:t>
      </w:r>
      <w:r>
        <w:rPr>
          <w:rFonts w:ascii="Arial" w:hAnsi="Arial" w:cs="Arial"/>
          <w:lang w:val="en-US"/>
        </w:rPr>
        <w:t xml:space="preserve"> (</w:t>
      </w:r>
      <w:r w:rsidRPr="006B5F8F">
        <w:rPr>
          <w:rFonts w:ascii="Arial" w:hAnsi="Arial" w:cs="Arial"/>
          <w:lang w:val="en-US"/>
        </w:rPr>
        <w:t>1000, 100, 10, and 1 cell</w:t>
      </w:r>
      <w:r>
        <w:rPr>
          <w:rFonts w:ascii="Arial" w:hAnsi="Arial" w:cs="Arial"/>
          <w:lang w:val="en-US"/>
        </w:rPr>
        <w:t>)</w:t>
      </w:r>
      <w:r w:rsidRPr="008E3B9F">
        <w:rPr>
          <w:rFonts w:ascii="Arial" w:hAnsi="Arial" w:cs="Arial"/>
          <w:lang w:val="en-US"/>
        </w:rPr>
        <w:t xml:space="preserve"> to evaluate their </w:t>
      </w:r>
      <w:proofErr w:type="spellStart"/>
      <w:r w:rsidRPr="008E3B9F">
        <w:rPr>
          <w:rFonts w:ascii="Arial" w:hAnsi="Arial" w:cs="Arial"/>
          <w:lang w:val="en-US"/>
        </w:rPr>
        <w:t>clonogenic</w:t>
      </w:r>
      <w:proofErr w:type="spellEnd"/>
      <w:r w:rsidRPr="008E3B9F">
        <w:rPr>
          <w:rFonts w:ascii="Arial" w:hAnsi="Arial" w:cs="Arial"/>
          <w:lang w:val="en-US"/>
        </w:rPr>
        <w:t xml:space="preserve"> potential. </w:t>
      </w:r>
    </w:p>
    <w:p w:rsidR="00212510" w:rsidRPr="00DC382F" w:rsidRDefault="00212510" w:rsidP="00212510">
      <w:pPr>
        <w:spacing w:line="360" w:lineRule="auto"/>
        <w:jc w:val="both"/>
        <w:rPr>
          <w:rFonts w:ascii="Arial" w:hAnsi="Arial" w:cs="Arial"/>
          <w:b/>
          <w:sz w:val="24"/>
          <w:lang w:val="en-US"/>
        </w:rPr>
      </w:pPr>
      <w:r w:rsidRPr="00DC382F">
        <w:rPr>
          <w:rFonts w:ascii="Arial" w:hAnsi="Arial" w:cs="Arial"/>
          <w:b/>
          <w:sz w:val="24"/>
          <w:lang w:val="en-US"/>
        </w:rPr>
        <w:t>Clonogenicity Assay</w:t>
      </w:r>
    </w:p>
    <w:p w:rsidR="00212510" w:rsidRDefault="00AB1497" w:rsidP="00212510">
      <w:pPr>
        <w:spacing w:line="360" w:lineRule="auto"/>
        <w:jc w:val="both"/>
        <w:rPr>
          <w:rFonts w:ascii="Arial" w:hAnsi="Arial" w:cs="Arial"/>
          <w:lang w:val="en-US"/>
        </w:rPr>
      </w:pPr>
      <w:r w:rsidRPr="00AB1497">
        <w:rPr>
          <w:rFonts w:ascii="Arial" w:hAnsi="Arial" w:cs="Arial"/>
          <w:lang w:val="en-US"/>
        </w:rPr>
        <w:t>In each experimental condition sorted cells were seeded in triplicate in a defined medium. Weekly, 50 microliters of the medium were added to each well, and this process continued for a period of 4 to 8 weeks. The quantification of sphere formation was performed per well and per condition, employing an optical microscope (</w:t>
      </w:r>
      <w:r w:rsidRPr="00FC20E4">
        <w:rPr>
          <w:rFonts w:ascii="Arial" w:hAnsi="Arial" w:cs="Arial"/>
          <w:lang w:val="en-US"/>
        </w:rPr>
        <w:t>Olympus CKX53</w:t>
      </w:r>
      <w:r>
        <w:rPr>
          <w:rFonts w:ascii="Arial" w:hAnsi="Arial" w:cs="Arial"/>
          <w:lang w:val="en-US"/>
        </w:rPr>
        <w:t xml:space="preserve">, Life science, </w:t>
      </w:r>
      <w:r w:rsidRPr="00AB1497">
        <w:rPr>
          <w:rFonts w:ascii="Arial" w:hAnsi="Arial" w:cs="Arial"/>
          <w:lang w:val="en-US"/>
        </w:rPr>
        <w:t>Waltham, Massachusetts) at a magnification of x100. The spheroids were consistently imaged at regular intervals, precisely every 7th day (Day+7). The measurement of spheroid size was accomplished using ImageJ software.</w:t>
      </w:r>
    </w:p>
    <w:p w:rsidR="005C0D8C" w:rsidRPr="00DC382F" w:rsidRDefault="005C0D8C" w:rsidP="005C0D8C">
      <w:pPr>
        <w:spacing w:line="360" w:lineRule="auto"/>
        <w:jc w:val="both"/>
        <w:rPr>
          <w:rFonts w:ascii="Arial" w:hAnsi="Arial" w:cs="Arial"/>
          <w:b/>
          <w:sz w:val="24"/>
          <w:lang w:val="en-US"/>
        </w:rPr>
      </w:pPr>
      <w:r w:rsidRPr="00DC382F">
        <w:rPr>
          <w:rFonts w:ascii="Arial" w:hAnsi="Arial" w:cs="Arial"/>
          <w:b/>
          <w:sz w:val="24"/>
          <w:lang w:val="en-US"/>
        </w:rPr>
        <w:t>Cell Viability Assay</w:t>
      </w:r>
    </w:p>
    <w:p w:rsidR="005C0D8C" w:rsidRDefault="005C0D8C" w:rsidP="005C0D8C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For each condition, </w:t>
      </w:r>
      <w:r w:rsidRPr="00DC382F">
        <w:rPr>
          <w:rFonts w:ascii="Arial" w:hAnsi="Arial" w:cs="Arial"/>
          <w:lang w:val="en-US"/>
        </w:rPr>
        <w:t>1500 cells</w:t>
      </w:r>
      <w:r>
        <w:rPr>
          <w:rFonts w:ascii="Arial" w:hAnsi="Arial" w:cs="Arial"/>
          <w:lang w:val="en-US"/>
        </w:rPr>
        <w:t xml:space="preserve"> were sorted and </w:t>
      </w:r>
      <w:r w:rsidRPr="00DC382F">
        <w:rPr>
          <w:rFonts w:ascii="Arial" w:hAnsi="Arial" w:cs="Arial"/>
          <w:lang w:val="en-US"/>
        </w:rPr>
        <w:t>seeded in a 96-well plate</w:t>
      </w:r>
      <w:r>
        <w:rPr>
          <w:rFonts w:ascii="Arial" w:hAnsi="Arial" w:cs="Arial"/>
          <w:lang w:val="en-US"/>
        </w:rPr>
        <w:t>.</w:t>
      </w:r>
      <w:r w:rsidRPr="0038443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Cells were treated, 24h later, </w:t>
      </w:r>
      <w:r w:rsidRPr="00384437">
        <w:rPr>
          <w:rFonts w:ascii="Arial" w:hAnsi="Arial" w:cs="Arial"/>
          <w:lang w:val="en-US"/>
        </w:rPr>
        <w:t xml:space="preserve">with </w:t>
      </w:r>
      <w:r>
        <w:rPr>
          <w:rFonts w:ascii="Arial" w:hAnsi="Arial" w:cs="Arial"/>
          <w:lang w:val="en-US"/>
        </w:rPr>
        <w:t>increasing</w:t>
      </w:r>
      <w:r w:rsidRPr="00384437">
        <w:rPr>
          <w:rFonts w:ascii="Arial" w:hAnsi="Arial" w:cs="Arial"/>
          <w:lang w:val="en-US"/>
        </w:rPr>
        <w:t xml:space="preserve"> doses of Cisplatin (0 to 200 µM). Following 72</w:t>
      </w:r>
      <w:r>
        <w:rPr>
          <w:rFonts w:ascii="Arial" w:hAnsi="Arial" w:cs="Arial"/>
          <w:lang w:val="en-US"/>
        </w:rPr>
        <w:t>h</w:t>
      </w:r>
      <w:r w:rsidRPr="00384437">
        <w:rPr>
          <w:rFonts w:ascii="Arial" w:hAnsi="Arial" w:cs="Arial"/>
          <w:lang w:val="en-US"/>
        </w:rPr>
        <w:t xml:space="preserve"> of incubation, the </w:t>
      </w:r>
      <w:r>
        <w:rPr>
          <w:rFonts w:ascii="Arial" w:hAnsi="Arial" w:cs="Arial"/>
          <w:lang w:val="en-US"/>
        </w:rPr>
        <w:t xml:space="preserve">Cell </w:t>
      </w:r>
      <w:r w:rsidRPr="00DC382F">
        <w:rPr>
          <w:rFonts w:ascii="Arial" w:hAnsi="Arial" w:cs="Arial"/>
          <w:lang w:val="en-US"/>
        </w:rPr>
        <w:t>Viability Kit reagent</w:t>
      </w:r>
      <w:r>
        <w:rPr>
          <w:rFonts w:ascii="Arial" w:hAnsi="Arial" w:cs="Arial"/>
          <w:lang w:val="en-US"/>
        </w:rPr>
        <w:t xml:space="preserve"> </w:t>
      </w:r>
      <w:r w:rsidRPr="00DC382F">
        <w:rPr>
          <w:rFonts w:ascii="Arial" w:hAnsi="Arial" w:cs="Arial"/>
          <w:lang w:val="en-US"/>
        </w:rPr>
        <w:t>(Promeg</w:t>
      </w:r>
      <w:r>
        <w:rPr>
          <w:rFonts w:ascii="Arial" w:hAnsi="Arial" w:cs="Arial"/>
          <w:lang w:val="en-US"/>
        </w:rPr>
        <w:t>a</w:t>
      </w:r>
      <w:r w:rsidRPr="00DC382F">
        <w:rPr>
          <w:rFonts w:ascii="Arial" w:hAnsi="Arial" w:cs="Arial"/>
          <w:lang w:val="en-US"/>
        </w:rPr>
        <w:t>, USA) w</w:t>
      </w:r>
      <w:r>
        <w:rPr>
          <w:rFonts w:ascii="Arial" w:hAnsi="Arial" w:cs="Arial"/>
          <w:lang w:val="en-US"/>
        </w:rPr>
        <w:t>as</w:t>
      </w:r>
      <w:r w:rsidRPr="00DC382F">
        <w:rPr>
          <w:rFonts w:ascii="Arial" w:hAnsi="Arial" w:cs="Arial"/>
          <w:lang w:val="en-US"/>
        </w:rPr>
        <w:t xml:space="preserve"> added and luminescence measured with </w:t>
      </w:r>
      <w:proofErr w:type="spellStart"/>
      <w:r w:rsidRPr="00DC382F">
        <w:rPr>
          <w:rFonts w:ascii="Arial" w:hAnsi="Arial" w:cs="Arial"/>
          <w:lang w:val="en-US"/>
        </w:rPr>
        <w:t>EnSpire</w:t>
      </w:r>
      <w:proofErr w:type="spellEnd"/>
      <w:r w:rsidRPr="00DC382F">
        <w:rPr>
          <w:rFonts w:ascii="Arial" w:hAnsi="Arial" w:cs="Arial"/>
          <w:lang w:val="en-US"/>
        </w:rPr>
        <w:t>® Multimode Plate Reader (PerkinElmer, USA).</w:t>
      </w:r>
      <w:r>
        <w:rPr>
          <w:rFonts w:ascii="Arial" w:hAnsi="Arial" w:cs="Arial"/>
          <w:lang w:val="en-US"/>
        </w:rPr>
        <w:t xml:space="preserve"> </w:t>
      </w:r>
      <w:bookmarkStart w:id="0" w:name="_GoBack"/>
      <w:bookmarkEnd w:id="0"/>
    </w:p>
    <w:p w:rsidR="005C0D8C" w:rsidRDefault="005C0D8C" w:rsidP="00212510">
      <w:pPr>
        <w:spacing w:line="360" w:lineRule="auto"/>
        <w:jc w:val="both"/>
        <w:rPr>
          <w:rFonts w:ascii="Arial" w:hAnsi="Arial" w:cs="Arial"/>
          <w:lang w:val="en-US"/>
        </w:rPr>
      </w:pPr>
    </w:p>
    <w:p w:rsidR="00AA0DFF" w:rsidRPr="00B6292A" w:rsidRDefault="005C0D8C">
      <w:pPr>
        <w:rPr>
          <w:lang w:val="en-US"/>
        </w:rPr>
      </w:pPr>
    </w:p>
    <w:sectPr w:rsidR="00AA0DFF" w:rsidRPr="00B62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92A"/>
    <w:rsid w:val="00136439"/>
    <w:rsid w:val="00212510"/>
    <w:rsid w:val="00396A65"/>
    <w:rsid w:val="004A5447"/>
    <w:rsid w:val="005C0D8C"/>
    <w:rsid w:val="00747BBA"/>
    <w:rsid w:val="0086360D"/>
    <w:rsid w:val="00AB1497"/>
    <w:rsid w:val="00B6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C462"/>
  <w15:chartTrackingRefBased/>
  <w15:docId w15:val="{14643873-018A-4BEC-81B5-5A447356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29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Boutaina Faize</dc:creator>
  <cp:keywords/>
  <dc:description/>
  <cp:lastModifiedBy>Fabrice Lalloue</cp:lastModifiedBy>
  <cp:revision>10</cp:revision>
  <dcterms:created xsi:type="dcterms:W3CDTF">2023-06-25T15:55:00Z</dcterms:created>
  <dcterms:modified xsi:type="dcterms:W3CDTF">2023-07-26T12:39:00Z</dcterms:modified>
</cp:coreProperties>
</file>