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CA19F2" w14:textId="77777777" w:rsidR="001E1853" w:rsidRDefault="001E1853" w:rsidP="001E1853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Appendix A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567"/>
        <w:gridCol w:w="4091"/>
      </w:tblGrid>
      <w:tr w:rsidR="001E1853" w14:paraId="0B64E5B3" w14:textId="77777777" w:rsidTr="004220CD"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3EE5" w14:textId="77777777" w:rsidR="001E1853" w:rsidRDefault="001E1853" w:rsidP="004220C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B</w:t>
            </w:r>
            <w:r>
              <w:rPr>
                <w:rFonts w:ascii="Times New Roman" w:hAnsi="Times New Roman"/>
                <w:bCs/>
                <w:sz w:val="24"/>
              </w:rPr>
              <w:t>2M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92D6" w14:textId="77777777" w:rsidR="001E1853" w:rsidRDefault="001E1853" w:rsidP="004220C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β2 microglobulin</w:t>
            </w:r>
          </w:p>
        </w:tc>
      </w:tr>
      <w:tr w:rsidR="001E1853" w14:paraId="199F0487" w14:textId="77777777" w:rsidTr="004220CD"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C238" w14:textId="77777777" w:rsidR="001E1853" w:rsidRDefault="001E1853" w:rsidP="004220C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H</w:t>
            </w:r>
            <w:r>
              <w:rPr>
                <w:rFonts w:ascii="Times New Roman" w:hAnsi="Times New Roman"/>
                <w:bCs/>
                <w:sz w:val="24"/>
              </w:rPr>
              <w:t>NSCC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AF0B" w14:textId="77777777" w:rsidR="001E1853" w:rsidRDefault="001E1853" w:rsidP="004220C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Head and neck squamous cell carcinoma</w:t>
            </w:r>
          </w:p>
        </w:tc>
      </w:tr>
      <w:tr w:rsidR="001E1853" w14:paraId="3571F30D" w14:textId="77777777" w:rsidTr="004220CD"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661F" w14:textId="77777777" w:rsidR="001E1853" w:rsidRDefault="001E1853" w:rsidP="004220C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CAR-T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53C8" w14:textId="77777777" w:rsidR="001E1853" w:rsidRDefault="001E1853" w:rsidP="004220C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Chimeric antigen receptor-engineered T cells</w:t>
            </w:r>
          </w:p>
        </w:tc>
      </w:tr>
      <w:tr w:rsidR="001E1853" w14:paraId="685C61B7" w14:textId="77777777" w:rsidTr="004220CD"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19EE" w14:textId="77777777" w:rsidR="001E1853" w:rsidRDefault="001E1853" w:rsidP="004220C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P</w:t>
            </w:r>
            <w:r>
              <w:rPr>
                <w:rFonts w:ascii="Times New Roman" w:hAnsi="Times New Roman"/>
                <w:bCs/>
                <w:sz w:val="24"/>
              </w:rPr>
              <w:t>DL1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A1FF" w14:textId="77777777" w:rsidR="001E1853" w:rsidRDefault="001E1853" w:rsidP="004220C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Programmed cell death 1 ligand 1</w:t>
            </w:r>
          </w:p>
        </w:tc>
      </w:tr>
      <w:tr w:rsidR="001E1853" w14:paraId="7BFA5890" w14:textId="77777777" w:rsidTr="004220CD"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9E85" w14:textId="77777777" w:rsidR="001E1853" w:rsidRDefault="001E1853" w:rsidP="004220C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C</w:t>
            </w:r>
            <w:r>
              <w:rPr>
                <w:rFonts w:ascii="Times New Roman" w:hAnsi="Times New Roman"/>
                <w:bCs/>
                <w:sz w:val="24"/>
              </w:rPr>
              <w:t>D8A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2383" w14:textId="77777777" w:rsidR="001E1853" w:rsidRDefault="001E1853" w:rsidP="004220C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CD8-receptor</w:t>
            </w:r>
          </w:p>
        </w:tc>
      </w:tr>
      <w:tr w:rsidR="001E1853" w14:paraId="00DE7ED5" w14:textId="77777777" w:rsidTr="004220CD"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95CE" w14:textId="77777777" w:rsidR="001E1853" w:rsidRDefault="001E1853" w:rsidP="004220C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P</w:t>
            </w:r>
            <w:r>
              <w:rPr>
                <w:rFonts w:ascii="Times New Roman" w:hAnsi="Times New Roman"/>
                <w:bCs/>
                <w:sz w:val="24"/>
              </w:rPr>
              <w:t>RF1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E5A9" w14:textId="77777777" w:rsidR="001E1853" w:rsidRDefault="001E1853" w:rsidP="004220CD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Perforin 1</w:t>
            </w:r>
          </w:p>
        </w:tc>
      </w:tr>
    </w:tbl>
    <w:p w14:paraId="72B45D5C" w14:textId="77777777" w:rsidR="001E1853" w:rsidRDefault="001E1853" w:rsidP="001E1853">
      <w:pPr>
        <w:rPr>
          <w:rFonts w:ascii="Times New Roman" w:hAnsi="Times New Roman"/>
          <w:bCs/>
          <w:sz w:val="24"/>
        </w:rPr>
      </w:pPr>
    </w:p>
    <w:p w14:paraId="686313EE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853"/>
    <w:rsid w:val="001E1853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E8021"/>
  <w15:chartTrackingRefBased/>
  <w15:docId w15:val="{7F51FF21-1CB6-4230-A6BC-B9BBC909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853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E185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>Springer Nature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2023-10-12T09:08:00Z</dcterms:created>
  <dcterms:modified xsi:type="dcterms:W3CDTF">2023-10-12T09:08:00Z</dcterms:modified>
</cp:coreProperties>
</file>