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E4962" w14:textId="6B8DEC02" w:rsidR="002B2371" w:rsidRPr="004D465F" w:rsidRDefault="004D465F" w:rsidP="004D465F">
      <w:pPr>
        <w:pStyle w:val="NoSpacing"/>
        <w:spacing w:line="480" w:lineRule="auto"/>
        <w:rPr>
          <w:rFonts w:ascii="Arial" w:hAnsi="Arial" w:cs="Arial"/>
          <w:sz w:val="20"/>
          <w:szCs w:val="20"/>
          <w:u w:val="single"/>
        </w:rPr>
      </w:pPr>
      <w:r>
        <w:rPr>
          <w:rFonts w:ascii="Arial" w:hAnsi="Arial" w:cs="Arial"/>
          <w:sz w:val="20"/>
          <w:szCs w:val="20"/>
          <w:u w:val="single"/>
        </w:rPr>
        <w:t>ADDITIONAL FILE 4</w:t>
      </w:r>
    </w:p>
    <w:p w14:paraId="15F9EE77" w14:textId="18F73B91" w:rsidR="002B2371" w:rsidRPr="004F2425" w:rsidRDefault="004F2425" w:rsidP="004D465F">
      <w:pPr>
        <w:pStyle w:val="NoSpacing"/>
        <w:spacing w:line="480" w:lineRule="auto"/>
        <w:rPr>
          <w:rFonts w:ascii="Arial" w:hAnsi="Arial" w:cs="Arial"/>
          <w:b/>
          <w:bCs/>
          <w:sz w:val="20"/>
          <w:szCs w:val="20"/>
        </w:rPr>
      </w:pPr>
      <w:r w:rsidRPr="004F2425">
        <w:rPr>
          <w:rFonts w:ascii="Arial" w:hAnsi="Arial" w:cs="Arial"/>
          <w:b/>
          <w:bCs/>
          <w:sz w:val="20"/>
          <w:szCs w:val="20"/>
          <w:lang w:eastAsia="en-AU"/>
        </w:rPr>
        <w:t>Critical Appraisal Skills Programme (CASP) questionnaire results</w:t>
      </w:r>
    </w:p>
    <w:tbl>
      <w:tblPr>
        <w:tblStyle w:val="TableGrid"/>
        <w:tblW w:w="0" w:type="auto"/>
        <w:tblLook w:val="04A0" w:firstRow="1" w:lastRow="0" w:firstColumn="1" w:lastColumn="0" w:noHBand="0" w:noVBand="1"/>
      </w:tblPr>
      <w:tblGrid>
        <w:gridCol w:w="1868"/>
        <w:gridCol w:w="414"/>
        <w:gridCol w:w="469"/>
        <w:gridCol w:w="470"/>
        <w:gridCol w:w="470"/>
        <w:gridCol w:w="545"/>
        <w:gridCol w:w="545"/>
        <w:gridCol w:w="545"/>
        <w:gridCol w:w="537"/>
        <w:gridCol w:w="545"/>
        <w:gridCol w:w="545"/>
        <w:gridCol w:w="470"/>
        <w:gridCol w:w="531"/>
        <w:gridCol w:w="531"/>
        <w:gridCol w:w="531"/>
      </w:tblGrid>
      <w:tr w:rsidR="002B2371" w:rsidRPr="005F24C5" w14:paraId="0B6C21F0" w14:textId="77777777" w:rsidTr="00D45472">
        <w:tc>
          <w:tcPr>
            <w:tcW w:w="2933" w:type="dxa"/>
          </w:tcPr>
          <w:p w14:paraId="303E09B9" w14:textId="77777777" w:rsidR="002B2371" w:rsidRPr="005F24C5" w:rsidRDefault="002B2371" w:rsidP="004D465F">
            <w:pPr>
              <w:pStyle w:val="NoSpacing"/>
              <w:spacing w:line="480" w:lineRule="auto"/>
              <w:jc w:val="center"/>
              <w:rPr>
                <w:rFonts w:ascii="Arial" w:hAnsi="Arial" w:cs="Arial"/>
                <w:b/>
                <w:bCs/>
                <w:sz w:val="18"/>
                <w:szCs w:val="18"/>
                <w:lang w:eastAsia="en-AU"/>
              </w:rPr>
            </w:pPr>
            <w:r w:rsidRPr="005F24C5">
              <w:rPr>
                <w:rFonts w:ascii="Arial" w:hAnsi="Arial" w:cs="Arial"/>
                <w:b/>
                <w:bCs/>
                <w:sz w:val="18"/>
                <w:szCs w:val="18"/>
                <w:lang w:eastAsia="en-AU"/>
              </w:rPr>
              <w:t>Study</w:t>
            </w:r>
          </w:p>
        </w:tc>
        <w:tc>
          <w:tcPr>
            <w:tcW w:w="567" w:type="dxa"/>
          </w:tcPr>
          <w:p w14:paraId="5707C46A" w14:textId="77777777" w:rsidR="002B2371" w:rsidRPr="005F24C5"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1</w:t>
            </w:r>
          </w:p>
        </w:tc>
        <w:tc>
          <w:tcPr>
            <w:tcW w:w="709" w:type="dxa"/>
          </w:tcPr>
          <w:p w14:paraId="6006F7EA" w14:textId="77777777" w:rsidR="002B2371" w:rsidRPr="005F24C5"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2</w:t>
            </w:r>
          </w:p>
        </w:tc>
        <w:tc>
          <w:tcPr>
            <w:tcW w:w="709" w:type="dxa"/>
          </w:tcPr>
          <w:p w14:paraId="0661AAF2" w14:textId="77777777" w:rsidR="002B2371" w:rsidRPr="005F24C5"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3</w:t>
            </w:r>
          </w:p>
        </w:tc>
        <w:tc>
          <w:tcPr>
            <w:tcW w:w="708" w:type="dxa"/>
          </w:tcPr>
          <w:p w14:paraId="6BE7BEB5" w14:textId="77777777" w:rsidR="002B2371" w:rsidRPr="005F24C5"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4</w:t>
            </w:r>
          </w:p>
        </w:tc>
        <w:tc>
          <w:tcPr>
            <w:tcW w:w="709" w:type="dxa"/>
          </w:tcPr>
          <w:p w14:paraId="348C19D2" w14:textId="77777777" w:rsidR="002B2371" w:rsidRPr="005F24C5"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5a</w:t>
            </w:r>
          </w:p>
        </w:tc>
        <w:tc>
          <w:tcPr>
            <w:tcW w:w="709" w:type="dxa"/>
          </w:tcPr>
          <w:p w14:paraId="7DC74EB3" w14:textId="77777777" w:rsidR="002B2371" w:rsidRPr="005F24C5"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5b</w:t>
            </w:r>
          </w:p>
        </w:tc>
        <w:tc>
          <w:tcPr>
            <w:tcW w:w="709" w:type="dxa"/>
          </w:tcPr>
          <w:p w14:paraId="622318D2" w14:textId="77777777" w:rsidR="002B2371" w:rsidRPr="005F24C5"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6a</w:t>
            </w:r>
          </w:p>
        </w:tc>
        <w:tc>
          <w:tcPr>
            <w:tcW w:w="708" w:type="dxa"/>
          </w:tcPr>
          <w:p w14:paraId="777C0A6D" w14:textId="77777777" w:rsidR="002B2371" w:rsidRPr="005F24C5"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6b</w:t>
            </w:r>
          </w:p>
        </w:tc>
        <w:tc>
          <w:tcPr>
            <w:tcW w:w="709" w:type="dxa"/>
          </w:tcPr>
          <w:p w14:paraId="6CA8E524" w14:textId="77777777" w:rsidR="002B2371" w:rsidRPr="00394055" w:rsidRDefault="002B2371" w:rsidP="004D465F">
            <w:pPr>
              <w:pStyle w:val="NoSpacing"/>
              <w:spacing w:line="480" w:lineRule="auto"/>
              <w:jc w:val="center"/>
              <w:rPr>
                <w:rFonts w:ascii="Arial" w:hAnsi="Arial" w:cs="Arial"/>
                <w:b/>
                <w:bCs/>
                <w:sz w:val="18"/>
                <w:szCs w:val="18"/>
                <w:lang w:eastAsia="en-AU"/>
              </w:rPr>
            </w:pPr>
            <w:r w:rsidRPr="00394055">
              <w:rPr>
                <w:rFonts w:ascii="Arial" w:hAnsi="Arial" w:cs="Arial"/>
                <w:b/>
                <w:bCs/>
                <w:sz w:val="18"/>
                <w:szCs w:val="18"/>
                <w:lang w:eastAsia="en-AU"/>
              </w:rPr>
              <w:t>7</w:t>
            </w:r>
          </w:p>
        </w:tc>
        <w:tc>
          <w:tcPr>
            <w:tcW w:w="709" w:type="dxa"/>
          </w:tcPr>
          <w:p w14:paraId="266B8580" w14:textId="77777777" w:rsidR="002B2371" w:rsidRPr="005F24C5"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8</w:t>
            </w:r>
          </w:p>
        </w:tc>
        <w:tc>
          <w:tcPr>
            <w:tcW w:w="709" w:type="dxa"/>
          </w:tcPr>
          <w:p w14:paraId="05ED36E0" w14:textId="77777777" w:rsidR="002B2371" w:rsidRPr="005F24C5"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9</w:t>
            </w:r>
          </w:p>
        </w:tc>
        <w:tc>
          <w:tcPr>
            <w:tcW w:w="708" w:type="dxa"/>
          </w:tcPr>
          <w:p w14:paraId="785EEBC4" w14:textId="77777777" w:rsidR="002B2371"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10</w:t>
            </w:r>
          </w:p>
        </w:tc>
        <w:tc>
          <w:tcPr>
            <w:tcW w:w="709" w:type="dxa"/>
          </w:tcPr>
          <w:p w14:paraId="6C87A77A" w14:textId="77777777" w:rsidR="002B2371"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11</w:t>
            </w:r>
          </w:p>
        </w:tc>
        <w:tc>
          <w:tcPr>
            <w:tcW w:w="709" w:type="dxa"/>
          </w:tcPr>
          <w:p w14:paraId="2B30D51A" w14:textId="77777777" w:rsidR="002B2371" w:rsidRDefault="002B2371" w:rsidP="004D465F">
            <w:pPr>
              <w:pStyle w:val="NoSpacing"/>
              <w:spacing w:line="480" w:lineRule="auto"/>
              <w:jc w:val="center"/>
              <w:rPr>
                <w:rFonts w:ascii="Arial" w:hAnsi="Arial" w:cs="Arial"/>
                <w:b/>
                <w:bCs/>
                <w:sz w:val="18"/>
                <w:szCs w:val="18"/>
                <w:lang w:eastAsia="en-AU"/>
              </w:rPr>
            </w:pPr>
            <w:r>
              <w:rPr>
                <w:rFonts w:ascii="Arial" w:hAnsi="Arial" w:cs="Arial"/>
                <w:b/>
                <w:bCs/>
                <w:sz w:val="18"/>
                <w:szCs w:val="18"/>
                <w:lang w:eastAsia="en-AU"/>
              </w:rPr>
              <w:t>12</w:t>
            </w:r>
          </w:p>
        </w:tc>
      </w:tr>
      <w:tr w:rsidR="002B2371" w:rsidRPr="005F24C5" w14:paraId="2EE95B1F" w14:textId="77777777" w:rsidTr="00D45472">
        <w:tc>
          <w:tcPr>
            <w:tcW w:w="2933" w:type="dxa"/>
          </w:tcPr>
          <w:p w14:paraId="4E5E9F58"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Moore et al. (2020)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{"citationID":"R52LWUP2","properties":{"formattedCitation":"(15)","plainCitation":"(15)","noteIndex":0},"citationItems":[{"id":60,"uris":["http://zotero.org/users/local/Si4PgwiI/items/SRCJ55WF"],"itemData":{"id":60,"type":"article-journal","abstract":"BACKGROUND: Significant progress has been made towards an effective respiratory syncytial virus (RSV) vaccine. Age-stratified estimates of RSV burden are  urgently needed for vaccine implementation. Current estimates are limited to  small cohorts or clinical coding data only. We present estimates of  laboratory-confirmed RSV across multiple severity levels. METHODS: We linked  laboratory, perinatal, and hospital data of 469 589 children born in Western  Australia in 1996-2012. Respiratory syncytial virus tests and detections were  classified into community, emergency department (ED), and hospital levels to  estimate infection rates. Clinical diagnoses given to children with RSV infection  presenting to ED or hospitalized were identified. RESULTS: In 2000-2012, 10%  (n = 45 699) of children were tested for RSV and 16% (n = 11 461) of these tested  positive. Respiratory syncytial virus was detected in community, ED (both 0.3 per  1000 child-years), and hospital (2.4 per 1000 child-years) settings. Respiratory  syncytial virus-confirmed rates were highest among children aged &lt;3 months (31  per 1000 child-years). At least one third of children with RSV infection  presenting to ED were diagnosed as other infection, other respiratory, or other  (eg, agranulocytosis). CONCLUSIONS: Respiratory syncytial virus is pervasive  across multiple severity levels and diagnoses. Vaccines targeting children &lt;3  months must be prioritized. Given that most children are never tested, estimating  the under-ascertainment of RSV infection is imperative.","container-title":"The Journal of infectious diseases","DOI":"10.1093/infdis/jiaa058","ISSN":"1537-6613 0022-1899","issue":"1","journalAbbreviation":"J Infect Dis","language":"eng","license":"© The Author(s) 2020. Published by Oxford University Press for the Infectious Diseases Society of America. All rights reserved. For permissions, e-mail:  journals.permissions@oup.com.","note":"publisher-place: United States\nPMID: 32031631","page":"92-101","title":"Assessing the Burden of Laboratory-Confirmed Respiratory Syncytial Virus Infection in a Population Cohort of Australian Children Through Record Linkage.","volume":"222","author":[{"family":"Moore","given":"Hannah C."},{"family":"Lim","given":"Faye J."},{"family":"Fathima","given":"Parveen"},{"family":"Barnes","given":"Rosanne"},{"family":"Smith","given":"David W."},{"family":"Klerk","given":"Nicholas","non-dropping-particle":"de"},{"family":"Blyth","given":"Christopher C."}],"issued":{"date-parts":[["2020",6,16]]}}}],"schema":"https://github.com/citation-style-language/schema/raw/master/csl-citation.json"}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(15)</w:t>
            </w:r>
            <w:r w:rsidRPr="00394055">
              <w:rPr>
                <w:rFonts w:ascii="Arial" w:hAnsi="Arial" w:cs="Arial"/>
                <w:sz w:val="16"/>
                <w:szCs w:val="16"/>
              </w:rPr>
              <w:fldChar w:fldCharType="end"/>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1F13E4CA"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single" w:sz="4" w:space="0" w:color="auto"/>
              <w:left w:val="nil"/>
              <w:bottom w:val="single" w:sz="4" w:space="0" w:color="auto"/>
              <w:right w:val="single" w:sz="4" w:space="0" w:color="auto"/>
            </w:tcBorders>
            <w:shd w:val="clear" w:color="auto" w:fill="auto"/>
          </w:tcPr>
          <w:p w14:paraId="593CC97C"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single" w:sz="4" w:space="0" w:color="auto"/>
              <w:left w:val="nil"/>
              <w:bottom w:val="single" w:sz="4" w:space="0" w:color="auto"/>
              <w:right w:val="single" w:sz="4" w:space="0" w:color="auto"/>
            </w:tcBorders>
            <w:shd w:val="clear" w:color="auto" w:fill="auto"/>
          </w:tcPr>
          <w:p w14:paraId="0C0A8B6B"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single" w:sz="4" w:space="0" w:color="auto"/>
              <w:left w:val="nil"/>
              <w:bottom w:val="single" w:sz="4" w:space="0" w:color="auto"/>
              <w:right w:val="single" w:sz="4" w:space="0" w:color="auto"/>
            </w:tcBorders>
            <w:shd w:val="clear" w:color="auto" w:fill="auto"/>
          </w:tcPr>
          <w:p w14:paraId="0B933488"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single" w:sz="4" w:space="0" w:color="auto"/>
              <w:left w:val="nil"/>
              <w:bottom w:val="single" w:sz="4" w:space="0" w:color="auto"/>
              <w:right w:val="single" w:sz="4" w:space="0" w:color="auto"/>
            </w:tcBorders>
            <w:shd w:val="clear" w:color="auto" w:fill="auto"/>
          </w:tcPr>
          <w:p w14:paraId="295302C6"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0</w:t>
            </w:r>
          </w:p>
        </w:tc>
        <w:tc>
          <w:tcPr>
            <w:tcW w:w="709" w:type="dxa"/>
            <w:tcBorders>
              <w:top w:val="single" w:sz="4" w:space="0" w:color="auto"/>
              <w:left w:val="nil"/>
              <w:bottom w:val="single" w:sz="4" w:space="0" w:color="auto"/>
              <w:right w:val="single" w:sz="4" w:space="0" w:color="auto"/>
            </w:tcBorders>
          </w:tcPr>
          <w:p w14:paraId="709E36B3"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9" w:type="dxa"/>
            <w:tcBorders>
              <w:top w:val="single" w:sz="4" w:space="0" w:color="auto"/>
              <w:left w:val="nil"/>
              <w:bottom w:val="single" w:sz="4" w:space="0" w:color="auto"/>
              <w:right w:val="single" w:sz="4" w:space="0" w:color="auto"/>
            </w:tcBorders>
          </w:tcPr>
          <w:p w14:paraId="00A569E4"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single" w:sz="4" w:space="0" w:color="auto"/>
              <w:left w:val="nil"/>
              <w:bottom w:val="single" w:sz="4" w:space="0" w:color="auto"/>
              <w:right w:val="single" w:sz="4" w:space="0" w:color="auto"/>
            </w:tcBorders>
          </w:tcPr>
          <w:p w14:paraId="64DC02DA"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single" w:sz="4" w:space="0" w:color="auto"/>
              <w:left w:val="nil"/>
              <w:bottom w:val="single" w:sz="4" w:space="0" w:color="auto"/>
              <w:right w:val="single" w:sz="4" w:space="0" w:color="auto"/>
            </w:tcBorders>
          </w:tcPr>
          <w:p w14:paraId="676659C8"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single" w:sz="4" w:space="0" w:color="auto"/>
              <w:left w:val="nil"/>
              <w:bottom w:val="single" w:sz="4" w:space="0" w:color="auto"/>
              <w:right w:val="single" w:sz="4" w:space="0" w:color="auto"/>
            </w:tcBorders>
          </w:tcPr>
          <w:p w14:paraId="5C8F4B3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single" w:sz="4" w:space="0" w:color="auto"/>
              <w:left w:val="nil"/>
              <w:bottom w:val="single" w:sz="4" w:space="0" w:color="auto"/>
              <w:right w:val="single" w:sz="4" w:space="0" w:color="auto"/>
            </w:tcBorders>
          </w:tcPr>
          <w:p w14:paraId="00462720"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single" w:sz="4" w:space="0" w:color="auto"/>
              <w:left w:val="nil"/>
              <w:bottom w:val="single" w:sz="4" w:space="0" w:color="auto"/>
              <w:right w:val="single" w:sz="4" w:space="0" w:color="auto"/>
            </w:tcBorders>
          </w:tcPr>
          <w:p w14:paraId="1E57A070"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single" w:sz="4" w:space="0" w:color="auto"/>
              <w:left w:val="nil"/>
              <w:bottom w:val="single" w:sz="4" w:space="0" w:color="auto"/>
              <w:right w:val="single" w:sz="4" w:space="0" w:color="auto"/>
            </w:tcBorders>
          </w:tcPr>
          <w:p w14:paraId="22B2A9C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single" w:sz="4" w:space="0" w:color="auto"/>
              <w:left w:val="nil"/>
              <w:bottom w:val="single" w:sz="4" w:space="0" w:color="auto"/>
              <w:right w:val="single" w:sz="4" w:space="0" w:color="auto"/>
            </w:tcBorders>
          </w:tcPr>
          <w:p w14:paraId="3B28FFC7"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741C82CF" w14:textId="77777777" w:rsidTr="00D45472">
        <w:tc>
          <w:tcPr>
            <w:tcW w:w="2933" w:type="dxa"/>
          </w:tcPr>
          <w:p w14:paraId="49598855"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Homaira et al. (2019)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{"citationID":"q9t7pyFS","properties":{"formattedCitation":"(16)","plainCitation":"(16)","noteIndex":0},"citationItems":[{"id":162,"uris":["http://zotero.org/users/local/Si4PgwiI/items/N6WW6IXF"],"itemData":{"id":162,"type":"article-journal","abstract":"CONCLUSIONS: Although the burden of RSV disease is highest in children aged &lt;6 months, the burden of subsequent asthma is higher in children who develop RSV disease at ages &gt;=6 months. Copyright © The Author(s) 2018. Published by Oxford University Press for the Infectious Diseases Society of America. All rights reserved. For permissions, e-mail: journals.permissions@oup.com.","container-title":"Journal of Infectious Diseases","DOI":"10.1093/infdis/jiy671","issue":"4","language":"English","license":"From MEDLINE, a database of the U.S. National Library of Medicine.","note":"Institution: Omer, Saad B. Schools of Public Health and Medicine, Emory University, Atlanta, Georgia.\nPMID: 30517699","page":"550-556","source":"Ovid MEDLINE(R)","title":"Association of Age at First Severe Respiratory Syncytial Virus Disease With Subsequent Risk of Severe Asthma: A Population-Based Cohort Study","volume":"220","author":[{"family":"Homaira","given":"Nusrat"},{"family":"Briggs","given":"Nancy"},{"family":"Oei","given":"Ju-Lee"},{"family":"Hilder","given":"Lisa"},{"family":"Bajuk","given":"Barbara"},{"family":"Jaffe","given":"Adam"},{"family":"Omer","given":"Saad B."}],"issued":{"date-parts":[["2019"]]}}}],"schema":"https://github.com/citation-style-language/schema/raw/master/csl-citation.json"}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(16)</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0ACFF714"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674677B4"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156B327F"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4C7D0083"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72897B47"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F4B3CE5"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246BD876"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585BF458"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5AB9A6C3"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1F3F7C08"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6185F5AD"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6B2EE595"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012A6903"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530B5083"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6D7A01BF" w14:textId="77777777" w:rsidTr="00D45472">
        <w:tc>
          <w:tcPr>
            <w:tcW w:w="2933" w:type="dxa"/>
          </w:tcPr>
          <w:p w14:paraId="04D346F9"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Gebremedhin et al. (2022)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{"citationID":"F0HEZyyO","properties":{"formattedCitation":"(17)","plainCitation":"(17)","noteIndex":0},"citationItems":[{"id":51,"uris":["http://zotero.org/users/local/Si4PgwiI/items/2YJNVLGH"],"itemData":{"id":51,"type":"article-journal","abstract":"Respiratory syncytial virus (RSV) is a leading cause of childhood morbidity, however there is no systematic testing in children hospitalised with respiratory  symptoms. Therefore, current RSV incidence likely underestimates the true burden.  We used probabilistically linked perinatal, hospital, and laboratory records of  321,825 children born in Western Australia (WA), 2000-2012. We generated a  predictive model for RSV positivity in hospitalised children aged &lt; 5 years. We  applied the model to all hospitalisations in our population-based cohort to  determine the true RSV incidence, and under-ascertainment fraction. The model's  predictive performance was determined using cross-validated area under the  receiver operating characteristic (AUROC) curve. From 321,825 hospitalisations,  37,784 were tested for RSV (22.8% positive). Predictors of RSV positivity  included younger admission age, male sex, non-Aboriginal ethnicity, a diagnosis  of bronchiolitis and longer hospital stay. Our model showed good predictive  accuracy (AUROC: 0.87). The respective sensitivity, specificity, positive  predictive value and negative predictive values were 58.4%, 92.2%, 68.6% and  88.3%. The predicted incidence rates of hospitalised RSV for children  aged &lt; 3 months was 43.7/1000 child-years (95% CI 42.1-45.4) compared with  31.7/1000 child-years (95% CI 30.3-33.1) from laboratory-confirmed RSV  admissions. Findings from our study suggest that the true burden of RSV may be  30-57% higher than current estimates.","container-title":"Scientific reports","DOI":"10.1038/s41598-021-04080-3","ISSN":"2045-2322","issue":"1","journalAbbreviation":"Sci Rep","language":"eng","license":"© 2022. The Author(s).","note":"publisher-place: England\nPMID: 35013434 \nPMCID: PMC8748465","page":"332","title":"Developing a prediction model to estimate the true burden of respiratory syncytial virus (RSV) in hospitalised children in Western Australia.","volume":"12","author":[{"family":"Gebremedhin","given":"Amanuel Tesfay"},{"family":"Hogan","given":"Alexandra B."},{"family":"Blyth","given":"Christopher C."},{"family":"Glass","given":"Kathryn"},{"family":"Moore","given":"Hannah C."}],"issued":{"date-parts":[["2022",1,10]]}}}],"schema":"https://github.com/citation-style-language/schema/raw/master/csl-citation.json"}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(17)</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38567707"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682126B3"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5AD69517"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75227B0E"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46D7B0E9"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5BAAB8FA"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3F8742F6"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43209FA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559A6E30"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20820613"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372FCA30"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3F6C719F"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3E4FC6F7"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590C248"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4DCE9139" w14:textId="77777777" w:rsidTr="00D45472">
        <w:tc>
          <w:tcPr>
            <w:tcW w:w="2933" w:type="dxa"/>
          </w:tcPr>
          <w:p w14:paraId="7CA1E210"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Moore et al. (2019)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{"citationID":"JlxO3OW7","properties":{"formattedCitation":"(18)","plainCitation":"(18)","noteIndex":0},"citationItems":[{"id":19,"uris":["http://zotero.org/users/local/Si4PgwiI/items/I7WJPXJP"],"itemData":{"id":19,"type":"article-journal","abstract":"OBJECTIVE: To measure the real-world effectiveness of palivizumab immunoprophylaxis against respiratory syncytial virus (RSV)-confirmed infection  before age 2 years in a population-cohort of high-risk infants. STUDY DESIGN:  Palivizumab is funded for high-risk infants in Western Australia. We used  probabilistically linked administrative data encompassing RSV  laboratory-confirmed infections, hospital admissions, and palivizumab dispensing  records for a cohort of 24 329 high-risk infants admitted to neonatal intensive  care units, born 2002-2013 with follow-up to 2015. We used a traditional cohort  method with Cox proportional hazards regression and a self-controlled case series  analysis to assess effectiveness of palivizumab in reducing RSV-confirmed  infection by number of doses. RESULTS: From the cohort of 24 329 infants, 271  (1.1%) received at least 1 dose of palivizumab and 1506 (6.2%) had at least 1  RSV-confirmed infection before age 2 years. Using the traditional cohort  approach, we found no protective association of palivizumab receipt with RSV  detection (adjusted hazard ratio = 0.99 [95% CI 0.5, 1.9] for 1 dose). However,  using a self-controlled case series to eliminate confounding by indication, a  protective association was seen with a 74% lower RSV incidence (relative  incidence = 0.26; 95% CI 0.11, 0.67) following any dose of palivizumab compared  with control (nonexposed) periods. CONCLUSIONS: After accounting for confounding  by indication through a self-controlled analysis, palivizumab appeared effective  for reducing virologically confirmed RSV in this high-risk cohort.","container-title":"The Journal of pediatrics","DOI":"10.1016/j.jpeds.2019.06.058","ISSN":"1097-6833 0022-3476","journalAbbreviation":"J Pediatr","language":"eng","license":"Copyright © 2019 Elsevier Inc. All rights reserved.","note":"publisher-place: United States\nPMID: 31378522","page":"121-127.e1","title":"Effectiveness of Palivizumab against Respiratory Syncytial Virus: Cohort and Case Series Analysis.","volume":"214","author":[{"family":"Moore","given":"Hannah C."},{"family":"Klerk","given":"Nicholas","non-dropping-particle":"de"},{"family":"Richmond","given":"Peter C."},{"family":"Fathima","given":"Parveen"},{"family":"Xu","given":"Ruomei"},{"family":"Keil","given":"Anthony D."},{"family":"Snelling","given":"Thomas L."},{"family":"Strunk","given":"Tobias"}],"issued":{"date-parts":[["2019",11]]}}}],"schema":"https://github.com/citation-style-language/schema/raw/master/csl-citation.json"}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(18)</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696A6C62"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32CCCD16"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75E48487"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5ABD3071"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26F85391"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FAAA676"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70C0CCF6"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2F84003D"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7609FC33"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781D1AC6"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9" w:type="dxa"/>
            <w:tcBorders>
              <w:top w:val="nil"/>
              <w:left w:val="nil"/>
              <w:bottom w:val="single" w:sz="4" w:space="0" w:color="auto"/>
              <w:right w:val="single" w:sz="4" w:space="0" w:color="auto"/>
            </w:tcBorders>
          </w:tcPr>
          <w:p w14:paraId="0F990DA7"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7DAD6C8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012A2F80"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A6CDFB2"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2B6F4522" w14:textId="77777777" w:rsidTr="00D45472">
        <w:tc>
          <w:tcPr>
            <w:tcW w:w="2933" w:type="dxa"/>
          </w:tcPr>
          <w:p w14:paraId="08A609AF"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Anderson et al. (2021)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{"citationID":"HALFtCmk","properties":{"formattedCitation":"(19)","plainCitation":"(19)","noteIndex":0},"citationItems":[{"id":394,"uris":["http://zotero.org/users/local/Si4PgwiI/items/7VZVTQME"],"itemData":{"id":394,"type":"article-journal","abstract":"Background: Early recognition of children at risk of severe respiratory syncytial virus (RSV) lower respiratory tract infection is important as it informs management decisions. We aimed to evaluate factors associated with severe disease among young children hospitalised with RSV infection. Methods: We conducted a retrospective cohort study of all children &lt;2 years of age hospitalised for RSV lower respiratory tract infection at a single tertiary paediatric hospital over three RSV seasons (January 2017-December 2019). We classified children as having 'moderate' or 'severe' disease based on the level of respiratory intervention and used univariable and multivariable regression models to determine factors associated with severe disease. Results: Of 970 hospitalised children, 386 (40%) were classified as having 'severe' and 584 (60%) as having 'moderate' RSV disease. On multivariable analyses, age &lt;2 months (OR: 2.3, 95% CI 1.6 to 3.3, p&lt;0.0001), prematurity (OR: 1.6, 95% CI 1.1 to 2.4, p=0.02) and RSV-parainfluenza virus type 3 (PIV3) codetection (OR: 2.6, 95% CI 1.05 to 6.5, p=0.04) were independently associated with severe disease. Conclusion: Younger age, prematurity and PIV3 codetection were associated with severe RSV disease in children &lt;2 years of age hospitalised with RSV infection. The association between PIV3 and severe RSV disease is a novel finding and warrants further investigation.","container-title":"Archives of Disease in Childhood","DOI":"10.1136/archdischild-2021-322435","ISSN":"0003-9888","issue":"4","language":"English","note":"Institution: Anderson, J.: Infection and Immunity, Murdoch Children's Research Institute, Parkville, Victoria, Australia, Anderson, J.: Department of Paediatrics, The University of Melbourne - Parkville Campus, Melbourne, Victoria, Australia, Oeum, M.: Infection and Immunity, Murdoch Children's Research Institute, Parkville, Victoria, Australia, Verkolf, E.: Erasmus University Rotterdam, Rotterdam, Netherlands, Licciardi, P. V.: Infection and Immunity, Murdoch Children's Research Institute, Parkville, Victoria, Australia, Licciardi, P. V.: Department of Paediatrics, The University of Melbourne - Parkville Campus, Melbourne, Victoria, Australia, Mulholland, K.: Infection and Immunity, Murdoch Children's Research Institute, Parkville, Victoria, Australia, Mulholland, K.: London School of Hygiene &amp; Tropical Medicine, London, UK, Nguyen, C.: The University of Melbourne Faculty of Medicine, Dentistry and Health Sciences, Melbourne, Victoria, Australia, Chow, K.: Department of Paediatrics, The University of Melbourne - Parkville Campus, Melbourne, Victoria, Australia, Waller, G.: The Royal Children's Hospital Melbourne, Parkville, Victoria, Australia, Costa, A. M.: The Royal Children's Hospital Melbourne, Parkville, Victoria, Australia, Daley, A.: Microbiology and Infection Control, The Royal Children's Hospital Melbourne, Parkville, Victoria, Australia, Crawford, N. W.: General Medicine, The Royal Children's Hospital Melbourne, Parkville, Victoria, Australia, Babl, F. E.: Emergency Department, The Royal Children's Hospital Melbourne, Parkville, Victoria, Australia, Duke, T.: Intensive Care Unit and Department of Paediatrics, The Royal Children's Hospital Melbourne, University of Melbourne, Parkville, Victoria, Australia, Do, L. A. H.: Infection and Immunity, Murdoch Children's Research Institute, Parkville, Victoria, Australia, Do, L. A. H.: Department of Paediatrics, The University of Melbourne - Parkville Campus, Melbourne, Victoria, Australia, Wurzel, D.: Infection and Immunity, Murdoch Children's Research Institute, Parkville, Victoria, Australia, Wurzel, D.: Department of Respiratory and Sleep Medicine, The Royal Children's Hospital Melbourne, Parkville, Victoria, Australia, Wurzel, D.: Melbourne School of Population and Global Health, The University of Melbourne, Melbourne, Victoria, Australia.\nPMID: PMID: 20220293502","page":"359-364","source":"Global Health","title":"Factors associated with severe respiratory syncytial virus disease in hospitalised children: a retrospective analysis","volume":"107","author":[{"family":"Anderson","given":"J."},{"family":"Oeum","given":"M."},{"family":"Verkolf","given":"E."},{"family":"Licciardi","given":"P. V."},{"family":"Mulholland","given":"K."},{"family":"Nguyen","given":"C."},{"family":"Chow","given":"K."},{"family":"Waller","given":"G."},{"family":"Costa","given":"A. M."},{"family":"Daley","given":"A."},{"family":"Crawford","given":"N. W."},{"family":"Babl","given":"F. E."},{"family":"Duke","given":"T."},{"family":"Do","given":"L. A. H."},{"family":"Wurzel","given":"D."}],"issued":{"date-parts":[["2021"]]}}}],"schema":"https://github.com/citation-style-language/schema/raw/master/csl-citation.json"}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(19)</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64CE271C"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53BF4146"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6B380E0B"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607FA040"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1B339297"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248B6E71"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418B8C0"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13744D1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w:t>
            </w:r>
          </w:p>
        </w:tc>
        <w:tc>
          <w:tcPr>
            <w:tcW w:w="709" w:type="dxa"/>
            <w:tcBorders>
              <w:top w:val="nil"/>
              <w:left w:val="nil"/>
              <w:bottom w:val="single" w:sz="4" w:space="0" w:color="auto"/>
              <w:right w:val="single" w:sz="4" w:space="0" w:color="auto"/>
            </w:tcBorders>
          </w:tcPr>
          <w:p w14:paraId="6FBED6DA"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0745656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0C50E6B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16B06F80"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09B233A1"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4736ED3"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477E330E" w14:textId="77777777" w:rsidTr="00D45472">
        <w:tc>
          <w:tcPr>
            <w:tcW w:w="2933" w:type="dxa"/>
          </w:tcPr>
          <w:p w14:paraId="66BBF0D5"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Homaira et al. (2016)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{"citationID":"Pqkig5Yl","properties":{"formattedCitation":"(20)","plainCitation":"(20)","noteIndex":0},"citationItems":[{"id":34,"uris":["http://zotero.org/users/local/Si4PgwiI/items/Y7UFCRSI"],"itemData":{"id":34,"type":"article-journal","abstract":"Linked administrative population data were used to estimate the burden of childhood respiratory syncytial virus (RSV) hospitalization in an Australian  cohort aged &lt;5 years. RSV-coded hospitalizations data were extracted for all  children aged &lt;5 years born in New South Wales (NSW), Australia between 2001 and  2010. Incidence was calculated as the total number of new episodes of RSV  hospitalization divided by the child-years at risk. Mean cost per episode of RSV  hospitalization was estimated using public hospital cost weights. The cohort  comprised of 870 314 children. The population-based incidence/1000 child-years of  RSV hospitalization for children aged &lt;5 years was 4·9 with a rate of 25·6 in  children aged &lt;3 months. The incidence of RSV hospitalization (per 1000  child-years) was 11·0 for Indigenous children, 81·5 for children with  bronchopulmonary dysplasia (BPD), 10·2 for preterm children with gestational age  (GA) 32-36 weeks, 27·0 for children with GA 28-31 weeks, 39·0 for children with  GA &lt;28 weeks and 6·7 for term children with low birthweight. RSV hospitalization  was associated with an average annual cost of more than AUD 9 million in NSW. RSV  was associated with a substantial burden of childhood hospitalization  specifically in children aged &lt;3 months and in Indigenous children and children  born preterm or with BPD.","container-title":"Epidemiology and infection","DOI":"10.1017/S0950268815003015","ISSN":"1469-4409 0950-2688","issue":"8","journalAbbreviation":"Epidemiol Infect","language":"eng","note":"publisher-place: England\nPMID: 26626237 \nPMCID: PMC9150613","page":"1612-1621","title":"High burden of RSV hospitalization in very young children: a data linkage study.","volume":"144","author":[{"family":"Homaira","given":"N."},{"family":"Oei","given":"J.-L."},{"family":"Mallitt","given":"K.-A."},{"family":"Abdel-Latif","given":"M. E."},{"family":"Hilder","given":"L."},{"family":"Bajuk","given":"B."},{"family":"Lui","given":"K."},{"family":"Ferson","given":"M."},{"family":"Nurkic","given":"A."},{"family":"Chambers","given":"G. M."},{"family":"Rawlinson","given":"W."},{"family":"Snelling","given":"T."},{"family":"Jaffe","given":"A."}],"issued":{"date-parts":[["2016",6]]}}}],"schema":"https://github.com/citation-style-language/schema/raw/master/csl-citation.json"}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(20)</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53130028"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1AF9E423"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7FB1D1E0"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63CD834C"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5E32DD70"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0.5</w:t>
            </w:r>
          </w:p>
        </w:tc>
        <w:tc>
          <w:tcPr>
            <w:tcW w:w="709" w:type="dxa"/>
            <w:tcBorders>
              <w:top w:val="nil"/>
              <w:left w:val="nil"/>
              <w:bottom w:val="single" w:sz="4" w:space="0" w:color="auto"/>
              <w:right w:val="single" w:sz="4" w:space="0" w:color="auto"/>
            </w:tcBorders>
          </w:tcPr>
          <w:p w14:paraId="606601E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9" w:type="dxa"/>
            <w:tcBorders>
              <w:top w:val="nil"/>
              <w:left w:val="nil"/>
              <w:bottom w:val="single" w:sz="4" w:space="0" w:color="auto"/>
              <w:right w:val="single" w:sz="4" w:space="0" w:color="auto"/>
            </w:tcBorders>
          </w:tcPr>
          <w:p w14:paraId="4464E50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6DB3D22D"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2692F9D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6F887451"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60E329E1"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05CA90A8"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71C306F"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F7ADD08"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3D01C416" w14:textId="77777777" w:rsidTr="00D45472">
        <w:tc>
          <w:tcPr>
            <w:tcW w:w="2933" w:type="dxa"/>
          </w:tcPr>
          <w:p w14:paraId="4F796DF0"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Lim et al. (2017)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{"citationID":"OqTdzQiR","properties":{"formattedCitation":"(21)","plainCitation":"(21)","noteIndex":0},"citationItems":[{"id":33,"uris":["http://zotero.org/users/local/Si4PgwiI/items/HRLNENN6"],"itemData":{"id":33,"type":"article-journal","abstract":"BACKGROUND: Reliance on hospital discharge diagnosis codes alone will likely underestimate the burden of respiratory viruses. OBJECTIVES: To describe the  epidemiology of respiratory viruses more accurately, we used record linkage to  examine data relating to all children hospitalized in Western Australia between  2000 and 2012. PATIENTS/METHODS: We extracted hospital, infectious disease  notification and laboratory data of a cohort of children born in Western  Australia between 1996 and 2012. Laboratory records of respiratory specimens  collected within 48 hours of admission were linked to hospitalization records. We  calculated the frequency and rates of virus detection. To identify groups where  under-ascertainment for respiratory viruses was greatest, we used logistic  regression to determine factors associated with failure to test. RESULTS AND  CONCLUSIONS: Nine percentage of 484 992 admissions linked to a laboratory record  for respiratory virus testing. While 62% (n = 26 893) of laboratory-confirmed  admissions received respiratory infection diagnosis codes, 38% (n = 16 734) had  other diagnoses, notably viral infection of unspecified sites. Of those tested,  incidence rates were highest for respiratory syncytial virus (247 per 100 000  child-years) followed by parainfluenza (63 per 100 000 child-years). Admissions  among older children and those without a respiratory diagnosis were associated  with failure to test for respiratory viruses. Linked data can significantly  enhance diagnostic codes when estimating the true burden of disease. In contrast  to current emphasis on influenza, respiratory syncytial virus and parainfluenza  were the most common viral pathogens among hospitalized children. By  characterizing those failing to be tested, we can begin to quantify the  under-ascertainment of respiratory viruses.","container-title":"Influenza and other respiratory viruses","DOI":"10.1111/irv.12508","ISSN":"1750-2659 1750-2640","issue":"6","journalAbbreviation":"Influenza Other Respir Viruses","language":"eng","license":"© 2017 The Authors. Influenza and Other Respiratory Viruses Published by John Wiley &amp; Sons Ltd.","note":"publisher-place: England\nPMID: 28991397 \nPMCID: PMC5705691","page":"502-510","title":"Record linkage study of the pathogen-specific burden of respiratory viruses in children.","volume":"11","author":[{"family":"Lim","given":"Faye J."},{"family":"Blyth","given":"Christopher C."},{"family":"Fathima","given":"Parveen"},{"family":"Klerk","given":"Nicholas","non-dropping-particle":"de"},{"family":"Moore","given":"Hannah C."}],"issued":{"date-parts":[["2017",11]]}}}],"schema":"https://github.com/citation-style-language/schema/raw/master/csl-citation.json"}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(21)</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007B5F77"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180A1274"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5572A4C9"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2A28A4A6"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74414C91"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082355D5"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EA0894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7FBFF5EF"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024ABD0D"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08434C81"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8DAADD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184C95D9"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D1D749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7E0FBE3A"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71412DB2" w14:textId="77777777" w:rsidTr="00D45472">
        <w:tc>
          <w:tcPr>
            <w:tcW w:w="2933" w:type="dxa"/>
          </w:tcPr>
          <w:p w14:paraId="07CC5424"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Dede et al. (2010)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{"citationID":"JnshWXDv","properties":{"formattedCitation":"(22)","plainCitation":"(22)","noteIndex":0},"citationItems":[{"id":45,"uris":["http://zotero.org/users/local/Si4PgwiI/items/G35AVKND"],"itemData":{"id":45,"type":"article-journal","abstract":"BACKGROUND: Little is known about the epidemiology of respiratory syncytial virus (RSV) infection in arid desert regions and in the Aboriginal population. We  describe the seasonality and epidemiology of RSV infection in Central Australia,  an arid area with a large Aboriginal population. METHODS: Five-year retrospective  study from 2000 through 2004 of children less than 2 years old admitted to Alice  Springs Hospital with documented RSV infection. RESULTS: RSV infection was  documented in 173 children &lt;2 years old admitted over a 5-year period, 165  community-acquired and 8 nosocomial. The annual incidence rate of  community-acquired RSV infection in hospitalised Central Australian children &lt;2  years old was 20.4 per 1000. The rate in Aboriginal children of 29.6 per 1000  children was significantly greater than in non-Aboriginal children of 10.9 per  1000 (P &lt; 0.0001). Associated risk factors were common; 52% of infected children  had at least one other comorbidity. Younger children had more severe illness and  longer duration of hospital stay. RSV-related illness peaked in winter but  infections occurred throughout the year, and the winter predominance was less  marked than in temperate climates. CONCLUSIONS: In the arid, desert region of  Central Australia, RSV infection occurs throughout the year, but is more frequent  in winter and more common in Aboriginal children. These data are important for  understanding RSV epidemiology in desert regions, and for planning active or  passive RSV immunoprophylaxis in these and other similar populations.","container-title":"Journal of paediatrics and child health","DOI":"10.1111/j.1440-1754.2009.01614.x","ISSN":"1440-1754 1034-4810","issue":"1-2","journalAbbreviation":"J Paediatr Child Health","language":"eng","note":"publisher-place: Australia\nPMID: 19943864","page":"35-39","title":"Respiratory syncytial virus infections in Central Australia.","volume":"46","author":[{"family":"Dede","given":"Apakasiamaka"},{"family":"Isaacs","given":"David"},{"family":"Torzillo","given":"Paul J."},{"family":"Wakerman","given":"John"},{"family":"Roseby","given":"Rob"},{"family":"Fahy","given":"Rose"},{"family":"Clothier","given":"Tors"},{"family":"White","given":"Andrew"},{"family":"Kitto","given":"Paula"}],"issued":{"date-parts":[["2010",1]]}}}],"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(22)</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44C49BE1"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459CE66C"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2F40955A"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5BAE688C"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4CEDAE4E"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0</w:t>
            </w:r>
          </w:p>
        </w:tc>
        <w:tc>
          <w:tcPr>
            <w:tcW w:w="709" w:type="dxa"/>
            <w:tcBorders>
              <w:top w:val="nil"/>
              <w:left w:val="nil"/>
              <w:bottom w:val="single" w:sz="4" w:space="0" w:color="auto"/>
              <w:right w:val="single" w:sz="4" w:space="0" w:color="auto"/>
            </w:tcBorders>
          </w:tcPr>
          <w:p w14:paraId="5544D24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w:t>
            </w:r>
          </w:p>
        </w:tc>
        <w:tc>
          <w:tcPr>
            <w:tcW w:w="709" w:type="dxa"/>
            <w:tcBorders>
              <w:top w:val="nil"/>
              <w:left w:val="nil"/>
              <w:bottom w:val="single" w:sz="4" w:space="0" w:color="auto"/>
              <w:right w:val="single" w:sz="4" w:space="0" w:color="auto"/>
            </w:tcBorders>
          </w:tcPr>
          <w:p w14:paraId="4C44F0B9"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0BD3C2C0"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55E2F58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7EF2E5BB"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9" w:type="dxa"/>
            <w:tcBorders>
              <w:top w:val="nil"/>
              <w:left w:val="nil"/>
              <w:bottom w:val="single" w:sz="4" w:space="0" w:color="auto"/>
              <w:right w:val="single" w:sz="4" w:space="0" w:color="auto"/>
            </w:tcBorders>
          </w:tcPr>
          <w:p w14:paraId="47642A06"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68AD0204"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50334B7D"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5AE3D3C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37240149" w14:textId="77777777" w:rsidTr="00D45472">
        <w:tc>
          <w:tcPr>
            <w:tcW w:w="2933" w:type="dxa"/>
          </w:tcPr>
          <w:p w14:paraId="6C82F7C7"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Saravanos et al. (2019)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{"citationID":"CCFUGfSP","properties":{"formattedCitation":"(3)","plainCitation":"(3)","noteIndex":0},"citationItems":[{"id":9,"uris":["http://zotero.org/users/local/Si4PgwiI/items/M98UC6QX"],"itemData":{"id":9,"type":"article-journal","abstract":"OBJECTIVE: To estimate rates of respiratory syncytial virus (RSV)-associated hospitalisation across the age spectrum, and to identify groups at particular  risk of serious RSV-associated disease. DESIGN, SETTING AND PARTICIPANTS:  Retrospective review of National Hospital Morbidity Database data for all  RSV-associated hospitalisations in Australia, 2006-2015. MAIN OUTCOMES AND  MEASURES: RSV-coded hospitalisation rates by age, sex, Indigenous status,  jurisdiction, and seasonality (month and year); hospital length of stay;  in-hospital deaths. RESULTS: During 2006-2015, there were 63 814 hospitalisations  with an RSV-specific principal diagnostic code; 60 551 (94.9%) were of children  under 5 years of age. The hospitalisation rate for children under 5 years was 418  per 100 000 population; for children under 6 months of age it was 2224 per  100 000 population; the highest rate was for infants aged 0-2 months (2778 per  100 000 population). RSV-coded hospitalisation rates were higher for adults aged  65 or more than for people aged 5-64 years (incidence rate ratio [IRR], 6.6; 95%  CI, 6.2-7.1), and were also higher for Indigenous Australians than other  Australians (IRR, 3.3; 95% CI, 3.2-3.5). A total of 138 in-hospital deaths were  recorded, including 82 of adults aged 65 years or more (59%). CONCLUSIONS:  Prevention strategies targeting infants, such as maternal or early infant  vaccination, would probably have the greatest impact in reducing RSV disease  rates. Further characterisation of RSV disease epidemiology, particularly in  older adults and Indigenous Australians, is needed to inform health care  strategies.","container-title":"The Medical journal of Australia","DOI":"10.5694/mja2.50159","ISSN":"1326-5377 0025-729X","issue":"10","journalAbbreviation":"Med J Aust","language":"eng","license":"© 2019 AMPCo Pty Ltd.","note":"publisher-place: Australia\nPMID: 31066061","page":"447-453","title":"Respiratory syncytial virus-associated hospitalisations in Australia, 2006-2015.","volume":"210","author":[{"family":"Saravanos","given":"Gemma L."},{"family":"Sheel","given":"Meru"},{"family":"Homaira","given":"Nusrat"},{"family":"Dey","given":"Aditi"},{"family":"Brown","given":"Edward"},{"family":"Wang","given":"Han"},{"family":"Macartney","given":"Kristine"},{"family":"Wood","given":"Nicholas J."}],"issued":{"date-parts":[["2019",6]]}}}],"schema":"https://github.com/citation-style-language/schema/raw/master/csl-citation.json"}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(3)</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77687FB5"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7EF82AAD"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118A2CA8"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7CDFDB9B"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32F8BA74"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0B15B269"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5A6A1772"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33125E2F"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62B40EE2"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30ABDDD4"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C69CCC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11E2DCE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741F44B"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845C1A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3FAB79AA" w14:textId="77777777" w:rsidTr="00D45472">
        <w:tc>
          <w:tcPr>
            <w:tcW w:w="2933" w:type="dxa"/>
          </w:tcPr>
          <w:p w14:paraId="7B521586"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Saravanos et al. (2022)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{"citationID":"0OvVBFW8","properties":{"formattedCitation":"(23)","plainCitation":"(23)","noteIndex":0},"citationItems":[{"id":3,"uris":["http://zotero.org/users/local/Si4PgwiI/items/HQ78G44K"],"itemData":{"id":3,"type":"article-journal","abstract":"COVID-19 public health measures altered respiratory syncytial virus (RSV) epidemiology. We examined age-stratified trends in RSV-related disease in  Australian children in 2020 compared with previous years.","container-title":"Pediatrics","DOI":"10.1542/peds.2021-053537","ISSN":"1098-4275 0031-4005","issue":"2","journalAbbreviation":"Pediatrics","language":"eng","license":"Copyright © 2022 by the American Academy of Pediatrics.","note":"publisher-place: United States\nPMID: 35083489","page":"e2021053537","title":"RSV Epidemiology in Australia Before and During COVID-19.","volume":"149","author":[{"family":"Saravanos","given":"Gemma L."},{"family":"Hu","given":"Nan"},{"family":"Homaira","given":"Nusrat"},{"family":"Muscatello","given":"David J."},{"family":"Jaffe","given":"Adam"},{"family":"Bartlett","given":"Adam W."},{"family":"Wood","given":"Nicholas J."},{"family":"Rawlinson","given":"William"},{"family":"Kesson","given":"Alison"},{"family":"Lingam","given":"Raghu"},{"family":"Britton","given":"Philip N."}],"issued":{"date-parts":[["2022",2,1]]}}}],"schema":"https://github.com/citation-style-language/schema/raw/master/csl-citation.json"}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(23)</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1710A4E0"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7491EE21"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1D695024"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6C343B22"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2ACD8130"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28E1CF67"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79DE6866"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645803EB"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F9B39BF"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21031307"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0DFDC7B1"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5BE2841A"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BF2B922"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9B4FF1B"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19223F56" w14:textId="77777777" w:rsidTr="00D45472">
        <w:tc>
          <w:tcPr>
            <w:tcW w:w="2933" w:type="dxa"/>
          </w:tcPr>
          <w:p w14:paraId="306733D8"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Fagan et al. (2017)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{"citationID":"jLDjXTml","properties":{"formattedCitation":"(24)","plainCitation":"(24)","noteIndex":0},"citationItems":[{"id":36,"uris":["http://zotero.org/users/local/Si4PgwiI/items/785VK3ER"],"itemData":{"id":36,"type":"article-journal","abstract":"AIM: To determine the prevalence of respiratory syncytial virus (RSV) in the Top End of the Northern Territory and investigate potential drivers of seasonality  including rainfall and humidex (humidity and heat index). METHODS: We performed a  retrospective audit of laboratory confirmed cases of RSV from January 2012 to  August 2014. Demographic details including age, sex and ethnicity were examined.  RSV cases were correlated with monthly rainfall and humidex. RESULTS: There were  272 positive isolates detected from 4305 clinical samples (positivity rate 6.3%).  The majority of cases occurred in children &lt;12 months (n = 151, 55.5%), with a  higher burden of disease seen in Indigenous compared to non-Indigenous infants in  this age category (P &lt; 0.005). The prevalence of RSV in the 0-5 years age  category was 58/10 000 children per annum. Indigenous patients had higher  prevalence rates (88.8/10 000 population per annum) and younger onset of  infection (7.5 months; Interquartile range (IQR) 3-19 months compared to 13  months for non-Indigenous children; IQR 5 months to 2.4 years). RSV cases  correlated most strongly with rainfall in the preceding month (r = 0.72).  CONCLUSIONS: The Top End of the Northern Territory has a distinct RSV season that  correlates with rainfall and humidex, which differs from Southern Australian  disease patterns.","container-title":"Journal of paediatrics and child health","DOI":"10.1111/jpc.13303","ISSN":"1440-1754 1034-4810","issue":"1","journalAbbreviation":"J Paediatr Child Health","language":"eng","license":"© 2016 Paediatrics and Child Health Division (The Royal Australasian College of Physicians).","note":"publisher-place: Australia\nPMID: 27671992","page":"43-46","title":"Seasonal variability of respiratory syncytial virus infection in the Top End of the Northern Territory (2012-2014).","volume":"53","author":[{"family":"Fagan","given":"Peter"},{"family":"McLeod","given":"Charlie"},{"family":"Baird","given":"Robert W."}],"issued":{"date-parts":[["2017",1]]}}}],"schema":"https://github.com/citation-style-language/schema/raw/master/csl-citation.json"}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(24)</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023CAB15"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6C7BEE49"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6971666C"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3E733066"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641499DC"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0</w:t>
            </w:r>
          </w:p>
        </w:tc>
        <w:tc>
          <w:tcPr>
            <w:tcW w:w="709" w:type="dxa"/>
            <w:tcBorders>
              <w:top w:val="nil"/>
              <w:left w:val="nil"/>
              <w:bottom w:val="single" w:sz="4" w:space="0" w:color="auto"/>
              <w:right w:val="single" w:sz="4" w:space="0" w:color="auto"/>
            </w:tcBorders>
          </w:tcPr>
          <w:p w14:paraId="055F80D7"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w:t>
            </w:r>
          </w:p>
        </w:tc>
        <w:tc>
          <w:tcPr>
            <w:tcW w:w="709" w:type="dxa"/>
            <w:tcBorders>
              <w:top w:val="nil"/>
              <w:left w:val="nil"/>
              <w:bottom w:val="single" w:sz="4" w:space="0" w:color="auto"/>
              <w:right w:val="single" w:sz="4" w:space="0" w:color="auto"/>
            </w:tcBorders>
          </w:tcPr>
          <w:p w14:paraId="3BDE6B82"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5ECF24E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w:t>
            </w:r>
          </w:p>
        </w:tc>
        <w:tc>
          <w:tcPr>
            <w:tcW w:w="709" w:type="dxa"/>
            <w:tcBorders>
              <w:top w:val="nil"/>
              <w:left w:val="nil"/>
              <w:bottom w:val="single" w:sz="4" w:space="0" w:color="auto"/>
              <w:right w:val="single" w:sz="4" w:space="0" w:color="auto"/>
            </w:tcBorders>
          </w:tcPr>
          <w:p w14:paraId="4BC89BF9"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6A146D4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w:t>
            </w:r>
          </w:p>
        </w:tc>
        <w:tc>
          <w:tcPr>
            <w:tcW w:w="709" w:type="dxa"/>
            <w:tcBorders>
              <w:top w:val="nil"/>
              <w:left w:val="nil"/>
              <w:bottom w:val="single" w:sz="4" w:space="0" w:color="auto"/>
              <w:right w:val="single" w:sz="4" w:space="0" w:color="auto"/>
            </w:tcBorders>
          </w:tcPr>
          <w:p w14:paraId="2CB23EFA"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4D26B70A"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6148D9A4"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2D24EB5"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3AC6D01B" w14:textId="77777777" w:rsidTr="00D45472">
        <w:tc>
          <w:tcPr>
            <w:tcW w:w="2933" w:type="dxa"/>
          </w:tcPr>
          <w:p w14:paraId="51E487F4"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Butler et al. (2019)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{"citationID":"0Fpbp2Zv","properties":{"formattedCitation":"(25)","plainCitation":"(25)","noteIndex":0},"citationItems":[{"id":74,"uris":["http://zotero.org/users/local/Si4PgwiI/items/EMT86ZTY"],"itemData":{"id":74,"type":"article-journal","abstract":"BACKGROUND: Respiratory syncytial virus (RSV) infection is a frequent cause of hospitalization in infants younger than 3 years of age. We aimed to determine the  factors associated with severe RSV disease. METHODS: Retrospective medical review  of children up to 3 years of age admitted for laboratory-proven RSV infection  between January 1, 2013, and December 31, 2014, was conducted at the Women's and  Children's Hospital, Adelaide, South Australia, and the Paediatric Department at  Cairns Hospital, Cairns, North Queensland. Severity of infection was determined  using the validated Brisbane RSV Infection Severity Score. RESULTS: Four-hundred  ninety-six children (383 at Women's and Children's Hospital and 113 at Cairns  Hospital) were included in the study, with 76, 323 and 97 patients identified as  having mild, moderate or severe disease, respectively. Decreasing age [odds ratio  (OR) = 0.95; 95% confidence interval (CI) = 0.90-0.99, P = 0.020), and being  Indigenous, increased (OR = 2.6; 95% CI = 1.4-4.9, P = 0.002) the risk of severe  RSV infection in hospitalized children. Underlying respiratory (P = 0.029, OR =  2.5; 95% CI = 1.1-5.8) or cardiac (OR = 2.7; 95% CI = 1.1-6.4, P = 0.024)  conditions, as well as the presence of tachypnoea on admission (OR = 2.2; 95% CI  = 1.2-4.1, P = 0.009), were also independent predictors of severe RSV infection.  Seasonal variation in hospitalization was observed between temperate and tropical  climates but was not associated with disease severity. CONCLUSIONS: Young  infants, Indigenous patients and children with underlying respiratory and cardiac  disease should be observed closely for signs of deterioration. Infants with  tachypnoea on admission should be continuously monitored.","container-title":"The Pediatric infectious disease journal","DOI":"10.1097/INF.0000000000002026","ISSN":"1532-0987 0891-3668","issue":"1","journalAbbreviation":"Pediatr Infect Dis J","language":"eng","note":"publisher-place: United States\nPMID: 30531526","page":"6-11","title":"Severe Respiratory Syncytial Virus Infection in Hospitalized Children Less Than 3 Years of Age in a Temperate and Tropical Climate.","volume":"38","author":[{"family":"Butler","given":"Jessica"},{"family":"Gunnarsson","given":"Ronny"},{"family":"Traves","given":"Aileen"},{"family":"Marshall","given":"Helen"}],"issued":{"date-parts":[["2019",1]]}}}],"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(25)</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474080F2"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109F8D92"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5406E2B8"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27348E07"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26396C93"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04070891"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CE048E4"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63591EBB"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w:t>
            </w:r>
          </w:p>
        </w:tc>
        <w:tc>
          <w:tcPr>
            <w:tcW w:w="709" w:type="dxa"/>
            <w:tcBorders>
              <w:top w:val="nil"/>
              <w:left w:val="nil"/>
              <w:bottom w:val="single" w:sz="4" w:space="0" w:color="auto"/>
              <w:right w:val="single" w:sz="4" w:space="0" w:color="auto"/>
            </w:tcBorders>
          </w:tcPr>
          <w:p w14:paraId="6CFCC5D8"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383EEE79"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614F6D4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3F20F88B"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6EEBB09A"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62E3086B"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2E1AE9D1" w14:textId="77777777" w:rsidTr="00D45472">
        <w:tc>
          <w:tcPr>
            <w:tcW w:w="2933" w:type="dxa"/>
          </w:tcPr>
          <w:p w14:paraId="782A7079"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Pham et al. (2020)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{"citationID":"YMyDjVgW","properties":{"formattedCitation":"(26)","plainCitation":"(26)","noteIndex":0},"citationItems":[{"id":1254,"uris":["http://zotero.org/users/local/Si4PgwiI/items/4T5C8IKZ"],"itemData":{"id":1254,"type":"article-journal","abstract":"Aim: To describe the epidemiology and treatment of respiratory syncytial virus (RSV) infection in a tertiary paediatric intensive care unit (PICU), including the clinical presentations, comorbidities, respiratory support required, costs and outcomes. Methods: This study was an analysis of a database for all children with RSV infections admitted to the PICU in Melbourne between 2005 and 2015. Results: A total of 604 episodes of community-acquired RSV infections were analysed, and the median age of children was 4 months (interquartile range 2-14 months); 94% of cases had lower respiratory tract infection, principally bronchiolitis, and 8.9% presented with extrapulmonary features. Respiratory support included humidified high-flow nasal cannula oxygen therapy (76% of patients since its introduction in 2011), non-invasive ventilation (41%) and intubation and mechanical ventilation (32%). Almost half (n = 270; 45%) had one or more pre-existing comorbid condition. Risk factors for intubation and mechanical ventilation were presence of comorbidities (odds ratio 1.97; confidence interval 1.39-2.79, P &lt; 0.001) and transfer from an external hospital (odds ratio 1.82; confidence interval 1.58-2.57, P &lt; 0.001). Of the children without pre-existing comorbidities, 25% required intubation and mechanical ventilation. Following the introduction of humidified high-flow nasal cannula oxygen therapy, the number of annual PICU admissions for RSV infection doubled; however, the number of children requiring intubation remained unchanged. The median length of intensive care unit stay was 3.7 days and further hospital stay was 3.6 days, and the average cost per case was approximately AU$20000. Conclusions: RSV infection carries a high burden in PICU, in bed-days and cost. Chronic comorbidities and transfer from a peripheral hospital were associated with a higher rate of need for mechanical ventilation.","container-title":"Journal of Paediatrics and Child Health","DOI":"10.1111/jpc.14491","ISSN":"1034-4810","issue":"1","language":"English","note":"number: 1\nInstitution: Pham, H.: Paediatric Intensive Care Unit, Royal Children's Hospital, Melbourne, Victoria, Australia, Thompson, J.: Paediatric Intensive Care Unit, Royal Children's Hospital, Melbourne, Victoria, Australia, Wurzel, D.: Respiratory Medicine, Royal Children's Hospital, Melbourne, Victoria, Australia, Wurzel, D.: Infection and Immunity Theme, Murdoch Children's Research Institute, Melbourne, Victoria, Australia, Duke, T.: Paediatric Intensive Care Unit, Royal Children's Hospital, 50 Flemingron Road, Parkville, Victoria 3052, Australia, Duke, T.: Centre for International Child Health, Murdoch Children's Research Institute, University of Melbourne, Melbourne, Victoria, Australia.\nPMID: PMID: 20203430539","page":"61-67","source":"Global Health","title":"Ten years of severe respiratory syncytial virus infections in a tertiary paediatric intensive care unit","volume":"56","author":[{"family":"Pham","given":"H."},{"family":"Thompson","given":"J."},{"family":"Wurzel","given":"D."},{"family":"Duke","given":"T."}],"issued":{"date-parts":[["2020"]]}}}],"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(26)</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0F29DBE7"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53E5EFD4"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372E79B9"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0D0082A8"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67A10F57"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28D6722B"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5E6B53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3EC3A1ED"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7227E6D9"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7FD0064B"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6A8E6800"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7438B278"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3E23AA11"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79402D68"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6F62B573" w14:textId="77777777" w:rsidTr="00D45472">
        <w:tc>
          <w:tcPr>
            <w:tcW w:w="2933" w:type="dxa"/>
          </w:tcPr>
          <w:p w14:paraId="5988B44A"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Fathima et al. (2018)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{"citationID":"pk383hrP","properties":{"formattedCitation":"(27)","plainCitation":"(27)","noteIndex":0},"citationItems":[{"id":649,"uris":["http://zotero.org/users/local/Si4PgwiI/items/T3PW9WNA"],"itemData":{"id":649,"type":"article-journal","abstract":"BACKGROUND: Pneumococcal conjugate vaccine (PCV) was included in Australia's National Immunisation Program for all children from 2005. We assessed the impact  of PCV on all-cause and pathogen-specific pneumonia hospitalizations in Western  Australian (WA) children aged ≤16 years. METHODS: All hospitalizations with  pneumonia-related International Statistical Classification of Diseases and  Related Health Problems, Tenth Revision, Australian Modification diagnosis codes  occurring in WA-born children (1996-2012) were linked to pathology records.  Age-specific incidence rate ratios and temporal trends for all-cause and  pathogen-specific pneumonia hospitalizations were calculated before and after PCV  introduction. RESULTS: Among 469589 births, there were 15175 pneumonia-related  hospitalizations. Hospitalization rates were 6.7 (95% confidence interval,  6.4-6.9) times higher in Aboriginal than in non-Aboriginal children. Following  PCV introduction, all-cause pneumonia hospitalizations showed significant  declines across all age groups. A pathogen was identified in 2785 of 6693 (41.6%)  pneumonia hospitalizations that linked to a pathology record. Respiratory  syncytial virus (RSV) was most frequently identified, with RSV-associated  pneumonia hospitalization rates of 89.6/100000 child-years in Aboriginal and  26.6/100000 child-years in non-Aboriginal children. The most common bacterial  pathogen was Streptococcus pneumoniae in Aboriginal children (32.9/100000  child-years) and Mycoplasma pneumoniae in non-Aboriginal children (8.4/100000  child-years). Viral pneumonia rates declined in all children following PCV  introduction, with the greatest declines seen in non-Aboriginal children;  declines in bacterial pneumonia were observed in non-Aboriginal children.  CONCLUSIONS: Based on our ecological analyses, PCV seems to have had an impact on  hospitalizations for pneumonia, suggesting that the pneumococcus is likely to  play a role in both bacterial and viral pneumonia. Respiratory viruses remain an  important pathogen in childhood pneumonia. Vaccines targeting respiratory viruses  are needed to combat the residual burden of childhood pneumonia.","container-title":"Clinical infectious diseases : an official publication of the Infectious Diseases Society of America","DOI":"10.1093/cid/cix923","ISSN":"1537-6591 1058-4838","issue":"7","journalAbbreviation":"Clin Infect Dis","language":"eng","note":"number: 7\npublisher-place: United States\nPMID: 29069315","page":"1075-1085","title":"The Impact of Pneumococcal Vaccination on Bacterial and Viral Pneumonia in Western Australian Children: Record Linkage Cohort Study of 469589 Births,  1996-2012.","volume":"66","author":[{"family":"Fathima","given":"Parveen"},{"family":"Blyth","given":"Christopher C."},{"family":"Lehmann","given":"Deborah"},{"family":"Lim","given":"Faye J."},{"family":"Abdalla","given":"Tasnim"},{"family":"Klerk","given":"Nicholas","non-dropping-particle":"de"},{"family":"Moore","given":"Hannah C."}],"issued":{"date-parts":[["2018",3,19]]}}}],"schema":"https://github.com/citation-style-language/schema/raw/master/csl-citation.json"}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(27)</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6C797204"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0A17FC51"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55376273"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48C8CA5E"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5A0843E6"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0.5</w:t>
            </w:r>
          </w:p>
        </w:tc>
        <w:tc>
          <w:tcPr>
            <w:tcW w:w="709" w:type="dxa"/>
            <w:tcBorders>
              <w:top w:val="nil"/>
              <w:left w:val="nil"/>
              <w:bottom w:val="single" w:sz="4" w:space="0" w:color="auto"/>
              <w:right w:val="single" w:sz="4" w:space="0" w:color="auto"/>
            </w:tcBorders>
          </w:tcPr>
          <w:p w14:paraId="0A21C0E6"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w:t>
            </w:r>
          </w:p>
        </w:tc>
        <w:tc>
          <w:tcPr>
            <w:tcW w:w="709" w:type="dxa"/>
            <w:tcBorders>
              <w:top w:val="nil"/>
              <w:left w:val="nil"/>
              <w:bottom w:val="single" w:sz="4" w:space="0" w:color="auto"/>
              <w:right w:val="single" w:sz="4" w:space="0" w:color="auto"/>
            </w:tcBorders>
          </w:tcPr>
          <w:p w14:paraId="4BF1F213"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1BE0976D"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21DDFE1"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1F2285D2"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0A747CEB"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31E8FC9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52300A8C"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18116BD6"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35140069" w14:textId="77777777" w:rsidTr="00D45472">
        <w:tc>
          <w:tcPr>
            <w:tcW w:w="2933" w:type="dxa"/>
          </w:tcPr>
          <w:p w14:paraId="38D7EC45"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Nguyen et al. (2023)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{"citationID":"pdDQoTQM","properties":{"formattedCitation":"(28)","plainCitation":"(28)","noteIndex":0},"citationItems":[{"id":44,"uris":["http://zotero.org/users/local/Si4PgwiI/items/U97YCU8D"],"itemData":{"id":44,"type":"article-journal","abstract":"BACKGROUND: Western Australia (WA) public health measures to eradicate SARS-CoV-2 resulted in a secondary reduction in paediatric respiratory syncytial virus (RSV)  admissions. Following an absent expected 2020 winter peak, RSV-positive  admissions surged during the summer of 2020. AIM: This report examines the number  of RSV-positive admissions and severities across 36 months to better understand  this out-of-season epidemic. METHODS: A retrospective observational study was  performed assessing the number and severity of RSV-related respiratory  hospitalisations at a peripheral paediatric centre from March 2018 to February  2021. Data were extracted from the hospital clinical database. RESULTS: The total  number of included participants was n = 294. The total number of RSV  hospitalisations in SY (study year) 2018 (March 2018 to February 2019), SY 2019  (March 2019 to February 2020) and SY 2020 (March 2020 to February 2021) was 67,  98 and 129, respectively. Prior to SARS-CoV-2, RSV hospitalisations were highest  during the winter months. In SY 2020, there were 0 RSV hospitalisations during  winter, while 101 admissions in the following summer season. The proportion of  admissions requiring respiratory support was significantly reduced in SY 2020  (34.1%) compared to SY 2018 (46.9%, P = 0.050) and SY 2019 (55.2%, P = 0.004).  The median length of stay (LOS) in 2020 was 2.0 which was significantly reduced  from 2018 and 2019 which was 3.0, P = 0.001; and 3.0, P &lt; 0.001, respectively.  CONCLUSION: Following a period of RSV absence, there was an unprecedented surge  in admission, however, with lower severity and shorter LOS.","container-title":"Journal of paediatrics and child health","DOI":"10.1111/jpc.16326","ISSN":"1440-1754 1034-4810","issue":"3","journalAbbreviation":"J Paediatr Child Health","language":"eng","license":"© 2023 Paediatrics and Child Health Division (The Royal Australasian College of Physicians).","note":"publisher-place: Australia\nPMID: 36625316","page":"464-469","title":"Unusual local epidemic of paediatric respiratory syncytial virus during a time of global pandemic.","volume":"59","author":[{"family":"Nguyen","given":"Edward"},{"family":"Saw","given":"Chia"},{"family":"Morkos","given":"Michael"},{"family":"Abass","given":"Fuad"},{"family":"Foley","given":"David"},{"family":"Bulsara","given":"Max"}],"issued":{"date-parts":[["2023",3]]}}}],"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(28)</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4E8FF7B2"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041E3F56"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1770674A"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4E373954"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379F353E"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0.5</w:t>
            </w:r>
          </w:p>
        </w:tc>
        <w:tc>
          <w:tcPr>
            <w:tcW w:w="709" w:type="dxa"/>
            <w:tcBorders>
              <w:top w:val="nil"/>
              <w:left w:val="nil"/>
              <w:bottom w:val="single" w:sz="4" w:space="0" w:color="auto"/>
              <w:right w:val="single" w:sz="4" w:space="0" w:color="auto"/>
            </w:tcBorders>
          </w:tcPr>
          <w:p w14:paraId="71CA4A50"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w:t>
            </w:r>
          </w:p>
        </w:tc>
        <w:tc>
          <w:tcPr>
            <w:tcW w:w="709" w:type="dxa"/>
            <w:tcBorders>
              <w:top w:val="nil"/>
              <w:left w:val="nil"/>
              <w:bottom w:val="single" w:sz="4" w:space="0" w:color="auto"/>
              <w:right w:val="single" w:sz="4" w:space="0" w:color="auto"/>
            </w:tcBorders>
          </w:tcPr>
          <w:p w14:paraId="7891C124"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8" w:type="dxa"/>
            <w:tcBorders>
              <w:top w:val="nil"/>
              <w:left w:val="nil"/>
              <w:bottom w:val="single" w:sz="4" w:space="0" w:color="auto"/>
              <w:right w:val="single" w:sz="4" w:space="0" w:color="auto"/>
            </w:tcBorders>
          </w:tcPr>
          <w:p w14:paraId="0AAB7971"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6F5EA529"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1CF3102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9" w:type="dxa"/>
            <w:tcBorders>
              <w:top w:val="nil"/>
              <w:left w:val="nil"/>
              <w:bottom w:val="single" w:sz="4" w:space="0" w:color="auto"/>
              <w:right w:val="single" w:sz="4" w:space="0" w:color="auto"/>
            </w:tcBorders>
          </w:tcPr>
          <w:p w14:paraId="33C078F9"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79EDAE23"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2E3E7212"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2CAAF209"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r w:rsidR="002B2371" w:rsidRPr="005F24C5" w14:paraId="4A79960C" w14:textId="77777777" w:rsidTr="00D45472">
        <w:tc>
          <w:tcPr>
            <w:tcW w:w="2933" w:type="dxa"/>
          </w:tcPr>
          <w:p w14:paraId="5B609E60"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 xml:space="preserve">Moore et al. (2012) </w:t>
            </w:r>
            <w:r w:rsidRPr="00394055">
              <w:rPr>
                <w:rFonts w:ascii="Arial" w:hAnsi="Arial" w:cs="Arial"/>
                <w:sz w:val="16"/>
                <w:szCs w:val="16"/>
              </w:rPr>
              <w:fldChar w:fldCharType="begin"/>
            </w:r>
            <w:r w:rsidRPr="00394055">
              <w:rPr>
                <w:rFonts w:ascii="Arial" w:hAnsi="Arial" w:cs="Arial"/>
                <w:sz w:val="16"/>
                <w:szCs w:val="16"/>
              </w:rPr>
              <w:instrText xml:space="preserve"> ADDIN ZOTERO_ITEM CSL_CITATION {"citationID":"QYSEFySa","properties":{"formattedCitation":"(29)","plainCitation":"(29)","noteIndex":0},"citationItems":[{"id":63,"uris":["http://zotero.org/users/local/Si4PgwiI/items/EYMLWFAM"],"itemData":{"id":63,"type":"article-journal","abstract":"AIM: To document the aetiology of acute lower respiratory infection (ALRI) hospitalisations in Western Australian children by linking population-based  laboratory data with hospital morbidity data. METHODS: Data from all ALRI  hospitalisations and laboratory records related to respiratory pathogens between  2000 and 2005 were extracted and linked through a population-based record linkage  system. The proportion of specimens that were positive for each respiratory viral  or bacterial pathogen was documented. RESULTS: Eight thousand nine hundred and  eighty (45.2%) ALRI hospitalisations were linked to a laboratory record.  Admissions to a private hospital and admissions from non-metropolitan areas were  less likely to have a linked laboratory record. In 57.9% of linked  hospitalisations, a respiratory virus and/or a bacterial pathogen was identified.  Frequently identified viral pathogens included respiratory syncytial virus (RSV;  n= 3226; 39.5% of those tested), influenza viruses (n= 664; 8.5%), parainfluenza  virus type 3 (n= 348; 4.6%), picornaviruses (n= 292; 22.3%) and adenoviruses (n=  211; 2.7%). RSV was identified in 63.7% of bronchiolitis admissions in those aged  under 6 months and 33.1% of pneumonia admissions in those aged under 12 months.  Influenza viruses were identified in 81.6% of influenza-coded admissions. When a  test was requested, Bordetella pertussis was identified in 21.2% of ALRI  hospitalisations (n= 354), including 86.8% of whooping cough-coded admissions.  CONCLUSIONS: This is the first report of population-based data linkage between  statewide laboratory data and hospitalisation records and demonstrates proof of  principle. RSV continues to be an important pathogen in ALRI. As pathogens were  identified across all diagnoses, relying on hospital diagnosis coding alone may  not accurately estimate the burden of different categories of ALRI.","container-title":"Journal of paediatrics and child health","DOI":"10.1111/j.1440-1754.2011.02229.x","ISSN":"1440-1754 1034-4810","issue":"6","journalAbbreviation":"J Paediatr Child Health","language":"eng","license":"© 2011 The Authors. Journal of Paediatrics and Child Health © 2011 Paediatrics and Child Health Division (Royal Australasian College of Physicians).","note":"publisher-place: Australia\nPMID: 22077532 \nPMCID: PMC7166791","page":"520-528","title":"Use of data linkage to investigate the aetiology of acute lower respiratory infection hospitalisations in children.","volume":"48","author":[{"family":"Moore","given":"Hannah C."},{"family":"Klerk","given":"Nicholas","non-dropping-particle":"de"},{"family":"Keil","given":"Anthony D."},{"family":"Smith","given":"David W."},{"family":"Blyth","given":"Christopher C."},{"family":"Richmond","given":"Peter"},{"family":"Lehmann","given":"Deborah"}],"issued":{"date-parts":[["2012",6]]}}}],"schema":"https://github.com/citation-style-language/schema/raw/master/csl-citation.json"} </w:instrText>
            </w:r>
            <w:r w:rsidRPr="00394055">
              <w:rPr>
                <w:rFonts w:ascii="Arial" w:hAnsi="Arial" w:cs="Arial"/>
                <w:sz w:val="16"/>
                <w:szCs w:val="16"/>
              </w:rPr>
              <w:fldChar w:fldCharType="separate"/>
            </w:r>
            <w:r w:rsidRPr="00394055">
              <w:rPr>
                <w:rFonts w:ascii="Arial" w:hAnsi="Arial" w:cs="Arial"/>
                <w:sz w:val="16"/>
                <w:szCs w:val="16"/>
              </w:rPr>
              <w:t>(29)</w:t>
            </w:r>
            <w:r w:rsidRPr="00394055">
              <w:rPr>
                <w:rFonts w:ascii="Arial" w:hAnsi="Arial" w:cs="Arial"/>
                <w:sz w:val="16"/>
                <w:szCs w:val="16"/>
              </w:rPr>
              <w:fldChar w:fldCharType="end"/>
            </w:r>
          </w:p>
        </w:tc>
        <w:tc>
          <w:tcPr>
            <w:tcW w:w="567" w:type="dxa"/>
            <w:tcBorders>
              <w:top w:val="nil"/>
              <w:left w:val="single" w:sz="4" w:space="0" w:color="auto"/>
              <w:bottom w:val="single" w:sz="4" w:space="0" w:color="auto"/>
              <w:right w:val="single" w:sz="4" w:space="0" w:color="auto"/>
            </w:tcBorders>
            <w:shd w:val="clear" w:color="auto" w:fill="auto"/>
          </w:tcPr>
          <w:p w14:paraId="24A8A7BC"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7537AF7C"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7454203B"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shd w:val="clear" w:color="auto" w:fill="auto"/>
          </w:tcPr>
          <w:p w14:paraId="5A655EC2"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shd w:val="clear" w:color="auto" w:fill="auto"/>
          </w:tcPr>
          <w:p w14:paraId="7DF124E5" w14:textId="77777777" w:rsidR="002B2371" w:rsidRPr="00394055" w:rsidRDefault="002B2371" w:rsidP="004D465F">
            <w:pPr>
              <w:pStyle w:val="NoSpacing"/>
              <w:spacing w:line="480" w:lineRule="auto"/>
              <w:rPr>
                <w:rFonts w:ascii="Arial" w:hAnsi="Arial" w:cs="Arial"/>
                <w:sz w:val="16"/>
                <w:szCs w:val="16"/>
                <w:lang w:eastAsia="en-AU"/>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27215F07"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6475081"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38E85136"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380511E"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NA</w:t>
            </w:r>
          </w:p>
        </w:tc>
        <w:tc>
          <w:tcPr>
            <w:tcW w:w="709" w:type="dxa"/>
            <w:tcBorders>
              <w:top w:val="nil"/>
              <w:left w:val="nil"/>
              <w:bottom w:val="single" w:sz="4" w:space="0" w:color="auto"/>
              <w:right w:val="single" w:sz="4" w:space="0" w:color="auto"/>
            </w:tcBorders>
          </w:tcPr>
          <w:p w14:paraId="2CB4D732"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0.5</w:t>
            </w:r>
          </w:p>
        </w:tc>
        <w:tc>
          <w:tcPr>
            <w:tcW w:w="709" w:type="dxa"/>
            <w:tcBorders>
              <w:top w:val="nil"/>
              <w:left w:val="nil"/>
              <w:bottom w:val="single" w:sz="4" w:space="0" w:color="auto"/>
              <w:right w:val="single" w:sz="4" w:space="0" w:color="auto"/>
            </w:tcBorders>
          </w:tcPr>
          <w:p w14:paraId="30B07733"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8" w:type="dxa"/>
            <w:tcBorders>
              <w:top w:val="nil"/>
              <w:left w:val="nil"/>
              <w:bottom w:val="single" w:sz="4" w:space="0" w:color="auto"/>
              <w:right w:val="single" w:sz="4" w:space="0" w:color="auto"/>
            </w:tcBorders>
          </w:tcPr>
          <w:p w14:paraId="7CD9B7CA"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476CBF89"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c>
          <w:tcPr>
            <w:tcW w:w="709" w:type="dxa"/>
            <w:tcBorders>
              <w:top w:val="nil"/>
              <w:left w:val="nil"/>
              <w:bottom w:val="single" w:sz="4" w:space="0" w:color="auto"/>
              <w:right w:val="single" w:sz="4" w:space="0" w:color="auto"/>
            </w:tcBorders>
          </w:tcPr>
          <w:p w14:paraId="31FCCE0D" w14:textId="77777777" w:rsidR="002B2371" w:rsidRPr="00394055" w:rsidRDefault="002B2371" w:rsidP="004D465F">
            <w:pPr>
              <w:pStyle w:val="NoSpacing"/>
              <w:spacing w:line="480" w:lineRule="auto"/>
              <w:rPr>
                <w:rFonts w:ascii="Arial" w:hAnsi="Arial" w:cs="Arial"/>
                <w:color w:val="000000"/>
                <w:sz w:val="16"/>
                <w:szCs w:val="16"/>
              </w:rPr>
            </w:pPr>
            <w:r w:rsidRPr="00394055">
              <w:rPr>
                <w:rFonts w:ascii="Arial" w:hAnsi="Arial" w:cs="Arial"/>
                <w:sz w:val="16"/>
                <w:szCs w:val="16"/>
              </w:rPr>
              <w:t>1</w:t>
            </w:r>
          </w:p>
        </w:tc>
      </w:tr>
    </w:tbl>
    <w:p w14:paraId="16EE7DFD" w14:textId="77777777" w:rsidR="002B2371" w:rsidRDefault="002B2371" w:rsidP="004D465F">
      <w:pPr>
        <w:pStyle w:val="NoSpacing"/>
        <w:spacing w:line="480" w:lineRule="auto"/>
        <w:rPr>
          <w:rFonts w:ascii="Arial" w:hAnsi="Arial" w:cs="Arial"/>
          <w:sz w:val="20"/>
          <w:szCs w:val="20"/>
          <w:u w:val="single"/>
          <w:lang w:eastAsia="en-AU"/>
        </w:rPr>
      </w:pPr>
    </w:p>
    <w:p w14:paraId="57A0E39C" w14:textId="70170E6C" w:rsidR="002B2371" w:rsidRPr="004D465F" w:rsidRDefault="002B2371" w:rsidP="004D465F">
      <w:pPr>
        <w:pStyle w:val="NoSpacing"/>
        <w:spacing w:line="480" w:lineRule="auto"/>
        <w:rPr>
          <w:rFonts w:ascii="Arial" w:hAnsi="Arial" w:cs="Arial"/>
          <w:b/>
          <w:bCs/>
          <w:sz w:val="20"/>
          <w:szCs w:val="20"/>
          <w:lang w:eastAsia="en-AU"/>
        </w:rPr>
      </w:pPr>
      <w:r>
        <w:rPr>
          <w:rFonts w:ascii="Arial" w:hAnsi="Arial" w:cs="Arial"/>
          <w:sz w:val="20"/>
          <w:szCs w:val="20"/>
          <w:lang w:eastAsia="en-AU"/>
        </w:rPr>
        <w:t>Items assessed were; (1) Did the results address a clearly focused issue? (2) Was the cohort recruited in an acceptable way? (3)</w:t>
      </w:r>
      <w:r w:rsidRPr="005E187B">
        <w:rPr>
          <w:rFonts w:asciiTheme="minorHAnsi" w:hAnsiTheme="minorHAnsi" w:cstheme="minorBidi"/>
          <w:sz w:val="22"/>
          <w:szCs w:val="22"/>
        </w:rPr>
        <w:t xml:space="preserve"> </w:t>
      </w:r>
      <w:r w:rsidRPr="005E187B">
        <w:rPr>
          <w:rFonts w:ascii="Arial" w:hAnsi="Arial" w:cs="Arial"/>
          <w:sz w:val="20"/>
          <w:szCs w:val="20"/>
          <w:lang w:eastAsia="en-AU"/>
        </w:rPr>
        <w:t>Was the exposure accurately measured to minimise bias?</w:t>
      </w:r>
      <w:r>
        <w:rPr>
          <w:rFonts w:ascii="Arial" w:hAnsi="Arial" w:cs="Arial"/>
          <w:sz w:val="20"/>
          <w:szCs w:val="20"/>
          <w:lang w:eastAsia="en-AU"/>
        </w:rPr>
        <w:t xml:space="preserve"> (4) </w:t>
      </w:r>
      <w:r w:rsidRPr="005E187B">
        <w:rPr>
          <w:rFonts w:ascii="Arial" w:hAnsi="Arial" w:cs="Arial"/>
          <w:sz w:val="20"/>
          <w:szCs w:val="20"/>
          <w:lang w:eastAsia="en-AU"/>
        </w:rPr>
        <w:t>. Was the outcome accurately measured to minimise bias?</w:t>
      </w:r>
      <w:r>
        <w:rPr>
          <w:rFonts w:ascii="Arial" w:hAnsi="Arial" w:cs="Arial"/>
          <w:sz w:val="20"/>
          <w:szCs w:val="20"/>
          <w:lang w:eastAsia="en-AU"/>
        </w:rPr>
        <w:t xml:space="preserve"> (5</w:t>
      </w:r>
      <w:r w:rsidRPr="005E187B">
        <w:rPr>
          <w:rFonts w:ascii="Arial" w:hAnsi="Arial" w:cs="Arial"/>
          <w:sz w:val="20"/>
          <w:szCs w:val="20"/>
          <w:lang w:eastAsia="en-AU"/>
        </w:rPr>
        <w:t>a) Have the authors identified all important confounding factors?</w:t>
      </w:r>
      <w:r>
        <w:rPr>
          <w:rFonts w:ascii="Arial" w:hAnsi="Arial" w:cs="Arial"/>
          <w:sz w:val="20"/>
          <w:szCs w:val="20"/>
          <w:lang w:eastAsia="en-AU"/>
        </w:rPr>
        <w:t xml:space="preserve"> (</w:t>
      </w:r>
      <w:r w:rsidRPr="005E187B">
        <w:rPr>
          <w:rFonts w:ascii="Arial" w:hAnsi="Arial" w:cs="Arial"/>
          <w:sz w:val="20"/>
          <w:szCs w:val="20"/>
          <w:lang w:eastAsia="en-AU"/>
        </w:rPr>
        <w:t xml:space="preserve">5b) Have they </w:t>
      </w:r>
      <w:proofErr w:type="spellStart"/>
      <w:r w:rsidRPr="005E187B">
        <w:rPr>
          <w:rFonts w:ascii="Arial" w:hAnsi="Arial" w:cs="Arial"/>
          <w:sz w:val="20"/>
          <w:szCs w:val="20"/>
          <w:lang w:eastAsia="en-AU"/>
        </w:rPr>
        <w:t>taken</w:t>
      </w:r>
      <w:proofErr w:type="spellEnd"/>
      <w:r w:rsidRPr="005E187B">
        <w:rPr>
          <w:rFonts w:ascii="Arial" w:hAnsi="Arial" w:cs="Arial"/>
          <w:sz w:val="20"/>
          <w:szCs w:val="20"/>
          <w:lang w:eastAsia="en-AU"/>
        </w:rPr>
        <w:t xml:space="preserve"> account of the confounding factors in the design </w:t>
      </w:r>
      <w:r w:rsidRPr="005E187B">
        <w:rPr>
          <w:rFonts w:ascii="Arial" w:hAnsi="Arial" w:cs="Arial"/>
          <w:sz w:val="20"/>
          <w:szCs w:val="20"/>
          <w:lang w:eastAsia="en-AU"/>
        </w:rPr>
        <w:lastRenderedPageBreak/>
        <w:t>and/or analysis?</w:t>
      </w:r>
      <w:r>
        <w:rPr>
          <w:rFonts w:ascii="Arial" w:hAnsi="Arial" w:cs="Arial"/>
          <w:sz w:val="20"/>
          <w:szCs w:val="20"/>
          <w:lang w:eastAsia="en-AU"/>
        </w:rPr>
        <w:t xml:space="preserve"> (6a)</w:t>
      </w:r>
      <w:r w:rsidRPr="005E187B">
        <w:rPr>
          <w:rFonts w:ascii="Arial" w:hAnsi="Arial" w:cs="Arial"/>
          <w:sz w:val="20"/>
          <w:szCs w:val="20"/>
          <w:lang w:eastAsia="en-AU"/>
        </w:rPr>
        <w:t xml:space="preserve"> Was the follow up of subjects complete enough?</w:t>
      </w:r>
      <w:r>
        <w:rPr>
          <w:rFonts w:ascii="Arial" w:hAnsi="Arial" w:cs="Arial"/>
          <w:sz w:val="20"/>
          <w:szCs w:val="20"/>
          <w:lang w:eastAsia="en-AU"/>
        </w:rPr>
        <w:t xml:space="preserve"> (6</w:t>
      </w:r>
      <w:r w:rsidRPr="005E187B">
        <w:rPr>
          <w:rFonts w:ascii="Arial" w:hAnsi="Arial" w:cs="Arial"/>
          <w:sz w:val="20"/>
          <w:szCs w:val="20"/>
          <w:lang w:eastAsia="en-AU"/>
        </w:rPr>
        <w:t>b) Was the follow up of subjects long enough?</w:t>
      </w:r>
      <w:r>
        <w:rPr>
          <w:rFonts w:ascii="Arial" w:hAnsi="Arial" w:cs="Arial"/>
          <w:sz w:val="20"/>
          <w:szCs w:val="20"/>
          <w:lang w:eastAsia="en-AU"/>
        </w:rPr>
        <w:t xml:space="preserve"> (7) </w:t>
      </w:r>
      <w:r w:rsidRPr="005E187B">
        <w:rPr>
          <w:rFonts w:ascii="Arial" w:hAnsi="Arial" w:cs="Arial"/>
          <w:sz w:val="20"/>
          <w:szCs w:val="20"/>
          <w:lang w:eastAsia="en-AU"/>
        </w:rPr>
        <w:t>What</w:t>
      </w:r>
      <w:r>
        <w:rPr>
          <w:rFonts w:ascii="Arial" w:hAnsi="Arial" w:cs="Arial"/>
          <w:sz w:val="20"/>
          <w:szCs w:val="20"/>
          <w:lang w:eastAsia="en-AU"/>
        </w:rPr>
        <w:t xml:space="preserve"> are </w:t>
      </w:r>
      <w:r w:rsidRPr="005E187B">
        <w:rPr>
          <w:rFonts w:ascii="Arial" w:hAnsi="Arial" w:cs="Arial"/>
          <w:sz w:val="20"/>
          <w:szCs w:val="20"/>
          <w:lang w:eastAsia="en-AU"/>
        </w:rPr>
        <w:t>the</w:t>
      </w:r>
      <w:r>
        <w:rPr>
          <w:rFonts w:ascii="Arial" w:hAnsi="Arial" w:cs="Arial"/>
          <w:sz w:val="20"/>
          <w:szCs w:val="20"/>
          <w:lang w:eastAsia="en-AU"/>
        </w:rPr>
        <w:t xml:space="preserve"> </w:t>
      </w:r>
      <w:r w:rsidRPr="005E187B">
        <w:rPr>
          <w:rFonts w:ascii="Arial" w:hAnsi="Arial" w:cs="Arial"/>
          <w:sz w:val="20"/>
          <w:szCs w:val="20"/>
          <w:lang w:eastAsia="en-AU"/>
        </w:rPr>
        <w:t>results</w:t>
      </w:r>
      <w:r>
        <w:rPr>
          <w:rFonts w:ascii="Arial" w:hAnsi="Arial" w:cs="Arial"/>
          <w:sz w:val="20"/>
          <w:szCs w:val="20"/>
          <w:lang w:eastAsia="en-AU"/>
        </w:rPr>
        <w:t xml:space="preserve"> </w:t>
      </w:r>
      <w:r w:rsidRPr="005E187B">
        <w:rPr>
          <w:rFonts w:ascii="Arial" w:hAnsi="Arial" w:cs="Arial"/>
          <w:sz w:val="20"/>
          <w:szCs w:val="20"/>
          <w:lang w:eastAsia="en-AU"/>
        </w:rPr>
        <w:t>of</w:t>
      </w:r>
      <w:r>
        <w:rPr>
          <w:rFonts w:ascii="Arial" w:hAnsi="Arial" w:cs="Arial"/>
          <w:sz w:val="20"/>
          <w:szCs w:val="20"/>
          <w:lang w:eastAsia="en-AU"/>
        </w:rPr>
        <w:t xml:space="preserve"> </w:t>
      </w:r>
      <w:r w:rsidRPr="005E187B">
        <w:rPr>
          <w:rFonts w:ascii="Arial" w:hAnsi="Arial" w:cs="Arial"/>
          <w:sz w:val="20"/>
          <w:szCs w:val="20"/>
          <w:lang w:eastAsia="en-AU"/>
        </w:rPr>
        <w:t>this</w:t>
      </w:r>
      <w:r>
        <w:rPr>
          <w:rFonts w:ascii="Arial" w:hAnsi="Arial" w:cs="Arial"/>
          <w:sz w:val="20"/>
          <w:szCs w:val="20"/>
          <w:lang w:eastAsia="en-AU"/>
        </w:rPr>
        <w:t xml:space="preserve"> </w:t>
      </w:r>
      <w:r w:rsidRPr="005E187B">
        <w:rPr>
          <w:rFonts w:ascii="Arial" w:hAnsi="Arial" w:cs="Arial"/>
          <w:sz w:val="20"/>
          <w:szCs w:val="20"/>
          <w:lang w:eastAsia="en-AU"/>
        </w:rPr>
        <w:t>study?</w:t>
      </w:r>
      <w:r>
        <w:rPr>
          <w:rFonts w:ascii="Arial" w:hAnsi="Arial" w:cs="Arial"/>
          <w:sz w:val="20"/>
          <w:szCs w:val="20"/>
          <w:lang w:eastAsia="en-AU"/>
        </w:rPr>
        <w:t xml:space="preserve"> (8) Are the results precise</w:t>
      </w:r>
      <w:r w:rsidRPr="005E187B">
        <w:rPr>
          <w:rFonts w:ascii="Arial" w:hAnsi="Arial" w:cs="Arial"/>
          <w:sz w:val="20"/>
          <w:szCs w:val="20"/>
          <w:lang w:eastAsia="en-AU"/>
        </w:rPr>
        <w:t>?</w:t>
      </w:r>
      <w:r>
        <w:rPr>
          <w:rFonts w:ascii="Arial" w:hAnsi="Arial" w:cs="Arial"/>
          <w:sz w:val="20"/>
          <w:szCs w:val="20"/>
          <w:lang w:eastAsia="en-AU"/>
        </w:rPr>
        <w:t xml:space="preserve"> (9) Do you believe the results? (10) </w:t>
      </w:r>
      <w:r w:rsidRPr="005E187B">
        <w:rPr>
          <w:rFonts w:ascii="Arial" w:hAnsi="Arial" w:cs="Arial"/>
          <w:sz w:val="20"/>
          <w:szCs w:val="20"/>
          <w:lang w:eastAsia="en-AU"/>
        </w:rPr>
        <w:t>Can the results be applied to the local population?</w:t>
      </w:r>
      <w:r>
        <w:rPr>
          <w:rFonts w:ascii="Arial" w:hAnsi="Arial" w:cs="Arial"/>
          <w:sz w:val="20"/>
          <w:szCs w:val="20"/>
          <w:lang w:eastAsia="en-AU"/>
        </w:rPr>
        <w:t xml:space="preserve"> (11) </w:t>
      </w:r>
      <w:r w:rsidRPr="005E187B">
        <w:rPr>
          <w:rFonts w:ascii="Arial" w:hAnsi="Arial" w:cs="Arial"/>
          <w:sz w:val="20"/>
          <w:szCs w:val="20"/>
          <w:lang w:eastAsia="en-AU"/>
        </w:rPr>
        <w:t>Do the results of this study fit with other available evidence?</w:t>
      </w:r>
      <w:r>
        <w:rPr>
          <w:rFonts w:ascii="Arial" w:hAnsi="Arial" w:cs="Arial"/>
          <w:sz w:val="20"/>
          <w:szCs w:val="20"/>
          <w:lang w:eastAsia="en-AU"/>
        </w:rPr>
        <w:t xml:space="preserve"> (12) </w:t>
      </w:r>
      <w:r w:rsidRPr="005E187B">
        <w:rPr>
          <w:rFonts w:ascii="Arial" w:hAnsi="Arial" w:cs="Arial"/>
          <w:sz w:val="20"/>
          <w:szCs w:val="20"/>
          <w:lang w:eastAsia="en-AU"/>
        </w:rPr>
        <w:t xml:space="preserve">What are the implications of this study for </w:t>
      </w:r>
      <w:proofErr w:type="gramStart"/>
      <w:r w:rsidRPr="005E187B">
        <w:rPr>
          <w:rFonts w:ascii="Arial" w:hAnsi="Arial" w:cs="Arial"/>
          <w:sz w:val="20"/>
          <w:szCs w:val="20"/>
          <w:lang w:eastAsia="en-AU"/>
        </w:rPr>
        <w:t>practice?</w:t>
      </w:r>
      <w:r>
        <w:rPr>
          <w:rFonts w:ascii="Arial" w:hAnsi="Arial" w:cs="Arial"/>
          <w:sz w:val="20"/>
          <w:szCs w:val="20"/>
          <w:lang w:eastAsia="en-AU"/>
        </w:rPr>
        <w:t>.</w:t>
      </w:r>
      <w:proofErr w:type="gramEnd"/>
    </w:p>
    <w:sectPr w:rsidR="002B2371" w:rsidRPr="004D465F" w:rsidSect="004D465F">
      <w:footerReference w:type="default" r:id="rId7"/>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42CCE" w14:textId="77777777" w:rsidR="004D465F" w:rsidRDefault="004D465F" w:rsidP="004D465F">
      <w:pPr>
        <w:spacing w:after="0" w:line="240" w:lineRule="auto"/>
      </w:pPr>
      <w:r>
        <w:separator/>
      </w:r>
    </w:p>
  </w:endnote>
  <w:endnote w:type="continuationSeparator" w:id="0">
    <w:p w14:paraId="57209788" w14:textId="77777777" w:rsidR="004D465F" w:rsidRDefault="004D465F" w:rsidP="004D46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3586362"/>
      <w:docPartObj>
        <w:docPartGallery w:val="Page Numbers (Bottom of Page)"/>
        <w:docPartUnique/>
      </w:docPartObj>
    </w:sdtPr>
    <w:sdtEndPr>
      <w:rPr>
        <w:noProof/>
      </w:rPr>
    </w:sdtEndPr>
    <w:sdtContent>
      <w:p w14:paraId="3795A42D" w14:textId="0FDA815E" w:rsidR="004D465F" w:rsidRDefault="004D465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FDBC942" w14:textId="77777777" w:rsidR="004D465F" w:rsidRDefault="004D46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797C1" w14:textId="77777777" w:rsidR="004D465F" w:rsidRDefault="004D465F" w:rsidP="004D465F">
      <w:pPr>
        <w:spacing w:after="0" w:line="240" w:lineRule="auto"/>
      </w:pPr>
      <w:r>
        <w:separator/>
      </w:r>
    </w:p>
  </w:footnote>
  <w:footnote w:type="continuationSeparator" w:id="0">
    <w:p w14:paraId="66C624CE" w14:textId="77777777" w:rsidR="004D465F" w:rsidRDefault="004D465F" w:rsidP="004D46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C53336"/>
    <w:multiLevelType w:val="hybridMultilevel"/>
    <w:tmpl w:val="CC78C58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4956843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371"/>
    <w:rsid w:val="000B2A0C"/>
    <w:rsid w:val="002B2371"/>
    <w:rsid w:val="004D465F"/>
    <w:rsid w:val="004F2425"/>
    <w:rsid w:val="006C7A2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D5FEE"/>
  <w15:chartTrackingRefBased/>
  <w15:docId w15:val="{3164F315-80A1-4BD9-8C2F-96D339DFC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2371"/>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B2371"/>
    <w:pPr>
      <w:spacing w:after="0" w:line="240" w:lineRule="auto"/>
    </w:pPr>
    <w:rPr>
      <w:rFonts w:ascii="Times New Roman" w:hAnsi="Times New Roman" w:cs="Times New Roman"/>
      <w:kern w:val="0"/>
      <w:sz w:val="24"/>
      <w:szCs w:val="24"/>
      <w14:ligatures w14:val="none"/>
    </w:rPr>
  </w:style>
  <w:style w:type="table" w:styleId="TableGrid">
    <w:name w:val="Table Grid"/>
    <w:basedOn w:val="TableNormal"/>
    <w:uiPriority w:val="39"/>
    <w:rsid w:val="002B237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4D465F"/>
  </w:style>
  <w:style w:type="paragraph" w:styleId="Header">
    <w:name w:val="header"/>
    <w:basedOn w:val="Normal"/>
    <w:link w:val="HeaderChar"/>
    <w:uiPriority w:val="99"/>
    <w:unhideWhenUsed/>
    <w:rsid w:val="004D46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465F"/>
    <w:rPr>
      <w:kern w:val="0"/>
      <w14:ligatures w14:val="none"/>
    </w:rPr>
  </w:style>
  <w:style w:type="paragraph" w:styleId="Footer">
    <w:name w:val="footer"/>
    <w:basedOn w:val="Normal"/>
    <w:link w:val="FooterChar"/>
    <w:uiPriority w:val="99"/>
    <w:unhideWhenUsed/>
    <w:rsid w:val="004D46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465F"/>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7087</Words>
  <Characters>40399</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Self (Sydney LHD)</dc:creator>
  <cp:keywords/>
  <dc:description/>
  <cp:lastModifiedBy>Alice Self (Sydney LHD)</cp:lastModifiedBy>
  <cp:revision>4</cp:revision>
  <dcterms:created xsi:type="dcterms:W3CDTF">2023-09-27T01:36:00Z</dcterms:created>
  <dcterms:modified xsi:type="dcterms:W3CDTF">2023-10-17T22:57:00Z</dcterms:modified>
</cp:coreProperties>
</file>