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576B" w14:textId="77777777" w:rsidR="004001C1" w:rsidRPr="001F0BE2" w:rsidRDefault="004001C1" w:rsidP="004001C1">
      <w:pPr>
        <w:rPr>
          <w:rFonts w:ascii="Palatino Linotype" w:hAnsi="Palatino Linotype" w:cstheme="majorBidi"/>
          <w:b/>
          <w:bCs/>
          <w:sz w:val="24"/>
          <w:szCs w:val="24"/>
        </w:rPr>
      </w:pPr>
      <w:r w:rsidRPr="001F0BE2">
        <w:rPr>
          <w:rFonts w:ascii="Palatino Linotype" w:hAnsi="Palatino Linotype" w:cstheme="majorBidi"/>
          <w:b/>
          <w:bCs/>
          <w:sz w:val="24"/>
          <w:szCs w:val="24"/>
        </w:rPr>
        <w:t>Supplementary files:</w:t>
      </w:r>
    </w:p>
    <w:p w14:paraId="7ED78786" w14:textId="77777777" w:rsidR="004001C1" w:rsidRPr="001F0BE2" w:rsidRDefault="004001C1" w:rsidP="004001C1">
      <w:pPr>
        <w:rPr>
          <w:rFonts w:ascii="Palatino Linotype" w:hAnsi="Palatino Linotype" w:cstheme="majorBidi"/>
        </w:rPr>
      </w:pPr>
      <w:r w:rsidRPr="001F0BE2">
        <w:rPr>
          <w:rFonts w:ascii="Palatino Linotype" w:hAnsi="Palatino Linotype" w:cstheme="majorBidi"/>
        </w:rPr>
        <w:t>Table S1: The differential and conserved occurrence of chemical constituents in aqueous extracts of four plants.</w:t>
      </w:r>
    </w:p>
    <w:p w14:paraId="2D770FD9" w14:textId="77777777" w:rsidR="004001C1" w:rsidRPr="001F0BE2" w:rsidRDefault="004001C1" w:rsidP="004001C1">
      <w:pPr>
        <w:rPr>
          <w:rFonts w:ascii="Palatino Linotype" w:hAnsi="Palatino Linotype" w:cstheme="majorBidi"/>
        </w:rPr>
      </w:pPr>
      <w:r w:rsidRPr="001F0BE2">
        <w:rPr>
          <w:rFonts w:ascii="Palatino Linotype" w:hAnsi="Palatino Linotype" w:cstheme="majorBidi"/>
        </w:rPr>
        <w:t>Table S2: The differential and conserved occurrence of chemical constituents in acetone extracts of four plants.</w:t>
      </w:r>
    </w:p>
    <w:p w14:paraId="4BA7CE86" w14:textId="77777777" w:rsidR="004001C1" w:rsidRPr="001F0BE2" w:rsidRDefault="004001C1" w:rsidP="004001C1">
      <w:pPr>
        <w:rPr>
          <w:rFonts w:ascii="Palatino Linotype" w:hAnsi="Palatino Linotype" w:cstheme="majorBidi"/>
        </w:rPr>
      </w:pPr>
      <w:r w:rsidRPr="001F0BE2">
        <w:rPr>
          <w:rFonts w:ascii="Palatino Linotype" w:hAnsi="Palatino Linotype" w:cstheme="majorBidi"/>
        </w:rPr>
        <w:t xml:space="preserve">Table S3: The toxicity reports of </w:t>
      </w:r>
      <w:proofErr w:type="spellStart"/>
      <w:r w:rsidRPr="001F0BE2">
        <w:rPr>
          <w:rFonts w:ascii="Palatino Linotype" w:hAnsi="Palatino Linotype" w:cstheme="majorBidi"/>
        </w:rPr>
        <w:t>elemene</w:t>
      </w:r>
      <w:proofErr w:type="spellEnd"/>
      <w:r w:rsidRPr="001F0BE2">
        <w:rPr>
          <w:rFonts w:ascii="Palatino Linotype" w:hAnsi="Palatino Linotype" w:cstheme="majorBidi"/>
        </w:rPr>
        <w:t>, caryophyllene oxide, caryophyllene, and copaene.</w:t>
      </w:r>
    </w:p>
    <w:p w14:paraId="7FAACA96" w14:textId="77777777" w:rsidR="004001C1" w:rsidRPr="001F0BE2" w:rsidRDefault="004001C1" w:rsidP="004001C1">
      <w:pPr>
        <w:rPr>
          <w:rFonts w:ascii="Palatino Linotype" w:hAnsi="Palatino Linotype" w:cstheme="majorBidi"/>
        </w:rPr>
      </w:pPr>
      <w:r w:rsidRPr="001F0BE2">
        <w:rPr>
          <w:rFonts w:ascii="Palatino Linotype" w:hAnsi="Palatino Linotype" w:cstheme="majorBidi"/>
        </w:rPr>
        <w:t xml:space="preserve">Figure S1: The boiled egg graph of </w:t>
      </w:r>
      <w:proofErr w:type="spellStart"/>
      <w:r w:rsidRPr="001F0BE2">
        <w:rPr>
          <w:rFonts w:ascii="Palatino Linotype" w:hAnsi="Palatino Linotype" w:cstheme="majorBidi"/>
        </w:rPr>
        <w:t>elemene</w:t>
      </w:r>
      <w:proofErr w:type="spellEnd"/>
      <w:r w:rsidRPr="001F0BE2">
        <w:rPr>
          <w:rFonts w:ascii="Palatino Linotype" w:hAnsi="Palatino Linotype" w:cstheme="majorBidi"/>
        </w:rPr>
        <w:t>, caryophyllene oxide, caryophyllene, and copaene predicts their brain penetrability as a non-substrate of P-</w:t>
      </w:r>
      <w:proofErr w:type="spellStart"/>
      <w:r w:rsidRPr="001F0BE2">
        <w:rPr>
          <w:rFonts w:ascii="Palatino Linotype" w:hAnsi="Palatino Linotype" w:cstheme="majorBidi"/>
        </w:rPr>
        <w:t>gp</w:t>
      </w:r>
      <w:proofErr w:type="spellEnd"/>
      <w:r w:rsidRPr="001F0BE2">
        <w:rPr>
          <w:rFonts w:ascii="Palatino Linotype" w:hAnsi="Palatino Linotype" w:cstheme="majorBidi"/>
        </w:rPr>
        <w:t>.</w:t>
      </w:r>
    </w:p>
    <w:p w14:paraId="14865184" w14:textId="487ED2AF" w:rsidR="004001C1" w:rsidRPr="004001C1" w:rsidRDefault="004001C1" w:rsidP="004001C1"/>
    <w:sectPr w:rsidR="004001C1" w:rsidRPr="00400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C1"/>
    <w:rsid w:val="0040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41951"/>
  <w15:chartTrackingRefBased/>
  <w15:docId w15:val="{A684325F-C368-400D-A9F4-0D3C3E82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1C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MOHAMED.ALBAZ@fsc.bu.edu.eg</dc:creator>
  <cp:keywords/>
  <dc:description/>
  <cp:lastModifiedBy>MOHAMED.ALBAZ@fsc.bu.edu.eg</cp:lastModifiedBy>
  <cp:revision>1</cp:revision>
  <cp:lastPrinted>2023-10-12T06:26:00Z</cp:lastPrinted>
  <dcterms:created xsi:type="dcterms:W3CDTF">2023-10-12T06:26:00Z</dcterms:created>
  <dcterms:modified xsi:type="dcterms:W3CDTF">2023-10-12T06:27:00Z</dcterms:modified>
</cp:coreProperties>
</file>