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/>
        </w:rPr>
      </w:pP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A p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an-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ancer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nalysis of the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core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re-mRNA 3′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nd processing factors, and their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association 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with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rognosis,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umor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m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icroenvironment, and 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otential targets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</w:rPr>
      </w:pP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</w:rPr>
      </w:pP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Xiangyu Li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,3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,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Yu Che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,3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,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Xiaoyan Wang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*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, Yong Zhu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*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Institute of Life Sciences,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Chongqing Medical University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Chongqing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400016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, P R China.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Chongqing Medical and Pharmaceutical College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Chongqing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fldChar w:fldCharType="begin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instrText xml:space="preserve"> HYPERLINK "https://ditu.so.com/zt/postcode.html?cityid=500000&amp;src=onebox" \t "https://www.so.com/_blank" </w:instrTex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fldChar w:fldCharType="separate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40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fldChar w:fldCharType="end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1331, P R China.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vertAlign w:val="baseli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vertAlign w:val="baseline"/>
          <w:lang w:val="en-US" w:eastAsia="zh-CN" w:bidi="ar"/>
        </w:rPr>
        <w:t xml:space="preserve">These authors contributes equally: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Xiangyu Li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and Yu Che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vertAlign w:val="superscript"/>
          <w:lang w:val="en-US" w:eastAsia="zh-CN" w:bidi="ar"/>
        </w:rPr>
        <w:t>*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Corresponding Author: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highlight w:val="none"/>
          <w:lang w:val="en-US" w:eastAsia="zh-CN" w:bidi="ar"/>
        </w:rPr>
        <w:t>Xiaoyan Wang and Yong Zhu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Email: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begin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instrText xml:space="preserve"> HYPERLINK "mailto:438618931@qq.com" </w:instrTex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separate"/>
      </w:r>
      <w:r>
        <w:rPr>
          <w:rStyle w:val="4"/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438618931@qq.com</w:t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end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(</w:t>
      </w:r>
      <w:r>
        <w:rPr>
          <w:rFonts w:hint="eastAsia" w:ascii="Times New Roman" w:hAnsi="Times New Roman" w:cs="Times New Roman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Dr Wang),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instrText xml:space="preserve"> HYPERLINK "mailto:yongz59@cqmu.edu.cn" </w:instrTex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separate"/>
      </w:r>
      <w:r>
        <w:rPr>
          <w:rStyle w:val="4"/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yongz59@cqmu.edu.cn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fldChar w:fldCharType="end"/>
      </w: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(Dr Zhu)</w:t>
      </w:r>
    </w:p>
    <w:p/>
    <w:p/>
    <w:p/>
    <w:p/>
    <w:p/>
    <w:p/>
    <w:p/>
    <w:p/>
    <w:p/>
    <w:p/>
    <w:p/>
    <w:p/>
    <w:p/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3515" cy="4964430"/>
            <wp:effectExtent l="0" t="0" r="9525" b="3810"/>
            <wp:docPr id="1" name="图片 1" descr="FigS1-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1-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3515" cy="6789420"/>
            <wp:effectExtent l="0" t="0" r="9525" b="7620"/>
            <wp:docPr id="2" name="图片 2" descr="FigS1-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1-2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7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Figure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S1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processing factors expression levels in different cancer types and normal tissue.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 xml:space="preserve"> (A) CPSF1, (B) CPSF4, (C) NUDT21, (D) CPSF6, (E) CSTF1, (F) CSTF2T, (G) CSTF3, (H) FIP1L1, (I) PAPOLA, (J) PCF11, (K) RBP6, (L) WDR33, (M) CLP1.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The red rectangle box represents gene expression levels in tumor tissue and the blue rectangle box represents normal tissue. * P &lt; 0.05, ** P &lt; 0.01, and *** P &lt; 0.001. Red- and blue-colored names indicate high and low expressions of the corresponding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>′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 end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processing factors, respectively. BLCA, bladder urothelial carcinoma; BRCA, breast invasive carcinoma; CHOL, Cholangiocarcinoma; COAD, Colon adenocarcinoma; ESCA, Esophageal carcinoma; GBM, glioblastoma multiforme; HNSC, head and neck squamous cell carcinoma; KICH, Kidney Chromophobe; KIRC, kidney renal clear cell carcinoma; KIRP, kidney renal papillary cell carcinoma; LIHC, Liver hepatocellular carcinoma; LUAD, Lung adenocarcinoma; LUSC, Lung squamous cell carcinoma; PRAD, Prostate adenocarcinoma; READ, Rectum adenocarcinoma; STAD, Stomach adenocarcinoma; THCA, Thyroid carcinoma; UCEC, uterine corpus endometrial carcinoma. (For interpretation of the references to color in this figure legend, the reader is referred to the web version of this article.)</w:t>
      </w: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wordWrap/>
        <w:autoSpaceDE/>
        <w:autoSpaceDN/>
        <w:spacing w:before="0" w:beforeAutospacing="0" w:after="0" w:afterAutospacing="0"/>
        <w:ind w:right="0"/>
        <w:jc w:val="both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jc w:val="both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451475" cy="2204720"/>
            <wp:effectExtent l="0" t="0" r="4445" b="5080"/>
            <wp:docPr id="3" name="图片 3" descr="FigS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S2(1)"/>
                    <pic:cNvPicPr>
                      <a:picLocks noChangeAspect="1"/>
                    </pic:cNvPicPr>
                  </pic:nvPicPr>
                  <pic:blipFill>
                    <a:blip r:embed="rId6"/>
                    <a:srcRect r="2237"/>
                    <a:stretch>
                      <a:fillRect/>
                    </a:stretch>
                  </pic:blipFill>
                  <pic:spPr>
                    <a:xfrm>
                      <a:off x="0" y="0"/>
                      <a:ext cx="5451475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Figure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Correlation analysis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processing factors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expression with survival by the COX method in different types of cancers. Different colored lines indicate the risk value of different genes in tumors, hazard ratio &lt; 1 represent low risk and hazard ratio &gt; 1 represent high risk.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3690620"/>
            <wp:effectExtent l="0" t="0" r="9525" b="12700"/>
            <wp:docPr id="4" name="图片 4" descr="FigS3-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S3-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6191250"/>
            <wp:effectExtent l="0" t="0" r="9525" b="11430"/>
            <wp:docPr id="5" name="图片 5" descr="FigS3-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S3-2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6191250"/>
            <wp:effectExtent l="0" t="0" r="9525" b="11430"/>
            <wp:docPr id="6" name="图片 6" descr="FigS3-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S3-3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3690620"/>
            <wp:effectExtent l="0" t="0" r="9525" b="12700"/>
            <wp:docPr id="7" name="图片 7" descr="FigS3-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S3-4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Figure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Kaplan-Meier survival curves comparison of high and low expression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processing factors in pan-cancer. OS survival curves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processing factors in different cancers: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 xml:space="preserve"> (A) CPSF1, (B) CPSF4, (C) NUDT21, (D) CPSF6, (E) CSTF1, (F) CSTF2T, (G) CSTF3, (H) CSTF2T, (I) CLP1, (J) WDR33, (K) FIP1L1, (L) PAPOLA, (M) RBP6.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420360" cy="2413000"/>
            <wp:effectExtent l="0" t="0" r="5080" b="10160"/>
            <wp:docPr id="8" name="图片 8" descr="FigS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S4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2036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Figure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S4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Correlation analysis of the expression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processing factors with RNAss, DNAss, stromal score, immune score, and ESTIMATE score in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BLCA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2284730"/>
            <wp:effectExtent l="0" t="0" r="9525" b="1270"/>
            <wp:docPr id="9" name="图片 9" descr="FigS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S5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8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Figure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S5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Correlation analysis of the expression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processing factors with RNAss, DNAss, stromal score, immune score, and ESTIMATE score in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BRCA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3515" cy="2182495"/>
            <wp:effectExtent l="0" t="0" r="9525" b="12065"/>
            <wp:docPr id="10" name="图片 10" descr="FigS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S6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Figure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S6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Correlation analysis of the expression of pre-mRNA 3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′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u w:val="none"/>
          <w:lang w:val="en-US" w:eastAsia="zh-CN" w:bidi="ar"/>
        </w:rPr>
        <w:t xml:space="preserve">end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processing factors with RNAss, DNAss, stromal score, immune score, and ESTIMATE score in </w:t>
      </w:r>
      <w:r>
        <w:rPr>
          <w:rFonts w:hint="eastAsia" w:ascii="Times New Roman" w:hAnsi="Times New Roman" w:cs="Times New Roman"/>
          <w:color w:val="000000"/>
          <w:kern w:val="2"/>
          <w:sz w:val="24"/>
          <w:szCs w:val="24"/>
          <w:lang w:val="en-US" w:eastAsia="zh-CN" w:bidi="ar"/>
        </w:rPr>
        <w:t>COAD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NWFjYjVhNjkxZTRhMDJiOWRiMzZmOThjNzIyNGMifQ=="/>
  </w:docVars>
  <w:rsids>
    <w:rsidRoot w:val="0AC2393C"/>
    <w:rsid w:val="0AC2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376FAA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2023-10-07T05:57:00Z</dcterms:created>
  <dc:creator>进击的烤鸭</dc:creator>
  <cp:lastModifiedBy>进击的烤鸭</cp:lastModifiedBy>
  <dcterms:modified xsi:type="dcterms:W3CDTF">2023-10-07T06:36:51Z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32A91F797B8B417DBD9A8873610205F9_11</vt:lpwstr>
  </property>
</Properties>
</file>