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8714D" w14:textId="77777777" w:rsidR="00EA557E" w:rsidRDefault="00000000">
      <w:pPr>
        <w:widowControl/>
        <w:adjustRightInd w:val="0"/>
        <w:snapToGrid w:val="0"/>
        <w:spacing w:line="360" w:lineRule="auto"/>
        <w:jc w:val="center"/>
        <w:rPr>
          <w:rFonts w:ascii="Times New Roman" w:eastAsia="CharisSIL" w:hAnsi="Times New Roman" w:cs="Times New Roman"/>
          <w:b/>
          <w:bCs/>
          <w:color w:val="000000"/>
          <w:kern w:val="0"/>
          <w:sz w:val="32"/>
          <w:szCs w:val="32"/>
        </w:rPr>
      </w:pPr>
      <w:r>
        <w:rPr>
          <w:rFonts w:ascii="Times New Roman" w:eastAsia="CharisSIL" w:hAnsi="Times New Roman" w:cs="Times New Roman"/>
          <w:b/>
          <w:bCs/>
          <w:color w:val="000000"/>
          <w:kern w:val="0"/>
          <w:sz w:val="32"/>
          <w:szCs w:val="32"/>
        </w:rPr>
        <w:t xml:space="preserve">Supporting </w:t>
      </w:r>
      <w:r>
        <w:rPr>
          <w:rFonts w:ascii="Times New Roman" w:hAnsi="Times New Roman" w:cs="Times New Roman"/>
          <w:b/>
          <w:bCs/>
          <w:color w:val="000000"/>
          <w:kern w:val="0"/>
          <w:sz w:val="32"/>
          <w:szCs w:val="32"/>
        </w:rPr>
        <w:t>I</w:t>
      </w:r>
      <w:r>
        <w:rPr>
          <w:rFonts w:ascii="Times New Roman" w:eastAsia="CharisSIL" w:hAnsi="Times New Roman" w:cs="Times New Roman"/>
          <w:b/>
          <w:bCs/>
          <w:color w:val="000000"/>
          <w:kern w:val="0"/>
          <w:sz w:val="32"/>
          <w:szCs w:val="32"/>
        </w:rPr>
        <w:t>nformation</w:t>
      </w:r>
    </w:p>
    <w:p w14:paraId="6F8F420E" w14:textId="77777777" w:rsidR="00EA557E" w:rsidRDefault="00EA557E">
      <w:pPr>
        <w:widowControl/>
        <w:adjustRightInd w:val="0"/>
        <w:snapToGrid w:val="0"/>
        <w:spacing w:line="360" w:lineRule="auto"/>
        <w:jc w:val="left"/>
        <w:rPr>
          <w:rFonts w:ascii="Times New Roman" w:hAnsi="Times New Roman" w:cs="Times New Roman"/>
          <w:b/>
          <w:bCs/>
          <w:color w:val="000000"/>
          <w:kern w:val="0"/>
          <w:sz w:val="32"/>
          <w:szCs w:val="32"/>
        </w:rPr>
      </w:pPr>
    </w:p>
    <w:p w14:paraId="65E5FDEF" w14:textId="77777777" w:rsidR="00EA557E" w:rsidRDefault="00000000">
      <w:pPr>
        <w:widowControl/>
        <w:adjustRightInd w:val="0"/>
        <w:snapToGrid w:val="0"/>
        <w:spacing w:line="360" w:lineRule="auto"/>
        <w:rPr>
          <w:rFonts w:ascii="Times New Roman" w:hAnsi="Times New Roman" w:cs="Times New Roman"/>
          <w:b/>
          <w:bCs/>
          <w:color w:val="000000"/>
          <w:kern w:val="0"/>
          <w:sz w:val="32"/>
          <w:szCs w:val="32"/>
        </w:rPr>
      </w:pPr>
      <w:bookmarkStart w:id="0" w:name="_Hlk147328993"/>
      <w:bookmarkStart w:id="1" w:name="_Hlk145186090"/>
      <w:bookmarkStart w:id="2" w:name="_Hlk141704764"/>
      <w:r>
        <w:rPr>
          <w:rFonts w:ascii="Times New Roman" w:hAnsi="Times New Roman" w:cs="Times New Roman"/>
          <w:b/>
          <w:bCs/>
          <w:color w:val="000000"/>
          <w:kern w:val="0"/>
          <w:sz w:val="32"/>
          <w:szCs w:val="32"/>
        </w:rPr>
        <w:t>Molecularly Imprinted</w:t>
      </w:r>
      <w:bookmarkEnd w:id="0"/>
      <w:r>
        <w:rPr>
          <w:rFonts w:ascii="Times New Roman" w:hAnsi="Times New Roman" w:cs="Times New Roman"/>
          <w:b/>
          <w:bCs/>
          <w:color w:val="000000"/>
          <w:kern w:val="0"/>
          <w:sz w:val="32"/>
          <w:szCs w:val="32"/>
        </w:rPr>
        <w:t xml:space="preserve"> Electrochemical Sensor based on α-Cyclodextrin</w:t>
      </w:r>
      <w:bookmarkStart w:id="3" w:name="_Hlk146041822"/>
      <w:r>
        <w:rPr>
          <w:rFonts w:ascii="Times New Roman" w:hAnsi="Times New Roman" w:cs="Times New Roman"/>
          <w:b/>
          <w:bCs/>
          <w:color w:val="000000"/>
          <w:kern w:val="0"/>
          <w:sz w:val="32"/>
          <w:szCs w:val="32"/>
        </w:rPr>
        <w:t xml:space="preserve"> Dual-functional Monomers</w:t>
      </w:r>
      <w:bookmarkEnd w:id="3"/>
      <w:r>
        <w:rPr>
          <w:rFonts w:ascii="Times New Roman" w:hAnsi="Times New Roman" w:cs="Times New Roman"/>
          <w:b/>
          <w:bCs/>
          <w:color w:val="000000"/>
          <w:kern w:val="0"/>
          <w:sz w:val="32"/>
          <w:szCs w:val="32"/>
        </w:rPr>
        <w:t xml:space="preserve"> and MXene Nanosheets for Highly Sensitive and Selective Detection of Alkylresorcinols in </w:t>
      </w:r>
      <w:r>
        <w:rPr>
          <w:rFonts w:ascii="Times New Roman" w:hAnsi="Times New Roman" w:cs="Times New Roman" w:hint="eastAsia"/>
          <w:b/>
          <w:bCs/>
          <w:color w:val="000000"/>
          <w:kern w:val="0"/>
          <w:sz w:val="32"/>
          <w:szCs w:val="32"/>
        </w:rPr>
        <w:t>W</w:t>
      </w:r>
      <w:r>
        <w:rPr>
          <w:rFonts w:ascii="Times New Roman" w:hAnsi="Times New Roman" w:cs="Times New Roman"/>
          <w:b/>
          <w:bCs/>
          <w:color w:val="000000"/>
          <w:kern w:val="0"/>
          <w:sz w:val="32"/>
          <w:szCs w:val="32"/>
        </w:rPr>
        <w:t xml:space="preserve">hole </w:t>
      </w:r>
      <w:r>
        <w:rPr>
          <w:rFonts w:ascii="Times New Roman" w:hAnsi="Times New Roman" w:cs="Times New Roman" w:hint="eastAsia"/>
          <w:b/>
          <w:bCs/>
          <w:color w:val="000000"/>
          <w:kern w:val="0"/>
          <w:sz w:val="32"/>
          <w:szCs w:val="32"/>
        </w:rPr>
        <w:t>W</w:t>
      </w:r>
      <w:r>
        <w:rPr>
          <w:rFonts w:ascii="Times New Roman" w:hAnsi="Times New Roman" w:cs="Times New Roman"/>
          <w:b/>
          <w:bCs/>
          <w:color w:val="000000"/>
          <w:kern w:val="0"/>
          <w:sz w:val="32"/>
          <w:szCs w:val="32"/>
        </w:rPr>
        <w:t xml:space="preserve">heat </w:t>
      </w:r>
      <w:r>
        <w:rPr>
          <w:rFonts w:ascii="Times New Roman" w:hAnsi="Times New Roman" w:cs="Times New Roman" w:hint="eastAsia"/>
          <w:b/>
          <w:bCs/>
          <w:color w:val="000000"/>
          <w:kern w:val="0"/>
          <w:sz w:val="32"/>
          <w:szCs w:val="32"/>
        </w:rPr>
        <w:t>Food</w:t>
      </w:r>
      <w:r>
        <w:rPr>
          <w:rFonts w:ascii="Times New Roman" w:hAnsi="Times New Roman" w:cs="Times New Roman"/>
          <w:b/>
          <w:bCs/>
          <w:color w:val="000000"/>
          <w:kern w:val="0"/>
          <w:sz w:val="32"/>
          <w:szCs w:val="32"/>
        </w:rPr>
        <w:t>s</w:t>
      </w:r>
    </w:p>
    <w:bookmarkEnd w:id="1"/>
    <w:bookmarkEnd w:id="2"/>
    <w:p w14:paraId="434B9490" w14:textId="77777777" w:rsidR="00EA557E" w:rsidRDefault="00EA557E">
      <w:pPr>
        <w:adjustRightInd w:val="0"/>
        <w:snapToGrid w:val="0"/>
        <w:spacing w:line="360" w:lineRule="auto"/>
        <w:rPr>
          <w:rStyle w:val="fontstyle01"/>
          <w:rFonts w:ascii="Times New Roman" w:eastAsiaTheme="majorEastAsia" w:hAnsi="Times New Roman" w:cs="Times New Roman"/>
          <w:sz w:val="21"/>
          <w:szCs w:val="21"/>
        </w:rPr>
      </w:pPr>
    </w:p>
    <w:p w14:paraId="458F30E1" w14:textId="77777777" w:rsidR="00EA557E" w:rsidRDefault="00000000">
      <w:pPr>
        <w:adjustRightInd w:val="0"/>
        <w:snapToGrid w:val="0"/>
        <w:spacing w:line="360" w:lineRule="auto"/>
        <w:rPr>
          <w:rStyle w:val="fontstyle01"/>
          <w:rFonts w:ascii="Times New Roman" w:eastAsiaTheme="majorEastAsia" w:hAnsi="Times New Roman" w:cs="Times New Roman"/>
          <w:b/>
          <w:bCs/>
          <w:sz w:val="24"/>
          <w:szCs w:val="24"/>
          <w:vertAlign w:val="superscript"/>
        </w:rPr>
      </w:pPr>
      <w:r>
        <w:rPr>
          <w:rStyle w:val="fontstyle01"/>
          <w:rFonts w:ascii="Times New Roman" w:eastAsiaTheme="majorEastAsia" w:hAnsi="Times New Roman" w:cs="Times New Roman"/>
          <w:b/>
          <w:bCs/>
          <w:sz w:val="24"/>
          <w:szCs w:val="24"/>
        </w:rPr>
        <w:t xml:space="preserve">Yangyang Wen </w:t>
      </w:r>
      <w:proofErr w:type="gramStart"/>
      <w:r>
        <w:rPr>
          <w:rStyle w:val="fontstyle01"/>
          <w:rFonts w:ascii="Times New Roman" w:eastAsiaTheme="majorEastAsia" w:hAnsi="Times New Roman" w:cs="Times New Roman"/>
          <w:b/>
          <w:bCs/>
          <w:sz w:val="24"/>
          <w:szCs w:val="24"/>
          <w:vertAlign w:val="superscript"/>
        </w:rPr>
        <w:t>a,</w:t>
      </w:r>
      <w:r>
        <w:rPr>
          <w:rFonts w:ascii="Times New Roman" w:hAnsi="Times New Roman" w:cs="Times New Roman"/>
          <w:b/>
          <w:bCs/>
          <w:sz w:val="24"/>
          <w:vertAlign w:val="superscript"/>
        </w:rPr>
        <w:t>†</w:t>
      </w:r>
      <w:proofErr w:type="gramEnd"/>
      <w:r>
        <w:rPr>
          <w:rStyle w:val="fontstyle01"/>
          <w:rFonts w:ascii="Times New Roman" w:eastAsiaTheme="majorEastAsia" w:hAnsi="Times New Roman" w:cs="Times New Roman"/>
          <w:b/>
          <w:bCs/>
          <w:sz w:val="24"/>
          <w:szCs w:val="24"/>
        </w:rPr>
        <w:t>, Mengyao Wang</w:t>
      </w:r>
      <w:r>
        <w:rPr>
          <w:rStyle w:val="fontstyle01"/>
          <w:rFonts w:ascii="Times New Roman" w:eastAsiaTheme="majorEastAsia" w:hAnsi="Times New Roman" w:cs="Times New Roman"/>
          <w:b/>
          <w:bCs/>
          <w:sz w:val="24"/>
          <w:szCs w:val="24"/>
          <w:vertAlign w:val="superscript"/>
        </w:rPr>
        <w:t xml:space="preserve"> a,</w:t>
      </w:r>
      <w:r>
        <w:rPr>
          <w:rFonts w:ascii="Times New Roman" w:hAnsi="Times New Roman" w:cs="Times New Roman"/>
          <w:b/>
          <w:bCs/>
          <w:sz w:val="24"/>
          <w:vertAlign w:val="superscript"/>
        </w:rPr>
        <w:t>†</w:t>
      </w:r>
      <w:r>
        <w:rPr>
          <w:rStyle w:val="fontstyle01"/>
          <w:rFonts w:ascii="Times New Roman" w:eastAsiaTheme="majorEastAsia" w:hAnsi="Times New Roman" w:cs="Times New Roman"/>
          <w:b/>
          <w:bCs/>
          <w:sz w:val="24"/>
          <w:szCs w:val="24"/>
        </w:rPr>
        <w:t xml:space="preserve">, </w:t>
      </w:r>
      <w:proofErr w:type="spellStart"/>
      <w:r>
        <w:rPr>
          <w:rStyle w:val="fontstyle01"/>
          <w:rFonts w:ascii="Times New Roman" w:eastAsiaTheme="majorEastAsia" w:hAnsi="Times New Roman" w:cs="Times New Roman"/>
          <w:b/>
          <w:bCs/>
          <w:sz w:val="24"/>
          <w:szCs w:val="24"/>
        </w:rPr>
        <w:t>Shichao</w:t>
      </w:r>
      <w:proofErr w:type="spellEnd"/>
      <w:r>
        <w:rPr>
          <w:rStyle w:val="fontstyle01"/>
          <w:rFonts w:ascii="Times New Roman" w:eastAsiaTheme="majorEastAsia" w:hAnsi="Times New Roman" w:cs="Times New Roman"/>
          <w:b/>
          <w:bCs/>
          <w:sz w:val="24"/>
          <w:szCs w:val="24"/>
        </w:rPr>
        <w:t xml:space="preserve"> Zhao </w:t>
      </w:r>
      <w:r>
        <w:rPr>
          <w:rStyle w:val="fontstyle01"/>
          <w:rFonts w:ascii="Times New Roman" w:eastAsiaTheme="majorEastAsia" w:hAnsi="Times New Roman" w:cs="Times New Roman"/>
          <w:b/>
          <w:bCs/>
          <w:sz w:val="24"/>
          <w:szCs w:val="24"/>
          <w:vertAlign w:val="superscript"/>
        </w:rPr>
        <w:t>a</w:t>
      </w:r>
      <w:r>
        <w:rPr>
          <w:rStyle w:val="fontstyle01"/>
          <w:rFonts w:ascii="Times New Roman" w:eastAsiaTheme="majorEastAsia" w:hAnsi="Times New Roman" w:cs="Times New Roman"/>
          <w:b/>
          <w:bCs/>
          <w:sz w:val="24"/>
          <w:szCs w:val="24"/>
        </w:rPr>
        <w:t xml:space="preserve">, Haoran Fan </w:t>
      </w:r>
      <w:r>
        <w:rPr>
          <w:rStyle w:val="fontstyle01"/>
          <w:rFonts w:ascii="Times New Roman" w:eastAsiaTheme="majorEastAsia" w:hAnsi="Times New Roman" w:cs="Times New Roman"/>
          <w:b/>
          <w:bCs/>
          <w:sz w:val="24"/>
          <w:szCs w:val="24"/>
          <w:vertAlign w:val="superscript"/>
        </w:rPr>
        <w:t>b</w:t>
      </w:r>
      <w:r>
        <w:rPr>
          <w:rStyle w:val="fontstyle01"/>
          <w:rFonts w:ascii="Times New Roman" w:eastAsiaTheme="majorEastAsia" w:hAnsi="Times New Roman" w:cs="Times New Roman"/>
          <w:b/>
          <w:bCs/>
          <w:sz w:val="24"/>
          <w:szCs w:val="24"/>
        </w:rPr>
        <w:t xml:space="preserve">, Hongyan Li </w:t>
      </w:r>
      <w:r>
        <w:rPr>
          <w:rStyle w:val="fontstyle01"/>
          <w:rFonts w:ascii="Times New Roman" w:eastAsiaTheme="majorEastAsia" w:hAnsi="Times New Roman" w:cs="Times New Roman"/>
          <w:b/>
          <w:bCs/>
          <w:sz w:val="24"/>
          <w:szCs w:val="24"/>
          <w:vertAlign w:val="superscript"/>
        </w:rPr>
        <w:t>b</w:t>
      </w:r>
      <w:r>
        <w:rPr>
          <w:rFonts w:ascii="Times New Roman" w:hAnsi="Times New Roman" w:cs="Times New Roman"/>
          <w:b/>
          <w:bCs/>
          <w:sz w:val="24"/>
          <w:vertAlign w:val="superscript"/>
        </w:rPr>
        <w:t>,</w:t>
      </w:r>
      <w:r>
        <w:rPr>
          <w:rFonts w:ascii="Times New Roman" w:hAnsi="Times New Roman" w:cs="Times New Roman"/>
          <w:b/>
          <w:bCs/>
          <w:sz w:val="24"/>
        </w:rPr>
        <w:t>*</w:t>
      </w:r>
      <w:r>
        <w:rPr>
          <w:rStyle w:val="fontstyle01"/>
          <w:rFonts w:ascii="Times New Roman" w:eastAsiaTheme="majorEastAsia" w:hAnsi="Times New Roman" w:cs="Times New Roman"/>
          <w:b/>
          <w:bCs/>
          <w:sz w:val="24"/>
          <w:szCs w:val="24"/>
        </w:rPr>
        <w:t xml:space="preserve">, Jing Wang </w:t>
      </w:r>
      <w:r>
        <w:rPr>
          <w:rStyle w:val="fontstyle01"/>
          <w:rFonts w:ascii="Times New Roman" w:eastAsiaTheme="majorEastAsia" w:hAnsi="Times New Roman" w:cs="Times New Roman"/>
          <w:b/>
          <w:bCs/>
          <w:sz w:val="24"/>
          <w:szCs w:val="24"/>
          <w:vertAlign w:val="superscript"/>
        </w:rPr>
        <w:t>b</w:t>
      </w:r>
      <w:r>
        <w:rPr>
          <w:rFonts w:ascii="Times New Roman" w:hAnsi="Times New Roman" w:cs="Times New Roman"/>
          <w:b/>
          <w:bCs/>
          <w:sz w:val="24"/>
          <w:vertAlign w:val="superscript"/>
        </w:rPr>
        <w:t>,</w:t>
      </w:r>
      <w:r>
        <w:rPr>
          <w:rFonts w:ascii="Times New Roman" w:hAnsi="Times New Roman" w:cs="Times New Roman"/>
          <w:b/>
          <w:bCs/>
          <w:sz w:val="24"/>
        </w:rPr>
        <w:t>*</w:t>
      </w:r>
      <w:r>
        <w:rPr>
          <w:rStyle w:val="fontstyle01"/>
          <w:rFonts w:ascii="Times New Roman" w:eastAsiaTheme="majorEastAsia" w:hAnsi="Times New Roman" w:cs="Times New Roman"/>
          <w:b/>
          <w:bCs/>
          <w:sz w:val="24"/>
          <w:szCs w:val="24"/>
        </w:rPr>
        <w:t>, Baoguo Sun</w:t>
      </w:r>
      <w:r>
        <w:rPr>
          <w:rStyle w:val="fontstyle01"/>
          <w:rFonts w:ascii="Times New Roman" w:eastAsiaTheme="majorEastAsia" w:hAnsi="Times New Roman" w:cs="Times New Roman"/>
          <w:b/>
          <w:bCs/>
          <w:sz w:val="24"/>
          <w:szCs w:val="24"/>
          <w:vertAlign w:val="superscript"/>
        </w:rPr>
        <w:t>b</w:t>
      </w:r>
    </w:p>
    <w:p w14:paraId="2152F60A" w14:textId="77777777" w:rsidR="00EA557E" w:rsidRDefault="00EA557E">
      <w:pPr>
        <w:widowControl/>
        <w:adjustRightInd w:val="0"/>
        <w:snapToGrid w:val="0"/>
        <w:spacing w:line="360" w:lineRule="auto"/>
        <w:rPr>
          <w:rFonts w:ascii="Times New Roman" w:hAnsi="Times New Roman" w:cs="Times New Roman"/>
          <w:b/>
          <w:bCs/>
          <w:color w:val="000000"/>
          <w:kern w:val="0"/>
          <w:sz w:val="24"/>
        </w:rPr>
      </w:pPr>
    </w:p>
    <w:p w14:paraId="06B5B05C" w14:textId="77777777" w:rsidR="00EA557E" w:rsidRDefault="00000000">
      <w:pPr>
        <w:adjustRightInd w:val="0"/>
        <w:snapToGrid w:val="0"/>
        <w:spacing w:line="360" w:lineRule="auto"/>
        <w:rPr>
          <w:rFonts w:ascii="Times New Roman" w:hAnsi="Times New Roman" w:cs="Times New Roman"/>
          <w:i/>
          <w:iCs/>
          <w:szCs w:val="21"/>
        </w:rPr>
      </w:pPr>
      <w:r>
        <w:rPr>
          <w:rFonts w:ascii="Times New Roman" w:hAnsi="Times New Roman" w:cs="Times New Roman"/>
          <w:szCs w:val="21"/>
          <w:vertAlign w:val="superscript"/>
        </w:rPr>
        <w:t xml:space="preserve">a </w:t>
      </w:r>
      <w:r>
        <w:rPr>
          <w:rFonts w:ascii="Times New Roman" w:hAnsi="Times New Roman" w:cs="Times New Roman"/>
          <w:i/>
          <w:iCs/>
          <w:szCs w:val="21"/>
        </w:rPr>
        <w:t>College of Chemistry and Materials Engineering, Beijing Technology and Business University, Beijing 100048, China</w:t>
      </w:r>
    </w:p>
    <w:p w14:paraId="033B5AEB" w14:textId="77777777" w:rsidR="00EA557E" w:rsidRDefault="00000000">
      <w:pPr>
        <w:adjustRightInd w:val="0"/>
        <w:snapToGrid w:val="0"/>
        <w:spacing w:line="360" w:lineRule="auto"/>
        <w:rPr>
          <w:rFonts w:ascii="Times New Roman" w:hAnsi="Times New Roman" w:cs="Times New Roman"/>
          <w:szCs w:val="21"/>
        </w:rPr>
      </w:pPr>
      <w:r>
        <w:rPr>
          <w:rFonts w:ascii="Times New Roman" w:hAnsi="Times New Roman" w:cs="Times New Roman"/>
          <w:szCs w:val="21"/>
          <w:vertAlign w:val="superscript"/>
        </w:rPr>
        <w:t>b</w:t>
      </w:r>
      <w:r>
        <w:rPr>
          <w:rFonts w:ascii="Times New Roman" w:hAnsi="Times New Roman" w:cs="Times New Roman"/>
          <w:i/>
          <w:iCs/>
          <w:szCs w:val="21"/>
        </w:rPr>
        <w:t xml:space="preserve"> Key Laboratory of Geriatric Nutrition and Health, Ministry of Education, Beijing Technology and Business University, Beijing, 100048, China</w:t>
      </w:r>
    </w:p>
    <w:p w14:paraId="171BA444" w14:textId="77777777" w:rsidR="00EA557E" w:rsidRDefault="00000000">
      <w:pPr>
        <w:adjustRightInd w:val="0"/>
        <w:snapToGrid w:val="0"/>
        <w:spacing w:line="360" w:lineRule="auto"/>
        <w:rPr>
          <w:rFonts w:ascii="Times New Roman" w:eastAsia="宋体" w:hAnsi="Times New Roman" w:cs="Times New Roman"/>
          <w:i/>
          <w:iCs/>
          <w:color w:val="000000" w:themeColor="text1"/>
          <w:kern w:val="0"/>
          <w:szCs w:val="21"/>
          <w:vertAlign w:val="superscript"/>
        </w:rPr>
      </w:pPr>
      <w:r>
        <w:rPr>
          <w:rFonts w:ascii="Times New Roman" w:eastAsia="宋体" w:hAnsi="Times New Roman" w:cs="Times New Roman"/>
          <w:i/>
          <w:iCs/>
          <w:color w:val="000000" w:themeColor="text1"/>
          <w:kern w:val="0"/>
          <w:szCs w:val="21"/>
          <w:vertAlign w:val="superscript"/>
        </w:rPr>
        <w:t xml:space="preserve">† </w:t>
      </w:r>
      <w:r>
        <w:rPr>
          <w:rFonts w:ascii="Times New Roman" w:eastAsia="宋体" w:hAnsi="Times New Roman" w:cs="Times New Roman"/>
          <w:i/>
          <w:iCs/>
          <w:color w:val="000000" w:themeColor="text1"/>
          <w:kern w:val="0"/>
          <w:szCs w:val="21"/>
        </w:rPr>
        <w:t>These authors contributed equally to this work</w:t>
      </w:r>
    </w:p>
    <w:p w14:paraId="1A7995B5" w14:textId="77777777" w:rsidR="00EA557E" w:rsidRDefault="00000000">
      <w:pPr>
        <w:adjustRightInd w:val="0"/>
        <w:snapToGrid w:val="0"/>
        <w:spacing w:line="360" w:lineRule="auto"/>
        <w:rPr>
          <w:rFonts w:ascii="Times New Roman" w:hAnsi="Times New Roman" w:cs="Times New Roman"/>
          <w:i/>
          <w:szCs w:val="21"/>
        </w:rPr>
      </w:pPr>
      <w:r>
        <w:rPr>
          <w:rFonts w:ascii="Times New Roman" w:hAnsi="Times New Roman" w:cs="Times New Roman"/>
          <w:i/>
          <w:szCs w:val="21"/>
        </w:rPr>
        <w:t xml:space="preserve">* Corresponding author e−mail: </w:t>
      </w:r>
    </w:p>
    <w:p w14:paraId="4570F26E" w14:textId="77777777" w:rsidR="00EA557E" w:rsidRDefault="00000000">
      <w:pPr>
        <w:widowControl/>
        <w:adjustRightInd w:val="0"/>
        <w:snapToGrid w:val="0"/>
        <w:spacing w:line="360" w:lineRule="auto"/>
        <w:rPr>
          <w:rFonts w:ascii="Times New Roman" w:hAnsi="Times New Roman" w:cs="Times New Roman"/>
          <w:i/>
          <w:iCs/>
          <w:kern w:val="0"/>
          <w:szCs w:val="21"/>
        </w:rPr>
      </w:pPr>
      <w:r>
        <w:rPr>
          <w:rFonts w:ascii="Times New Roman" w:eastAsia="CharisSIL" w:hAnsi="Times New Roman" w:cs="Times New Roman"/>
          <w:i/>
          <w:iCs/>
          <w:color w:val="000000"/>
          <w:kern w:val="0"/>
          <w:szCs w:val="21"/>
        </w:rPr>
        <w:t xml:space="preserve">Hongyan Li: </w:t>
      </w:r>
      <w:hyperlink r:id="rId6" w:history="1">
        <w:r>
          <w:rPr>
            <w:rStyle w:val="af"/>
            <w:rFonts w:ascii="Times New Roman" w:eastAsia="CharisSIL" w:hAnsi="Times New Roman" w:cs="Times New Roman"/>
            <w:i/>
            <w:iCs/>
            <w:color w:val="auto"/>
            <w:kern w:val="0"/>
            <w:szCs w:val="21"/>
            <w:u w:val="none"/>
          </w:rPr>
          <w:t>hongyan.li@btbu.edu.cn</w:t>
        </w:r>
      </w:hyperlink>
      <w:r>
        <w:rPr>
          <w:rFonts w:ascii="Times New Roman" w:eastAsia="CharisSIL" w:hAnsi="Times New Roman" w:cs="Times New Roman"/>
          <w:i/>
          <w:iCs/>
          <w:kern w:val="0"/>
          <w:szCs w:val="21"/>
        </w:rPr>
        <w:t xml:space="preserve">; Jing Wang: </w:t>
      </w:r>
      <w:hyperlink r:id="rId7" w:history="1">
        <w:r>
          <w:rPr>
            <w:rStyle w:val="af"/>
            <w:rFonts w:ascii="Times New Roman" w:eastAsia="CharisSIL" w:hAnsi="Times New Roman" w:cs="Times New Roman"/>
            <w:i/>
            <w:iCs/>
            <w:color w:val="auto"/>
            <w:kern w:val="0"/>
            <w:szCs w:val="21"/>
            <w:u w:val="none"/>
          </w:rPr>
          <w:t>wangjing@th.btbu.edu.cn</w:t>
        </w:r>
      </w:hyperlink>
    </w:p>
    <w:p w14:paraId="19115036" w14:textId="77777777" w:rsidR="00EA557E" w:rsidRDefault="00000000">
      <w:pPr>
        <w:widowControl/>
        <w:jc w:val="left"/>
        <w:rPr>
          <w:rFonts w:ascii="Times New Roman" w:eastAsia="等线" w:hAnsi="Times New Roman" w:cs="Times New Roman"/>
          <w:b/>
          <w:bCs/>
          <w:kern w:val="24"/>
          <w:sz w:val="24"/>
        </w:rPr>
      </w:pPr>
      <w:r>
        <w:rPr>
          <w:rFonts w:ascii="Times New Roman" w:eastAsia="等线" w:hAnsi="Times New Roman" w:cs="Times New Roman"/>
          <w:b/>
          <w:bCs/>
          <w:kern w:val="24"/>
          <w:sz w:val="24"/>
        </w:rPr>
        <w:br w:type="page"/>
      </w:r>
    </w:p>
    <w:p w14:paraId="483EF0D2" w14:textId="77777777" w:rsidR="00EA557E" w:rsidRDefault="00000000">
      <w:pPr>
        <w:adjustRightInd w:val="0"/>
        <w:snapToGrid w:val="0"/>
        <w:spacing w:line="360" w:lineRule="auto"/>
        <w:jc w:val="center"/>
        <w:rPr>
          <w:rFonts w:ascii="Times New Roman" w:eastAsia="等线" w:hAnsi="Times New Roman" w:cs="Times New Roman"/>
          <w:szCs w:val="21"/>
        </w:rPr>
      </w:pPr>
      <w:r>
        <w:rPr>
          <w:rFonts w:ascii="Times New Roman" w:eastAsia="CharisSIL" w:hAnsi="Times New Roman" w:cs="Times New Roman"/>
          <w:b/>
          <w:bCs/>
          <w:color w:val="000000"/>
          <w:kern w:val="0"/>
          <w:szCs w:val="21"/>
        </w:rPr>
        <w:lastRenderedPageBreak/>
        <w:t xml:space="preserve">Table </w:t>
      </w:r>
      <w:r>
        <w:rPr>
          <w:rFonts w:ascii="Times New Roman" w:eastAsia="宋体" w:hAnsi="Times New Roman" w:cs="Times New Roman"/>
          <w:b/>
          <w:bCs/>
          <w:color w:val="000000"/>
          <w:kern w:val="0"/>
          <w:szCs w:val="21"/>
        </w:rPr>
        <w:t>S1</w:t>
      </w:r>
      <w:r>
        <w:rPr>
          <w:rFonts w:ascii="Times New Roman" w:eastAsia="CharisSIL" w:hAnsi="Times New Roman" w:cs="Times New Roman"/>
          <w:b/>
          <w:bCs/>
          <w:color w:val="000000"/>
          <w:kern w:val="0"/>
          <w:szCs w:val="21"/>
        </w:rPr>
        <w:t xml:space="preserve"> </w:t>
      </w:r>
      <w:r>
        <w:rPr>
          <w:rFonts w:ascii="Times New Roman" w:eastAsia="等线" w:hAnsi="Times New Roman" w:cs="Times New Roman"/>
          <w:szCs w:val="21"/>
        </w:rPr>
        <w:t>Inclusion rates of AR21 in AR21/</w:t>
      </w:r>
      <w:r>
        <w:rPr>
          <w:rFonts w:ascii="Times New Roman" w:eastAsia="宋体" w:hAnsi="Times New Roman" w:cs="Times New Roman"/>
          <w:kern w:val="0"/>
          <w:szCs w:val="21"/>
        </w:rPr>
        <w:t>α</w:t>
      </w:r>
      <w:r>
        <w:rPr>
          <w:rFonts w:ascii="Times New Roman" w:eastAsia="等线" w:hAnsi="Times New Roman" w:cs="Times New Roman"/>
          <w:szCs w:val="21"/>
        </w:rPr>
        <w:t>CD complex.</w:t>
      </w:r>
    </w:p>
    <w:tbl>
      <w:tblPr>
        <w:tblStyle w:val="ae"/>
        <w:tblW w:w="8222" w:type="dxa"/>
        <w:jc w:val="center"/>
        <w:tblBorders>
          <w:left w:val="non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1418"/>
        <w:gridCol w:w="1701"/>
        <w:gridCol w:w="1701"/>
        <w:gridCol w:w="1701"/>
        <w:gridCol w:w="1701"/>
      </w:tblGrid>
      <w:tr w:rsidR="00EA557E" w14:paraId="2CF39A62" w14:textId="77777777">
        <w:trPr>
          <w:trHeight w:val="300"/>
          <w:jc w:val="center"/>
        </w:trPr>
        <w:tc>
          <w:tcPr>
            <w:tcW w:w="1418" w:type="dxa"/>
            <w:tcBorders>
              <w:top w:val="single" w:sz="4" w:space="0" w:color="auto"/>
              <w:left w:val="nil"/>
              <w:bottom w:val="single" w:sz="4" w:space="0" w:color="auto"/>
              <w:right w:val="nil"/>
            </w:tcBorders>
            <w:shd w:val="clear" w:color="auto" w:fill="auto"/>
            <w:noWrap/>
          </w:tcPr>
          <w:p w14:paraId="31A993E3" w14:textId="77777777" w:rsidR="00EA557E" w:rsidRDefault="00000000">
            <w:pPr>
              <w:adjustRightInd w:val="0"/>
              <w:snapToGrid w:val="0"/>
              <w:spacing w:afterLines="50" w:after="156" w:line="312" w:lineRule="auto"/>
              <w:rPr>
                <w:rFonts w:ascii="Times New Roman" w:eastAsia="宋体" w:hAnsi="Times New Roman" w:cs="Times New Roman"/>
                <w:szCs w:val="21"/>
              </w:rPr>
            </w:pPr>
            <w:r>
              <w:rPr>
                <w:rFonts w:ascii="Times New Roman" w:eastAsia="宋体" w:hAnsi="Times New Roman" w:cs="Times New Roman"/>
                <w:kern w:val="0"/>
                <w:szCs w:val="21"/>
              </w:rPr>
              <w:t>Ingredients</w:t>
            </w:r>
            <w:r>
              <w:rPr>
                <w:rFonts w:ascii="Times New Roman" w:eastAsia="等线" w:hAnsi="Times New Roman" w:cs="Times New Roman"/>
                <w:szCs w:val="21"/>
                <w:vertAlign w:val="superscript"/>
              </w:rPr>
              <w:sym w:font="Symbol" w:char="002A"/>
            </w:r>
          </w:p>
        </w:tc>
        <w:tc>
          <w:tcPr>
            <w:tcW w:w="1701" w:type="dxa"/>
            <w:tcBorders>
              <w:top w:val="single" w:sz="4" w:space="0" w:color="auto"/>
              <w:left w:val="nil"/>
              <w:bottom w:val="single" w:sz="4" w:space="0" w:color="auto"/>
              <w:right w:val="nil"/>
            </w:tcBorders>
            <w:shd w:val="clear" w:color="auto" w:fill="auto"/>
            <w:noWrap/>
          </w:tcPr>
          <w:p w14:paraId="519B3F02" w14:textId="77777777" w:rsidR="00EA557E" w:rsidRDefault="00000000">
            <w:pPr>
              <w:widowControl/>
              <w:adjustRightInd w:val="0"/>
              <w:snapToGrid w:val="0"/>
              <w:spacing w:afterLines="50" w:after="156" w:line="312" w:lineRule="auto"/>
              <w:jc w:val="left"/>
              <w:rPr>
                <w:rFonts w:ascii="Times New Roman" w:eastAsia="宋体" w:hAnsi="Times New Roman" w:cs="Times New Roman"/>
                <w:szCs w:val="21"/>
              </w:rPr>
            </w:pPr>
            <w:r>
              <w:rPr>
                <w:rFonts w:ascii="Times New Roman" w:eastAsia="宋体" w:hAnsi="Times New Roman" w:cs="Times New Roman"/>
                <w:kern w:val="0"/>
                <w:szCs w:val="21"/>
              </w:rPr>
              <w:t>1:1</w:t>
            </w:r>
          </w:p>
        </w:tc>
        <w:tc>
          <w:tcPr>
            <w:tcW w:w="1701" w:type="dxa"/>
            <w:tcBorders>
              <w:top w:val="single" w:sz="4" w:space="0" w:color="auto"/>
              <w:left w:val="nil"/>
              <w:bottom w:val="single" w:sz="4" w:space="0" w:color="auto"/>
              <w:right w:val="nil"/>
            </w:tcBorders>
            <w:shd w:val="clear" w:color="auto" w:fill="auto"/>
            <w:noWrap/>
          </w:tcPr>
          <w:p w14:paraId="4BCD1DDF" w14:textId="77777777" w:rsidR="00EA557E" w:rsidRDefault="00000000">
            <w:pPr>
              <w:widowControl/>
              <w:adjustRightInd w:val="0"/>
              <w:snapToGrid w:val="0"/>
              <w:spacing w:afterLines="50" w:after="156" w:line="312" w:lineRule="auto"/>
              <w:jc w:val="left"/>
              <w:rPr>
                <w:rFonts w:ascii="Times New Roman" w:eastAsia="宋体" w:hAnsi="Times New Roman" w:cs="Times New Roman"/>
                <w:szCs w:val="21"/>
              </w:rPr>
            </w:pPr>
            <w:r>
              <w:rPr>
                <w:rFonts w:ascii="Times New Roman" w:eastAsia="宋体" w:hAnsi="Times New Roman" w:cs="Times New Roman"/>
                <w:kern w:val="0"/>
                <w:szCs w:val="21"/>
              </w:rPr>
              <w:t>1:2</w:t>
            </w:r>
          </w:p>
        </w:tc>
        <w:tc>
          <w:tcPr>
            <w:tcW w:w="1701" w:type="dxa"/>
            <w:tcBorders>
              <w:top w:val="single" w:sz="4" w:space="0" w:color="auto"/>
              <w:left w:val="nil"/>
              <w:bottom w:val="single" w:sz="4" w:space="0" w:color="auto"/>
              <w:right w:val="nil"/>
            </w:tcBorders>
            <w:shd w:val="clear" w:color="auto" w:fill="auto"/>
            <w:noWrap/>
          </w:tcPr>
          <w:p w14:paraId="16FFCE4E" w14:textId="77777777" w:rsidR="00EA557E" w:rsidRDefault="00000000">
            <w:pPr>
              <w:widowControl/>
              <w:adjustRightInd w:val="0"/>
              <w:snapToGrid w:val="0"/>
              <w:spacing w:afterLines="50" w:after="156" w:line="312" w:lineRule="auto"/>
              <w:jc w:val="left"/>
              <w:rPr>
                <w:rFonts w:ascii="Times New Roman" w:eastAsia="宋体" w:hAnsi="Times New Roman" w:cs="Times New Roman"/>
                <w:szCs w:val="21"/>
              </w:rPr>
            </w:pPr>
            <w:r>
              <w:rPr>
                <w:rFonts w:ascii="Times New Roman" w:eastAsia="宋体" w:hAnsi="Times New Roman" w:cs="Times New Roman"/>
                <w:kern w:val="0"/>
                <w:szCs w:val="21"/>
              </w:rPr>
              <w:t>1:3</w:t>
            </w:r>
          </w:p>
        </w:tc>
        <w:tc>
          <w:tcPr>
            <w:tcW w:w="1701" w:type="dxa"/>
            <w:tcBorders>
              <w:top w:val="single" w:sz="4" w:space="0" w:color="auto"/>
              <w:left w:val="nil"/>
              <w:bottom w:val="single" w:sz="4" w:space="0" w:color="auto"/>
              <w:right w:val="nil"/>
            </w:tcBorders>
            <w:shd w:val="clear" w:color="auto" w:fill="auto"/>
            <w:noWrap/>
          </w:tcPr>
          <w:p w14:paraId="6E9A3517" w14:textId="77777777" w:rsidR="00EA557E" w:rsidRDefault="00000000">
            <w:pPr>
              <w:widowControl/>
              <w:adjustRightInd w:val="0"/>
              <w:snapToGrid w:val="0"/>
              <w:spacing w:afterLines="50" w:after="156" w:line="312" w:lineRule="auto"/>
              <w:jc w:val="left"/>
              <w:rPr>
                <w:rFonts w:ascii="Times New Roman" w:eastAsia="宋体" w:hAnsi="Times New Roman" w:cs="Times New Roman"/>
                <w:szCs w:val="21"/>
              </w:rPr>
            </w:pPr>
            <w:r>
              <w:rPr>
                <w:rFonts w:ascii="Times New Roman" w:eastAsia="宋体" w:hAnsi="Times New Roman" w:cs="Times New Roman"/>
                <w:kern w:val="0"/>
                <w:szCs w:val="21"/>
              </w:rPr>
              <w:t>1:4</w:t>
            </w:r>
          </w:p>
        </w:tc>
      </w:tr>
      <w:tr w:rsidR="00EA557E" w14:paraId="0BF8D039" w14:textId="77777777">
        <w:trPr>
          <w:trHeight w:val="320"/>
          <w:jc w:val="center"/>
        </w:trPr>
        <w:tc>
          <w:tcPr>
            <w:tcW w:w="1418" w:type="dxa"/>
            <w:tcBorders>
              <w:top w:val="single" w:sz="4" w:space="0" w:color="auto"/>
              <w:left w:val="nil"/>
              <w:bottom w:val="single" w:sz="4" w:space="0" w:color="auto"/>
              <w:right w:val="nil"/>
            </w:tcBorders>
            <w:shd w:val="clear" w:color="auto" w:fill="auto"/>
            <w:noWrap/>
          </w:tcPr>
          <w:p w14:paraId="18767227" w14:textId="77777777" w:rsidR="00EA557E" w:rsidRDefault="00000000">
            <w:pPr>
              <w:widowControl/>
              <w:adjustRightInd w:val="0"/>
              <w:snapToGrid w:val="0"/>
              <w:spacing w:afterLines="50" w:after="156" w:line="312" w:lineRule="auto"/>
              <w:jc w:val="left"/>
              <w:rPr>
                <w:rFonts w:ascii="Times New Roman" w:eastAsia="宋体" w:hAnsi="Times New Roman" w:cs="Times New Roman"/>
                <w:szCs w:val="21"/>
              </w:rPr>
            </w:pPr>
            <w:r>
              <w:rPr>
                <w:rFonts w:ascii="Times New Roman" w:eastAsia="宋体" w:hAnsi="Times New Roman" w:cs="Times New Roman"/>
                <w:kern w:val="0"/>
                <w:szCs w:val="21"/>
              </w:rPr>
              <w:t>AR21/αCD</w:t>
            </w:r>
          </w:p>
        </w:tc>
        <w:tc>
          <w:tcPr>
            <w:tcW w:w="1701" w:type="dxa"/>
            <w:tcBorders>
              <w:top w:val="single" w:sz="4" w:space="0" w:color="auto"/>
              <w:left w:val="nil"/>
              <w:bottom w:val="single" w:sz="4" w:space="0" w:color="auto"/>
              <w:right w:val="nil"/>
            </w:tcBorders>
            <w:shd w:val="clear" w:color="auto" w:fill="auto"/>
            <w:noWrap/>
          </w:tcPr>
          <w:p w14:paraId="1305FFC3" w14:textId="77777777" w:rsidR="00EA557E" w:rsidRDefault="00000000">
            <w:pPr>
              <w:widowControl/>
              <w:adjustRightInd w:val="0"/>
              <w:snapToGrid w:val="0"/>
              <w:spacing w:afterLines="50" w:after="156" w:line="312" w:lineRule="auto"/>
              <w:rPr>
                <w:rFonts w:ascii="Times New Roman" w:eastAsia="宋体" w:hAnsi="Times New Roman" w:cs="Times New Roman"/>
                <w:szCs w:val="21"/>
              </w:rPr>
            </w:pPr>
            <w:r>
              <w:rPr>
                <w:rFonts w:ascii="Times New Roman" w:eastAsia="宋体" w:hAnsi="Times New Roman" w:cs="Times New Roman"/>
                <w:kern w:val="0"/>
                <w:szCs w:val="21"/>
              </w:rPr>
              <w:t>1.05% ± 1.39%</w:t>
            </w:r>
          </w:p>
        </w:tc>
        <w:tc>
          <w:tcPr>
            <w:tcW w:w="1701" w:type="dxa"/>
            <w:tcBorders>
              <w:top w:val="single" w:sz="4" w:space="0" w:color="auto"/>
              <w:left w:val="nil"/>
              <w:bottom w:val="single" w:sz="4" w:space="0" w:color="auto"/>
              <w:right w:val="nil"/>
            </w:tcBorders>
            <w:shd w:val="clear" w:color="auto" w:fill="auto"/>
            <w:noWrap/>
          </w:tcPr>
          <w:p w14:paraId="68319B27" w14:textId="77777777" w:rsidR="00EA557E" w:rsidRDefault="00000000">
            <w:pPr>
              <w:widowControl/>
              <w:adjustRightInd w:val="0"/>
              <w:snapToGrid w:val="0"/>
              <w:spacing w:afterLines="50" w:after="156" w:line="312" w:lineRule="auto"/>
              <w:rPr>
                <w:rFonts w:ascii="Times New Roman" w:eastAsia="宋体" w:hAnsi="Times New Roman" w:cs="Times New Roman"/>
                <w:szCs w:val="21"/>
              </w:rPr>
            </w:pPr>
            <w:r>
              <w:rPr>
                <w:rFonts w:ascii="Times New Roman" w:eastAsia="宋体" w:hAnsi="Times New Roman" w:cs="Times New Roman"/>
                <w:kern w:val="0"/>
                <w:szCs w:val="21"/>
              </w:rPr>
              <w:t>79.00% ± 0.14%</w:t>
            </w:r>
          </w:p>
        </w:tc>
        <w:tc>
          <w:tcPr>
            <w:tcW w:w="1701" w:type="dxa"/>
            <w:tcBorders>
              <w:top w:val="single" w:sz="4" w:space="0" w:color="auto"/>
              <w:left w:val="nil"/>
              <w:bottom w:val="single" w:sz="4" w:space="0" w:color="auto"/>
              <w:right w:val="nil"/>
            </w:tcBorders>
            <w:shd w:val="clear" w:color="auto" w:fill="auto"/>
            <w:noWrap/>
          </w:tcPr>
          <w:p w14:paraId="521A13AA" w14:textId="77777777" w:rsidR="00EA557E" w:rsidRDefault="00000000">
            <w:pPr>
              <w:widowControl/>
              <w:adjustRightInd w:val="0"/>
              <w:snapToGrid w:val="0"/>
              <w:spacing w:afterLines="50" w:after="156" w:line="312" w:lineRule="auto"/>
              <w:rPr>
                <w:rFonts w:ascii="Times New Roman" w:eastAsia="宋体" w:hAnsi="Times New Roman" w:cs="Times New Roman"/>
                <w:szCs w:val="21"/>
              </w:rPr>
            </w:pPr>
            <w:r>
              <w:rPr>
                <w:rFonts w:ascii="Times New Roman" w:eastAsia="宋体" w:hAnsi="Times New Roman" w:cs="Times New Roman"/>
                <w:kern w:val="0"/>
                <w:szCs w:val="21"/>
              </w:rPr>
              <w:t>86.18% ± 0.10%</w:t>
            </w:r>
          </w:p>
        </w:tc>
        <w:tc>
          <w:tcPr>
            <w:tcW w:w="1701" w:type="dxa"/>
            <w:tcBorders>
              <w:top w:val="single" w:sz="4" w:space="0" w:color="auto"/>
              <w:left w:val="nil"/>
              <w:bottom w:val="single" w:sz="4" w:space="0" w:color="auto"/>
              <w:right w:val="nil"/>
            </w:tcBorders>
            <w:shd w:val="clear" w:color="auto" w:fill="auto"/>
            <w:noWrap/>
          </w:tcPr>
          <w:p w14:paraId="4D713B32" w14:textId="77777777" w:rsidR="00EA557E" w:rsidRDefault="00000000">
            <w:pPr>
              <w:widowControl/>
              <w:adjustRightInd w:val="0"/>
              <w:snapToGrid w:val="0"/>
              <w:spacing w:afterLines="50" w:after="156" w:line="312" w:lineRule="auto"/>
              <w:rPr>
                <w:rFonts w:ascii="Times New Roman" w:eastAsia="宋体" w:hAnsi="Times New Roman" w:cs="Times New Roman"/>
                <w:szCs w:val="21"/>
              </w:rPr>
            </w:pPr>
            <w:r>
              <w:rPr>
                <w:rFonts w:ascii="Times New Roman" w:eastAsia="宋体" w:hAnsi="Times New Roman" w:cs="Times New Roman"/>
                <w:kern w:val="0"/>
                <w:szCs w:val="21"/>
              </w:rPr>
              <w:t>93.79% ± 0.07%</w:t>
            </w:r>
          </w:p>
        </w:tc>
      </w:tr>
    </w:tbl>
    <w:p w14:paraId="6358D320" w14:textId="77777777" w:rsidR="00EA557E" w:rsidRDefault="00000000">
      <w:pPr>
        <w:adjustRightInd w:val="0"/>
        <w:snapToGrid w:val="0"/>
        <w:spacing w:line="360" w:lineRule="auto"/>
        <w:jc w:val="left"/>
        <w:rPr>
          <w:rFonts w:ascii="Times New Roman" w:eastAsia="等线" w:hAnsi="Times New Roman" w:cs="Times New Roman"/>
          <w:szCs w:val="21"/>
        </w:rPr>
      </w:pPr>
      <w:r>
        <w:rPr>
          <w:rFonts w:ascii="Times New Roman" w:eastAsia="等线" w:hAnsi="Times New Roman" w:cs="Times New Roman"/>
          <w:szCs w:val="21"/>
        </w:rPr>
        <w:sym w:font="Symbol" w:char="002A"/>
      </w:r>
      <w:r>
        <w:rPr>
          <w:rFonts w:ascii="Times New Roman" w:eastAsia="等线" w:hAnsi="Times New Roman" w:cs="Times New Roman"/>
          <w:szCs w:val="21"/>
        </w:rPr>
        <w:t xml:space="preserve"> The molar ratio of AR21 to </w:t>
      </w:r>
      <w:r>
        <w:rPr>
          <w:rFonts w:ascii="Times New Roman" w:eastAsia="宋体" w:hAnsi="Times New Roman" w:cs="Times New Roman"/>
          <w:kern w:val="0"/>
          <w:szCs w:val="21"/>
        </w:rPr>
        <w:t>α-</w:t>
      </w:r>
      <w:r>
        <w:rPr>
          <w:rFonts w:ascii="Times New Roman" w:eastAsia="等线" w:hAnsi="Times New Roman" w:cs="Times New Roman"/>
          <w:szCs w:val="21"/>
        </w:rPr>
        <w:t xml:space="preserve">CD added </w:t>
      </w:r>
      <w:r>
        <w:rPr>
          <w:rFonts w:ascii="Times New Roman" w:eastAsia="等线" w:hAnsi="Times New Roman" w:cs="Times New Roman" w:hint="eastAsia"/>
          <w:szCs w:val="21"/>
        </w:rPr>
        <w:t>before</w:t>
      </w:r>
      <w:r>
        <w:rPr>
          <w:rFonts w:ascii="Times New Roman" w:eastAsia="等线" w:hAnsi="Times New Roman" w:cs="Times New Roman"/>
          <w:szCs w:val="21"/>
        </w:rPr>
        <w:t xml:space="preserve"> the inclusion process.</w:t>
      </w:r>
    </w:p>
    <w:p w14:paraId="61A86A35" w14:textId="77777777" w:rsidR="00EA557E" w:rsidRDefault="00EA557E">
      <w:pPr>
        <w:widowControl/>
        <w:adjustRightInd w:val="0"/>
        <w:snapToGrid w:val="0"/>
        <w:spacing w:line="360" w:lineRule="auto"/>
        <w:ind w:firstLineChars="100" w:firstLine="210"/>
        <w:rPr>
          <w:rFonts w:ascii="Times New Roman" w:hAnsi="Times New Roman" w:cs="Times New Roman"/>
          <w:kern w:val="0"/>
          <w:szCs w:val="21"/>
        </w:rPr>
      </w:pPr>
    </w:p>
    <w:p w14:paraId="14FF6F90" w14:textId="77777777" w:rsidR="00EA557E" w:rsidRDefault="00000000">
      <w:pPr>
        <w:widowControl/>
        <w:adjustRightInd w:val="0"/>
        <w:snapToGrid w:val="0"/>
        <w:spacing w:line="360" w:lineRule="auto"/>
        <w:ind w:firstLineChars="100" w:firstLine="210"/>
        <w:rPr>
          <w:rFonts w:ascii="Times New Roman" w:hAnsi="Times New Roman" w:cs="Times New Roman"/>
          <w:kern w:val="0"/>
          <w:szCs w:val="21"/>
        </w:rPr>
      </w:pPr>
      <w:r>
        <w:rPr>
          <w:rFonts w:ascii="Times New Roman" w:hAnsi="Times New Roman" w:cs="Times New Roman"/>
          <w:kern w:val="0"/>
          <w:szCs w:val="21"/>
        </w:rPr>
        <w:t>The inclusion rates of AR21 were calculated based on the following equation:</w:t>
      </w:r>
    </w:p>
    <w:p w14:paraId="2667A7E7" w14:textId="77777777" w:rsidR="00EA557E" w:rsidRDefault="00000000">
      <w:pPr>
        <w:widowControl/>
        <w:adjustRightInd w:val="0"/>
        <w:snapToGrid w:val="0"/>
        <w:spacing w:line="360" w:lineRule="auto"/>
        <w:ind w:firstLineChars="100" w:firstLine="210"/>
        <w:rPr>
          <w:rFonts w:ascii="Times New Roman" w:hAnsi="Times New Roman" w:cs="Times New Roman"/>
          <w:kern w:val="0"/>
          <w:szCs w:val="21"/>
        </w:rPr>
      </w:pPr>
      <w:r>
        <w:rPr>
          <w:rFonts w:ascii="Times New Roman" w:hAnsi="Times New Roman" w:cs="Times New Roman"/>
          <w:kern w:val="0"/>
          <w:szCs w:val="21"/>
        </w:rPr>
        <w:t>Inclusion rate (%) = [(c</w:t>
      </w:r>
      <w:r>
        <w:rPr>
          <w:rFonts w:ascii="Times New Roman" w:hAnsi="Times New Roman" w:cs="Times New Roman"/>
          <w:kern w:val="0"/>
          <w:szCs w:val="21"/>
          <w:vertAlign w:val="subscript"/>
        </w:rPr>
        <w:t>total</w:t>
      </w:r>
      <w:r>
        <w:rPr>
          <w:rFonts w:ascii="Times New Roman" w:hAnsi="Times New Roman" w:cs="Times New Roman"/>
          <w:kern w:val="0"/>
          <w:szCs w:val="21"/>
        </w:rPr>
        <w:t>−c</w:t>
      </w:r>
      <w:r>
        <w:rPr>
          <w:rFonts w:ascii="Times New Roman" w:hAnsi="Times New Roman" w:cs="Times New Roman"/>
          <w:kern w:val="0"/>
          <w:szCs w:val="21"/>
          <w:vertAlign w:val="subscript"/>
        </w:rPr>
        <w:t>1</w:t>
      </w:r>
      <w:r>
        <w:rPr>
          <w:rFonts w:ascii="Times New Roman" w:hAnsi="Times New Roman" w:cs="Times New Roman"/>
          <w:kern w:val="0"/>
          <w:szCs w:val="21"/>
        </w:rPr>
        <w:t xml:space="preserve">) / </w:t>
      </w:r>
      <w:proofErr w:type="spellStart"/>
      <w:r>
        <w:rPr>
          <w:rFonts w:ascii="Times New Roman" w:hAnsi="Times New Roman" w:cs="Times New Roman"/>
          <w:kern w:val="0"/>
          <w:szCs w:val="21"/>
        </w:rPr>
        <w:t>c</w:t>
      </w:r>
      <w:r>
        <w:rPr>
          <w:rFonts w:ascii="Times New Roman" w:hAnsi="Times New Roman" w:cs="Times New Roman"/>
          <w:kern w:val="0"/>
          <w:szCs w:val="21"/>
          <w:vertAlign w:val="subscript"/>
        </w:rPr>
        <w:t>total</w:t>
      </w:r>
      <w:proofErr w:type="spellEnd"/>
      <w:r>
        <w:rPr>
          <w:rFonts w:ascii="Times New Roman" w:hAnsi="Times New Roman" w:cs="Times New Roman"/>
          <w:kern w:val="0"/>
          <w:szCs w:val="21"/>
        </w:rPr>
        <w:t xml:space="preserve">] </w:t>
      </w:r>
      <w:r>
        <w:rPr>
          <w:rFonts w:ascii="Times New Roman" w:hAnsi="Times New Roman" w:cs="Times New Roman"/>
          <w:kern w:val="0"/>
          <w:szCs w:val="21"/>
        </w:rPr>
        <w:sym w:font="Symbol" w:char="F0B4"/>
      </w:r>
      <w:r>
        <w:rPr>
          <w:rFonts w:ascii="Times New Roman" w:hAnsi="Times New Roman" w:cs="Times New Roman"/>
          <w:kern w:val="0"/>
          <w:szCs w:val="21"/>
        </w:rPr>
        <w:t xml:space="preserve"> 100%</w:t>
      </w:r>
    </w:p>
    <w:p w14:paraId="71A1126B" w14:textId="77777777" w:rsidR="00EA557E" w:rsidRDefault="00000000">
      <w:pPr>
        <w:ind w:firstLineChars="100" w:firstLine="210"/>
        <w:rPr>
          <w:rFonts w:ascii="Times New Roman" w:hAnsi="Times New Roman" w:cs="Times New Roman"/>
          <w:kern w:val="0"/>
          <w:szCs w:val="21"/>
        </w:rPr>
      </w:pPr>
      <w:r>
        <w:rPr>
          <w:rFonts w:ascii="Times New Roman" w:hAnsi="Times New Roman" w:cs="Times New Roman"/>
          <w:kern w:val="0"/>
          <w:szCs w:val="21"/>
        </w:rPr>
        <w:t xml:space="preserve">where </w:t>
      </w:r>
      <w:proofErr w:type="spellStart"/>
      <w:r>
        <w:rPr>
          <w:rFonts w:ascii="Times New Roman" w:hAnsi="Times New Roman" w:cs="Times New Roman"/>
          <w:i/>
          <w:iCs/>
          <w:kern w:val="0"/>
          <w:szCs w:val="21"/>
        </w:rPr>
        <w:t>c</w:t>
      </w:r>
      <w:r>
        <w:rPr>
          <w:rFonts w:ascii="Times New Roman" w:hAnsi="Times New Roman" w:cs="Times New Roman"/>
          <w:i/>
          <w:iCs/>
          <w:kern w:val="0"/>
          <w:szCs w:val="21"/>
          <w:vertAlign w:val="subscript"/>
        </w:rPr>
        <w:t>total</w:t>
      </w:r>
      <w:proofErr w:type="spellEnd"/>
      <w:r>
        <w:rPr>
          <w:rFonts w:ascii="Times New Roman" w:hAnsi="Times New Roman" w:cs="Times New Roman"/>
          <w:i/>
          <w:iCs/>
          <w:kern w:val="0"/>
          <w:szCs w:val="21"/>
        </w:rPr>
        <w:t xml:space="preserve"> </w:t>
      </w:r>
      <w:r>
        <w:rPr>
          <w:rFonts w:ascii="Times New Roman" w:hAnsi="Times New Roman" w:cs="Times New Roman" w:hint="eastAsia"/>
          <w:kern w:val="0"/>
          <w:szCs w:val="21"/>
        </w:rPr>
        <w:t>and</w:t>
      </w:r>
      <w:r>
        <w:rPr>
          <w:rFonts w:ascii="Times New Roman" w:hAnsi="Times New Roman" w:cs="Times New Roman"/>
          <w:kern w:val="0"/>
          <w:szCs w:val="21"/>
        </w:rPr>
        <w:t xml:space="preserve"> </w:t>
      </w:r>
      <w:r>
        <w:rPr>
          <w:rFonts w:ascii="Times New Roman" w:hAnsi="Times New Roman" w:cs="Times New Roman"/>
          <w:i/>
          <w:iCs/>
          <w:kern w:val="0"/>
          <w:szCs w:val="21"/>
        </w:rPr>
        <w:t>c</w:t>
      </w:r>
      <w:r>
        <w:rPr>
          <w:rFonts w:ascii="Times New Roman" w:hAnsi="Times New Roman" w:cs="Times New Roman"/>
          <w:i/>
          <w:iCs/>
          <w:kern w:val="0"/>
          <w:szCs w:val="21"/>
          <w:vertAlign w:val="subscript"/>
        </w:rPr>
        <w:t>1</w:t>
      </w:r>
      <w:r>
        <w:rPr>
          <w:rFonts w:ascii="Times New Roman" w:hAnsi="Times New Roman" w:cs="Times New Roman"/>
          <w:kern w:val="0"/>
          <w:szCs w:val="21"/>
        </w:rPr>
        <w:t xml:space="preserve"> </w:t>
      </w:r>
      <w:r>
        <w:rPr>
          <w:rFonts w:ascii="Times New Roman" w:hAnsi="Times New Roman" w:cs="Times New Roman" w:hint="eastAsia"/>
          <w:kern w:val="0"/>
          <w:szCs w:val="21"/>
        </w:rPr>
        <w:t>were</w:t>
      </w:r>
      <w:r>
        <w:rPr>
          <w:rFonts w:ascii="Times New Roman" w:hAnsi="Times New Roman" w:cs="Times New Roman"/>
          <w:kern w:val="0"/>
          <w:szCs w:val="21"/>
        </w:rPr>
        <w:t xml:space="preserve"> the AR21 concentrations in the mixed solution before and after inclusion treatment. The AR21 concentrations were measured by HPLC method. To ensure the accuracy of analysis, methanol washing solutions were collected and the AR21 concentration in washing solutions were also included in the value of </w:t>
      </w:r>
      <w:r>
        <w:rPr>
          <w:rFonts w:ascii="Times New Roman" w:hAnsi="Times New Roman" w:cs="Times New Roman"/>
          <w:i/>
          <w:iCs/>
          <w:kern w:val="0"/>
          <w:szCs w:val="21"/>
        </w:rPr>
        <w:t>c</w:t>
      </w:r>
      <w:r>
        <w:rPr>
          <w:rFonts w:ascii="Times New Roman" w:hAnsi="Times New Roman" w:cs="Times New Roman"/>
          <w:i/>
          <w:iCs/>
          <w:kern w:val="0"/>
          <w:szCs w:val="21"/>
          <w:vertAlign w:val="subscript"/>
        </w:rPr>
        <w:t>1</w:t>
      </w:r>
      <w:r>
        <w:rPr>
          <w:rFonts w:ascii="Times New Roman" w:hAnsi="Times New Roman" w:cs="Times New Roman"/>
          <w:kern w:val="0"/>
          <w:szCs w:val="21"/>
        </w:rPr>
        <w:t>.</w:t>
      </w:r>
    </w:p>
    <w:p w14:paraId="4B4C9A57" w14:textId="77777777" w:rsidR="00EA557E" w:rsidRDefault="00EA557E">
      <w:pPr>
        <w:ind w:firstLineChars="100" w:firstLine="210"/>
        <w:rPr>
          <w:rFonts w:ascii="Times New Roman" w:hAnsi="Times New Roman" w:cs="Times New Roman"/>
          <w:kern w:val="0"/>
          <w:szCs w:val="21"/>
        </w:rPr>
      </w:pPr>
    </w:p>
    <w:p w14:paraId="54C9E507" w14:textId="77777777" w:rsidR="00EA557E" w:rsidRDefault="00EA557E">
      <w:pPr>
        <w:rPr>
          <w:rFonts w:ascii="Times New Roman" w:hAnsi="Times New Roman" w:cs="Times New Roman"/>
          <w:szCs w:val="21"/>
        </w:rPr>
      </w:pPr>
    </w:p>
    <w:p w14:paraId="60642D2F" w14:textId="77777777" w:rsidR="00EA557E" w:rsidRDefault="00EA557E">
      <w:pPr>
        <w:rPr>
          <w:rFonts w:ascii="Times New Roman" w:hAnsi="Times New Roman" w:cs="Times New Roman"/>
          <w:szCs w:val="21"/>
        </w:rPr>
      </w:pPr>
    </w:p>
    <w:p w14:paraId="7E2656A3" w14:textId="77777777" w:rsidR="00EA557E" w:rsidRDefault="00000000">
      <w:pPr>
        <w:widowControl/>
        <w:adjustRightInd w:val="0"/>
        <w:snapToGrid w:val="0"/>
        <w:spacing w:line="360" w:lineRule="auto"/>
        <w:jc w:val="center"/>
        <w:rPr>
          <w:rStyle w:val="fontstyle01"/>
          <w:rFonts w:ascii="Times New Roman" w:eastAsia="等线 Light" w:hAnsi="Times New Roman" w:cs="Times New Roman"/>
          <w:sz w:val="21"/>
          <w:szCs w:val="21"/>
        </w:rPr>
      </w:pPr>
      <w:r>
        <w:rPr>
          <w:rFonts w:ascii="Times New Roman" w:eastAsia="等线" w:hAnsi="Times New Roman" w:cs="Times New Roman"/>
          <w:b/>
          <w:bCs/>
          <w:kern w:val="24"/>
          <w:szCs w:val="21"/>
        </w:rPr>
        <w:t xml:space="preserve">Table S2 </w:t>
      </w:r>
      <w:r>
        <w:rPr>
          <w:rStyle w:val="fontstyle01"/>
          <w:rFonts w:ascii="Times New Roman" w:eastAsia="等线 Light" w:hAnsi="Times New Roman" w:cs="Times New Roman"/>
          <w:sz w:val="21"/>
          <w:szCs w:val="21"/>
        </w:rPr>
        <w:t>The fitted impedance parameters o</w:t>
      </w:r>
      <w:r>
        <w:rPr>
          <w:rFonts w:ascii="Times New Roman" w:eastAsia="CharisSIL" w:hAnsi="Times New Roman" w:cs="Times New Roman"/>
          <w:kern w:val="0"/>
          <w:szCs w:val="21"/>
        </w:rPr>
        <w:t>f different e</w:t>
      </w:r>
      <w:r>
        <w:rPr>
          <w:rStyle w:val="fontstyle01"/>
          <w:rFonts w:ascii="Times New Roman" w:eastAsia="等线 Light" w:hAnsi="Times New Roman" w:cs="Times New Roman"/>
          <w:sz w:val="21"/>
          <w:szCs w:val="21"/>
        </w:rPr>
        <w:t>lectrodes.</w:t>
      </w:r>
    </w:p>
    <w:tbl>
      <w:tblPr>
        <w:tblStyle w:val="ae"/>
        <w:tblW w:w="0" w:type="auto"/>
        <w:jc w:val="center"/>
        <w:tblBorders>
          <w:left w:val="none" w:sz="4" w:space="0" w:color="auto"/>
          <w:right w:val="none" w:sz="4" w:space="0" w:color="auto"/>
          <w:insideV w:val="none" w:sz="4" w:space="0" w:color="auto"/>
        </w:tblBorders>
        <w:tblLook w:val="04A0" w:firstRow="1" w:lastRow="0" w:firstColumn="1" w:lastColumn="0" w:noHBand="0" w:noVBand="1"/>
      </w:tblPr>
      <w:tblGrid>
        <w:gridCol w:w="5245"/>
        <w:gridCol w:w="992"/>
        <w:gridCol w:w="992"/>
      </w:tblGrid>
      <w:tr w:rsidR="00EA557E" w14:paraId="2E0BA082" w14:textId="77777777">
        <w:trPr>
          <w:jc w:val="center"/>
        </w:trPr>
        <w:tc>
          <w:tcPr>
            <w:tcW w:w="5245" w:type="dxa"/>
            <w:tcBorders>
              <w:top w:val="single" w:sz="4" w:space="0" w:color="auto"/>
              <w:left w:val="nil"/>
              <w:bottom w:val="single" w:sz="4" w:space="0" w:color="auto"/>
              <w:right w:val="nil"/>
            </w:tcBorders>
            <w:shd w:val="clear" w:color="auto" w:fill="auto"/>
            <w:tcMar>
              <w:left w:w="57" w:type="dxa"/>
              <w:right w:w="57" w:type="dxa"/>
            </w:tcMar>
            <w:vAlign w:val="center"/>
          </w:tcPr>
          <w:p w14:paraId="1FD6A101" w14:textId="77777777" w:rsidR="00EA557E" w:rsidRDefault="00000000">
            <w:pPr>
              <w:widowControl/>
              <w:adjustRightInd w:val="0"/>
              <w:snapToGrid w:val="0"/>
              <w:spacing w:afterLines="50" w:after="156" w:line="312" w:lineRule="auto"/>
              <w:jc w:val="left"/>
              <w:rPr>
                <w:rFonts w:ascii="Times New Roman" w:eastAsia="宋体" w:hAnsi="Times New Roman" w:cs="Times New Roman"/>
                <w:bCs/>
                <w:kern w:val="0"/>
                <w:szCs w:val="21"/>
              </w:rPr>
            </w:pPr>
            <w:r>
              <w:rPr>
                <w:rFonts w:ascii="Times New Roman" w:eastAsia="宋体" w:hAnsi="Times New Roman" w:cs="Times New Roman"/>
                <w:bCs/>
                <w:kern w:val="0"/>
                <w:szCs w:val="21"/>
              </w:rPr>
              <w:t>Electrode</w:t>
            </w:r>
          </w:p>
        </w:tc>
        <w:tc>
          <w:tcPr>
            <w:tcW w:w="992" w:type="dxa"/>
            <w:tcBorders>
              <w:top w:val="single" w:sz="4" w:space="0" w:color="auto"/>
              <w:left w:val="nil"/>
              <w:bottom w:val="single" w:sz="4" w:space="0" w:color="auto"/>
              <w:right w:val="nil"/>
            </w:tcBorders>
            <w:shd w:val="clear" w:color="auto" w:fill="auto"/>
            <w:tcMar>
              <w:left w:w="57" w:type="dxa"/>
              <w:right w:w="57" w:type="dxa"/>
            </w:tcMar>
            <w:vAlign w:val="center"/>
          </w:tcPr>
          <w:p w14:paraId="07EB6B86" w14:textId="77777777" w:rsidR="00EA557E" w:rsidRDefault="00000000">
            <w:pPr>
              <w:widowControl/>
              <w:adjustRightInd w:val="0"/>
              <w:snapToGrid w:val="0"/>
              <w:spacing w:afterLines="50" w:after="156" w:line="312" w:lineRule="auto"/>
              <w:jc w:val="left"/>
              <w:rPr>
                <w:rFonts w:ascii="Times New Roman" w:eastAsia="宋体" w:hAnsi="Times New Roman" w:cs="Times New Roman"/>
                <w:bCs/>
                <w:kern w:val="0"/>
                <w:szCs w:val="21"/>
              </w:rPr>
            </w:pPr>
            <w:r>
              <w:rPr>
                <w:rFonts w:ascii="Times New Roman" w:eastAsia="宋体" w:hAnsi="Times New Roman" w:cs="Times New Roman"/>
                <w:bCs/>
                <w:kern w:val="0"/>
                <w:szCs w:val="21"/>
              </w:rPr>
              <w:t>Rs (Ω)</w:t>
            </w:r>
          </w:p>
        </w:tc>
        <w:tc>
          <w:tcPr>
            <w:tcW w:w="992" w:type="dxa"/>
            <w:tcBorders>
              <w:top w:val="single" w:sz="4" w:space="0" w:color="auto"/>
              <w:left w:val="nil"/>
              <w:bottom w:val="single" w:sz="4" w:space="0" w:color="auto"/>
              <w:right w:val="nil"/>
            </w:tcBorders>
            <w:shd w:val="clear" w:color="auto" w:fill="auto"/>
            <w:tcMar>
              <w:left w:w="57" w:type="dxa"/>
              <w:right w:w="57" w:type="dxa"/>
            </w:tcMar>
            <w:vAlign w:val="center"/>
          </w:tcPr>
          <w:p w14:paraId="6D88A415" w14:textId="77777777" w:rsidR="00EA557E" w:rsidRDefault="00000000">
            <w:pPr>
              <w:widowControl/>
              <w:adjustRightInd w:val="0"/>
              <w:snapToGrid w:val="0"/>
              <w:spacing w:afterLines="50" w:after="156" w:line="312" w:lineRule="auto"/>
              <w:jc w:val="left"/>
              <w:rPr>
                <w:rFonts w:ascii="Times New Roman" w:eastAsia="宋体" w:hAnsi="Times New Roman" w:cs="Times New Roman"/>
                <w:bCs/>
                <w:kern w:val="0"/>
                <w:szCs w:val="21"/>
              </w:rPr>
            </w:pPr>
            <w:proofErr w:type="spellStart"/>
            <w:r>
              <w:rPr>
                <w:rFonts w:ascii="Times New Roman" w:eastAsia="宋体" w:hAnsi="Times New Roman" w:cs="Times New Roman"/>
                <w:bCs/>
                <w:kern w:val="0"/>
                <w:szCs w:val="21"/>
              </w:rPr>
              <w:t>Rct</w:t>
            </w:r>
            <w:proofErr w:type="spellEnd"/>
            <w:r>
              <w:rPr>
                <w:rFonts w:ascii="Times New Roman" w:eastAsia="宋体" w:hAnsi="Times New Roman" w:cs="Times New Roman"/>
                <w:bCs/>
                <w:kern w:val="0"/>
                <w:szCs w:val="21"/>
              </w:rPr>
              <w:t xml:space="preserve"> (Ω)</w:t>
            </w:r>
          </w:p>
        </w:tc>
      </w:tr>
      <w:tr w:rsidR="00EA557E" w14:paraId="4FBBAE13" w14:textId="77777777">
        <w:trPr>
          <w:jc w:val="center"/>
        </w:trPr>
        <w:tc>
          <w:tcPr>
            <w:tcW w:w="5245" w:type="dxa"/>
            <w:tcBorders>
              <w:top w:val="single" w:sz="4" w:space="0" w:color="auto"/>
              <w:left w:val="nil"/>
              <w:bottom w:val="nil"/>
              <w:right w:val="nil"/>
            </w:tcBorders>
            <w:shd w:val="clear" w:color="auto" w:fill="auto"/>
            <w:tcMar>
              <w:left w:w="57" w:type="dxa"/>
              <w:right w:w="57" w:type="dxa"/>
            </w:tcMar>
            <w:vAlign w:val="center"/>
          </w:tcPr>
          <w:p w14:paraId="0F195DD7"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GE</w:t>
            </w:r>
          </w:p>
        </w:tc>
        <w:tc>
          <w:tcPr>
            <w:tcW w:w="992" w:type="dxa"/>
            <w:tcBorders>
              <w:top w:val="single" w:sz="4" w:space="0" w:color="auto"/>
              <w:left w:val="nil"/>
              <w:bottom w:val="nil"/>
              <w:right w:val="nil"/>
            </w:tcBorders>
            <w:shd w:val="clear" w:color="auto" w:fill="auto"/>
            <w:tcMar>
              <w:left w:w="57" w:type="dxa"/>
              <w:right w:w="57" w:type="dxa"/>
            </w:tcMar>
            <w:vAlign w:val="center"/>
          </w:tcPr>
          <w:p w14:paraId="5B31C6F0"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106.7</w:t>
            </w:r>
          </w:p>
        </w:tc>
        <w:tc>
          <w:tcPr>
            <w:tcW w:w="992" w:type="dxa"/>
            <w:tcBorders>
              <w:top w:val="single" w:sz="4" w:space="0" w:color="auto"/>
              <w:left w:val="nil"/>
              <w:bottom w:val="nil"/>
              <w:right w:val="nil"/>
            </w:tcBorders>
            <w:shd w:val="clear" w:color="auto" w:fill="auto"/>
            <w:tcMar>
              <w:left w:w="57" w:type="dxa"/>
              <w:right w:w="57" w:type="dxa"/>
            </w:tcMar>
            <w:vAlign w:val="center"/>
          </w:tcPr>
          <w:p w14:paraId="1FA9CA1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714.7</w:t>
            </w:r>
          </w:p>
        </w:tc>
      </w:tr>
      <w:tr w:rsidR="00EA557E" w14:paraId="4EABA0A3" w14:textId="77777777">
        <w:trPr>
          <w:jc w:val="center"/>
        </w:trPr>
        <w:tc>
          <w:tcPr>
            <w:tcW w:w="5245" w:type="dxa"/>
            <w:tcBorders>
              <w:top w:val="nil"/>
              <w:left w:val="nil"/>
              <w:bottom w:val="nil"/>
              <w:right w:val="nil"/>
            </w:tcBorders>
            <w:shd w:val="clear" w:color="auto" w:fill="auto"/>
            <w:tcMar>
              <w:left w:w="57" w:type="dxa"/>
              <w:right w:w="57" w:type="dxa"/>
            </w:tcMar>
            <w:vAlign w:val="center"/>
          </w:tcPr>
          <w:p w14:paraId="6E11EC30"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MXene/GE</w:t>
            </w:r>
          </w:p>
        </w:tc>
        <w:tc>
          <w:tcPr>
            <w:tcW w:w="992" w:type="dxa"/>
            <w:tcBorders>
              <w:top w:val="nil"/>
              <w:left w:val="nil"/>
              <w:bottom w:val="nil"/>
              <w:right w:val="nil"/>
            </w:tcBorders>
            <w:shd w:val="clear" w:color="auto" w:fill="auto"/>
            <w:tcMar>
              <w:left w:w="57" w:type="dxa"/>
              <w:right w:w="57" w:type="dxa"/>
            </w:tcMar>
            <w:vAlign w:val="center"/>
          </w:tcPr>
          <w:p w14:paraId="409ECCB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90.1</w:t>
            </w:r>
          </w:p>
        </w:tc>
        <w:tc>
          <w:tcPr>
            <w:tcW w:w="992" w:type="dxa"/>
            <w:tcBorders>
              <w:top w:val="nil"/>
              <w:left w:val="nil"/>
              <w:bottom w:val="nil"/>
              <w:right w:val="nil"/>
            </w:tcBorders>
            <w:shd w:val="clear" w:color="auto" w:fill="auto"/>
            <w:tcMar>
              <w:left w:w="57" w:type="dxa"/>
              <w:right w:w="57" w:type="dxa"/>
            </w:tcMar>
            <w:vAlign w:val="center"/>
          </w:tcPr>
          <w:p w14:paraId="27219707"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85.3</w:t>
            </w:r>
          </w:p>
        </w:tc>
      </w:tr>
      <w:tr w:rsidR="00EA557E" w14:paraId="320BF975" w14:textId="77777777">
        <w:trPr>
          <w:jc w:val="center"/>
        </w:trPr>
        <w:tc>
          <w:tcPr>
            <w:tcW w:w="5245" w:type="dxa"/>
            <w:tcBorders>
              <w:top w:val="nil"/>
              <w:left w:val="nil"/>
              <w:bottom w:val="nil"/>
              <w:right w:val="nil"/>
            </w:tcBorders>
            <w:shd w:val="clear" w:color="auto" w:fill="auto"/>
            <w:tcMar>
              <w:left w:w="57" w:type="dxa"/>
              <w:right w:w="57" w:type="dxa"/>
            </w:tcMar>
            <w:vAlign w:val="center"/>
          </w:tcPr>
          <w:p w14:paraId="293E76CA"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DMIP/MXene/GE</w:t>
            </w:r>
          </w:p>
        </w:tc>
        <w:tc>
          <w:tcPr>
            <w:tcW w:w="992" w:type="dxa"/>
            <w:tcBorders>
              <w:top w:val="nil"/>
              <w:left w:val="nil"/>
              <w:bottom w:val="nil"/>
              <w:right w:val="nil"/>
            </w:tcBorders>
            <w:shd w:val="clear" w:color="auto" w:fill="auto"/>
            <w:tcMar>
              <w:left w:w="57" w:type="dxa"/>
              <w:right w:w="57" w:type="dxa"/>
            </w:tcMar>
            <w:vAlign w:val="center"/>
          </w:tcPr>
          <w:p w14:paraId="5C5FFA99"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92.3</w:t>
            </w:r>
          </w:p>
        </w:tc>
        <w:tc>
          <w:tcPr>
            <w:tcW w:w="992" w:type="dxa"/>
            <w:tcBorders>
              <w:top w:val="nil"/>
              <w:left w:val="nil"/>
              <w:bottom w:val="nil"/>
              <w:right w:val="nil"/>
            </w:tcBorders>
            <w:shd w:val="clear" w:color="auto" w:fill="auto"/>
            <w:tcMar>
              <w:left w:w="57" w:type="dxa"/>
              <w:right w:w="57" w:type="dxa"/>
            </w:tcMar>
            <w:vAlign w:val="center"/>
          </w:tcPr>
          <w:p w14:paraId="691DA9E7"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110.5</w:t>
            </w:r>
          </w:p>
        </w:tc>
      </w:tr>
      <w:tr w:rsidR="00EA557E" w14:paraId="55B7CD68" w14:textId="77777777">
        <w:trPr>
          <w:jc w:val="center"/>
        </w:trPr>
        <w:tc>
          <w:tcPr>
            <w:tcW w:w="5245" w:type="dxa"/>
            <w:tcBorders>
              <w:top w:val="nil"/>
              <w:left w:val="nil"/>
              <w:bottom w:val="nil"/>
              <w:right w:val="nil"/>
            </w:tcBorders>
            <w:shd w:val="clear" w:color="auto" w:fill="auto"/>
            <w:tcMar>
              <w:left w:w="57" w:type="dxa"/>
              <w:right w:w="57" w:type="dxa"/>
            </w:tcMar>
            <w:vAlign w:val="center"/>
          </w:tcPr>
          <w:p w14:paraId="106DBE9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SMIP/MXene/GE</w:t>
            </w:r>
          </w:p>
        </w:tc>
        <w:tc>
          <w:tcPr>
            <w:tcW w:w="992" w:type="dxa"/>
            <w:tcBorders>
              <w:top w:val="nil"/>
              <w:left w:val="nil"/>
              <w:bottom w:val="nil"/>
              <w:right w:val="nil"/>
            </w:tcBorders>
            <w:shd w:val="clear" w:color="auto" w:fill="auto"/>
            <w:tcMar>
              <w:left w:w="57" w:type="dxa"/>
              <w:right w:w="57" w:type="dxa"/>
            </w:tcMar>
            <w:vAlign w:val="center"/>
          </w:tcPr>
          <w:p w14:paraId="5D368751"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81.6</w:t>
            </w:r>
          </w:p>
        </w:tc>
        <w:tc>
          <w:tcPr>
            <w:tcW w:w="992" w:type="dxa"/>
            <w:tcBorders>
              <w:top w:val="nil"/>
              <w:left w:val="nil"/>
              <w:bottom w:val="nil"/>
              <w:right w:val="nil"/>
            </w:tcBorders>
            <w:shd w:val="clear" w:color="auto" w:fill="auto"/>
            <w:tcMar>
              <w:left w:w="57" w:type="dxa"/>
              <w:right w:w="57" w:type="dxa"/>
            </w:tcMar>
            <w:vAlign w:val="center"/>
          </w:tcPr>
          <w:p w14:paraId="0FF2190D"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189.3</w:t>
            </w:r>
          </w:p>
        </w:tc>
      </w:tr>
      <w:tr w:rsidR="00EA557E" w14:paraId="1A321701" w14:textId="77777777">
        <w:trPr>
          <w:jc w:val="center"/>
        </w:trPr>
        <w:tc>
          <w:tcPr>
            <w:tcW w:w="5245" w:type="dxa"/>
            <w:tcBorders>
              <w:top w:val="nil"/>
              <w:left w:val="nil"/>
              <w:bottom w:val="nil"/>
              <w:right w:val="nil"/>
            </w:tcBorders>
            <w:shd w:val="clear" w:color="auto" w:fill="auto"/>
            <w:tcMar>
              <w:left w:w="57" w:type="dxa"/>
              <w:right w:w="57" w:type="dxa"/>
            </w:tcMar>
            <w:vAlign w:val="center"/>
          </w:tcPr>
          <w:p w14:paraId="074FE5C7"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NIP/MXene/GE</w:t>
            </w:r>
          </w:p>
        </w:tc>
        <w:tc>
          <w:tcPr>
            <w:tcW w:w="992" w:type="dxa"/>
            <w:tcBorders>
              <w:top w:val="nil"/>
              <w:left w:val="nil"/>
              <w:bottom w:val="nil"/>
              <w:right w:val="nil"/>
            </w:tcBorders>
            <w:shd w:val="clear" w:color="auto" w:fill="auto"/>
            <w:tcMar>
              <w:left w:w="57" w:type="dxa"/>
              <w:right w:w="57" w:type="dxa"/>
            </w:tcMar>
            <w:vAlign w:val="center"/>
          </w:tcPr>
          <w:p w14:paraId="1F2EB25A"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88.0</w:t>
            </w:r>
          </w:p>
        </w:tc>
        <w:tc>
          <w:tcPr>
            <w:tcW w:w="992" w:type="dxa"/>
            <w:tcBorders>
              <w:top w:val="nil"/>
              <w:left w:val="nil"/>
              <w:bottom w:val="nil"/>
              <w:right w:val="nil"/>
            </w:tcBorders>
            <w:shd w:val="clear" w:color="auto" w:fill="auto"/>
            <w:tcMar>
              <w:left w:w="57" w:type="dxa"/>
              <w:right w:w="57" w:type="dxa"/>
            </w:tcMar>
            <w:vAlign w:val="center"/>
          </w:tcPr>
          <w:p w14:paraId="5D7CDCD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299.4</w:t>
            </w:r>
          </w:p>
        </w:tc>
      </w:tr>
      <w:tr w:rsidR="00EA557E" w14:paraId="3E73A85F" w14:textId="77777777">
        <w:trPr>
          <w:jc w:val="center"/>
        </w:trPr>
        <w:tc>
          <w:tcPr>
            <w:tcW w:w="5245" w:type="dxa"/>
            <w:tcBorders>
              <w:top w:val="nil"/>
              <w:left w:val="nil"/>
              <w:bottom w:val="nil"/>
              <w:right w:val="nil"/>
            </w:tcBorders>
            <w:shd w:val="clear" w:color="auto" w:fill="auto"/>
            <w:tcMar>
              <w:left w:w="57" w:type="dxa"/>
              <w:right w:w="57" w:type="dxa"/>
            </w:tcMar>
            <w:vAlign w:val="center"/>
          </w:tcPr>
          <w:p w14:paraId="0EA9397D"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DMIP/MXene/GE after incubation of 0.5 μg·mL</w:t>
            </w:r>
            <w:r>
              <w:rPr>
                <w:rFonts w:ascii="Times New Roman" w:eastAsia="宋体" w:hAnsi="Times New Roman" w:cs="Times New Roman"/>
                <w:kern w:val="0"/>
                <w:szCs w:val="21"/>
                <w:vertAlign w:val="superscript"/>
              </w:rPr>
              <w:t>−1</w:t>
            </w:r>
            <w:r>
              <w:rPr>
                <w:rFonts w:ascii="Times New Roman" w:eastAsia="宋体" w:hAnsi="Times New Roman" w:cs="Times New Roman"/>
                <w:kern w:val="0"/>
                <w:szCs w:val="21"/>
              </w:rPr>
              <w:t xml:space="preserve"> AR21</w:t>
            </w:r>
          </w:p>
        </w:tc>
        <w:tc>
          <w:tcPr>
            <w:tcW w:w="992" w:type="dxa"/>
            <w:tcBorders>
              <w:top w:val="nil"/>
              <w:left w:val="nil"/>
              <w:bottom w:val="nil"/>
              <w:right w:val="nil"/>
            </w:tcBorders>
            <w:shd w:val="clear" w:color="auto" w:fill="auto"/>
            <w:tcMar>
              <w:left w:w="57" w:type="dxa"/>
              <w:right w:w="57" w:type="dxa"/>
            </w:tcMar>
            <w:vAlign w:val="center"/>
          </w:tcPr>
          <w:p w14:paraId="0D0F25C3"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96.9</w:t>
            </w:r>
          </w:p>
        </w:tc>
        <w:tc>
          <w:tcPr>
            <w:tcW w:w="992" w:type="dxa"/>
            <w:tcBorders>
              <w:top w:val="nil"/>
              <w:left w:val="nil"/>
              <w:bottom w:val="nil"/>
              <w:right w:val="nil"/>
            </w:tcBorders>
            <w:shd w:val="clear" w:color="auto" w:fill="auto"/>
            <w:tcMar>
              <w:left w:w="57" w:type="dxa"/>
              <w:right w:w="57" w:type="dxa"/>
            </w:tcMar>
            <w:vAlign w:val="center"/>
          </w:tcPr>
          <w:p w14:paraId="192869E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252.9</w:t>
            </w:r>
          </w:p>
        </w:tc>
      </w:tr>
      <w:tr w:rsidR="00EA557E" w14:paraId="4D6BBD46" w14:textId="77777777">
        <w:trPr>
          <w:jc w:val="center"/>
        </w:trPr>
        <w:tc>
          <w:tcPr>
            <w:tcW w:w="5245" w:type="dxa"/>
            <w:tcBorders>
              <w:top w:val="nil"/>
              <w:left w:val="nil"/>
              <w:bottom w:val="single" w:sz="4" w:space="0" w:color="auto"/>
              <w:right w:val="nil"/>
            </w:tcBorders>
            <w:shd w:val="clear" w:color="auto" w:fill="auto"/>
            <w:tcMar>
              <w:left w:w="57" w:type="dxa"/>
              <w:right w:w="57" w:type="dxa"/>
            </w:tcMar>
            <w:vAlign w:val="center"/>
          </w:tcPr>
          <w:p w14:paraId="760F1C1A"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DMIP/MXene/GE after incubation of 25 μg·mL</w:t>
            </w:r>
            <w:r>
              <w:rPr>
                <w:rFonts w:ascii="Times New Roman" w:eastAsia="宋体" w:hAnsi="Times New Roman" w:cs="Times New Roman"/>
                <w:kern w:val="0"/>
                <w:szCs w:val="21"/>
                <w:vertAlign w:val="superscript"/>
              </w:rPr>
              <w:t>−1</w:t>
            </w:r>
            <w:r>
              <w:rPr>
                <w:rFonts w:ascii="Times New Roman" w:eastAsia="宋体" w:hAnsi="Times New Roman" w:cs="Times New Roman"/>
                <w:kern w:val="0"/>
                <w:szCs w:val="21"/>
              </w:rPr>
              <w:t xml:space="preserve"> AR21</w:t>
            </w:r>
          </w:p>
        </w:tc>
        <w:tc>
          <w:tcPr>
            <w:tcW w:w="992" w:type="dxa"/>
            <w:tcBorders>
              <w:top w:val="nil"/>
              <w:left w:val="nil"/>
              <w:bottom w:val="single" w:sz="4" w:space="0" w:color="auto"/>
              <w:right w:val="nil"/>
            </w:tcBorders>
            <w:shd w:val="clear" w:color="auto" w:fill="auto"/>
            <w:tcMar>
              <w:left w:w="57" w:type="dxa"/>
              <w:right w:w="57" w:type="dxa"/>
            </w:tcMar>
            <w:vAlign w:val="center"/>
          </w:tcPr>
          <w:p w14:paraId="3CB5F83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83.2</w:t>
            </w:r>
          </w:p>
        </w:tc>
        <w:tc>
          <w:tcPr>
            <w:tcW w:w="992" w:type="dxa"/>
            <w:tcBorders>
              <w:top w:val="nil"/>
              <w:left w:val="nil"/>
              <w:bottom w:val="single" w:sz="4" w:space="0" w:color="auto"/>
              <w:right w:val="nil"/>
            </w:tcBorders>
            <w:shd w:val="clear" w:color="auto" w:fill="auto"/>
            <w:tcMar>
              <w:left w:w="57" w:type="dxa"/>
              <w:right w:w="57" w:type="dxa"/>
            </w:tcMar>
            <w:vAlign w:val="center"/>
          </w:tcPr>
          <w:p w14:paraId="2C016AD2"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431.0</w:t>
            </w:r>
          </w:p>
        </w:tc>
      </w:tr>
    </w:tbl>
    <w:p w14:paraId="39490F1B" w14:textId="77777777" w:rsidR="00EA557E" w:rsidRDefault="00EA557E">
      <w:pPr>
        <w:widowControl/>
        <w:jc w:val="left"/>
        <w:rPr>
          <w:rFonts w:ascii="Times New Roman" w:eastAsia="等线" w:hAnsi="Times New Roman" w:cs="Times New Roman"/>
          <w:b/>
          <w:bCs/>
          <w:kern w:val="24"/>
          <w:szCs w:val="21"/>
        </w:rPr>
        <w:sectPr w:rsidR="00EA557E">
          <w:pgSz w:w="11906" w:h="16838"/>
          <w:pgMar w:top="1440" w:right="1800" w:bottom="1440" w:left="1800" w:header="851" w:footer="992" w:gutter="0"/>
          <w:cols w:space="425"/>
          <w:docGrid w:type="lines" w:linePitch="312"/>
        </w:sectPr>
      </w:pPr>
    </w:p>
    <w:p w14:paraId="42D54F22" w14:textId="77777777" w:rsidR="00EA557E" w:rsidRDefault="00000000">
      <w:pPr>
        <w:adjustRightInd w:val="0"/>
        <w:snapToGrid w:val="0"/>
        <w:spacing w:line="360" w:lineRule="auto"/>
        <w:jc w:val="center"/>
        <w:rPr>
          <w:rFonts w:ascii="Times New Roman" w:eastAsia="CharisSIL" w:hAnsi="Times New Roman" w:cs="Times New Roman"/>
          <w:color w:val="000000"/>
          <w:kern w:val="0"/>
          <w:szCs w:val="21"/>
        </w:rPr>
      </w:pPr>
      <w:r>
        <w:rPr>
          <w:rFonts w:ascii="Times New Roman" w:eastAsia="等线" w:hAnsi="Times New Roman" w:cs="Times New Roman"/>
          <w:b/>
          <w:bCs/>
          <w:kern w:val="24"/>
          <w:szCs w:val="21"/>
        </w:rPr>
        <w:lastRenderedPageBreak/>
        <w:t>Table S3</w:t>
      </w:r>
      <w:r>
        <w:rPr>
          <w:rFonts w:ascii="Times New Roman" w:eastAsia="CharisSIL" w:hAnsi="Times New Roman" w:cs="Times New Roman"/>
          <w:b/>
          <w:bCs/>
          <w:color w:val="000000"/>
          <w:kern w:val="0"/>
          <w:szCs w:val="21"/>
        </w:rPr>
        <w:t xml:space="preserve"> </w:t>
      </w:r>
      <w:r>
        <w:rPr>
          <w:rFonts w:ascii="Times New Roman" w:eastAsia="CharisSIL" w:hAnsi="Times New Roman" w:cs="Times New Roman"/>
          <w:color w:val="000000"/>
          <w:kern w:val="0"/>
          <w:szCs w:val="21"/>
        </w:rPr>
        <w:t>Comparison of the proposed sensor with other reported electrochemical sensors.</w:t>
      </w:r>
    </w:p>
    <w:tbl>
      <w:tblPr>
        <w:tblW w:w="11855" w:type="dxa"/>
        <w:jc w:val="center"/>
        <w:tblLayout w:type="fixed"/>
        <w:tblCellMar>
          <w:left w:w="28" w:type="dxa"/>
          <w:right w:w="28" w:type="dxa"/>
        </w:tblCellMar>
        <w:tblLook w:val="04A0" w:firstRow="1" w:lastRow="0" w:firstColumn="1" w:lastColumn="0" w:noHBand="0" w:noVBand="1"/>
      </w:tblPr>
      <w:tblGrid>
        <w:gridCol w:w="2162"/>
        <w:gridCol w:w="1092"/>
        <w:gridCol w:w="742"/>
        <w:gridCol w:w="2496"/>
        <w:gridCol w:w="1588"/>
        <w:gridCol w:w="1275"/>
        <w:gridCol w:w="1933"/>
        <w:gridCol w:w="567"/>
      </w:tblGrid>
      <w:tr w:rsidR="00EA557E" w14:paraId="3CEB0043" w14:textId="77777777">
        <w:trPr>
          <w:trHeight w:val="837"/>
          <w:jc w:val="center"/>
        </w:trPr>
        <w:tc>
          <w:tcPr>
            <w:tcW w:w="2162" w:type="dxa"/>
            <w:tcBorders>
              <w:top w:val="single" w:sz="4" w:space="0" w:color="auto"/>
              <w:left w:val="nil"/>
              <w:bottom w:val="single" w:sz="4" w:space="0" w:color="auto"/>
              <w:right w:val="nil"/>
            </w:tcBorders>
            <w:shd w:val="clear" w:color="auto" w:fill="FFFFFF"/>
            <w:vAlign w:val="center"/>
          </w:tcPr>
          <w:p w14:paraId="0C499A6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Electrodes</w:t>
            </w:r>
          </w:p>
        </w:tc>
        <w:tc>
          <w:tcPr>
            <w:tcW w:w="1092" w:type="dxa"/>
            <w:tcBorders>
              <w:top w:val="single" w:sz="4" w:space="0" w:color="auto"/>
              <w:left w:val="nil"/>
              <w:bottom w:val="single" w:sz="4" w:space="0" w:color="auto"/>
              <w:right w:val="nil"/>
            </w:tcBorders>
            <w:shd w:val="clear" w:color="auto" w:fill="FFFFFF"/>
            <w:noWrap/>
            <w:vAlign w:val="center"/>
          </w:tcPr>
          <w:p w14:paraId="7EB52D1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Analytes</w:t>
            </w:r>
          </w:p>
        </w:tc>
        <w:tc>
          <w:tcPr>
            <w:tcW w:w="742" w:type="dxa"/>
            <w:tcBorders>
              <w:top w:val="single" w:sz="4" w:space="0" w:color="auto"/>
              <w:left w:val="nil"/>
              <w:bottom w:val="single" w:sz="4" w:space="0" w:color="auto"/>
              <w:right w:val="nil"/>
            </w:tcBorders>
            <w:shd w:val="clear" w:color="auto" w:fill="FFFFFF"/>
            <w:noWrap/>
            <w:vAlign w:val="center"/>
          </w:tcPr>
          <w:p w14:paraId="078FDD1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Method</w:t>
            </w:r>
          </w:p>
        </w:tc>
        <w:tc>
          <w:tcPr>
            <w:tcW w:w="2496" w:type="dxa"/>
            <w:tcBorders>
              <w:top w:val="single" w:sz="4" w:space="0" w:color="auto"/>
              <w:left w:val="nil"/>
              <w:bottom w:val="single" w:sz="4" w:space="0" w:color="auto"/>
              <w:right w:val="nil"/>
            </w:tcBorders>
            <w:shd w:val="clear" w:color="auto" w:fill="FFFFFF"/>
            <w:noWrap/>
            <w:vAlign w:val="center"/>
          </w:tcPr>
          <w:p w14:paraId="3521A06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Linear range     </w:t>
            </w:r>
          </w:p>
        </w:tc>
        <w:tc>
          <w:tcPr>
            <w:tcW w:w="1588" w:type="dxa"/>
            <w:tcBorders>
              <w:top w:val="single" w:sz="4" w:space="0" w:color="auto"/>
              <w:left w:val="nil"/>
              <w:bottom w:val="single" w:sz="4" w:space="0" w:color="auto"/>
              <w:right w:val="nil"/>
            </w:tcBorders>
            <w:shd w:val="clear" w:color="auto" w:fill="FFFFFF"/>
            <w:noWrap/>
            <w:vAlign w:val="center"/>
          </w:tcPr>
          <w:p w14:paraId="66149D6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LOD</w:t>
            </w:r>
          </w:p>
        </w:tc>
        <w:tc>
          <w:tcPr>
            <w:tcW w:w="1275" w:type="dxa"/>
            <w:tcBorders>
              <w:top w:val="single" w:sz="4" w:space="0" w:color="auto"/>
              <w:left w:val="nil"/>
              <w:bottom w:val="single" w:sz="4" w:space="0" w:color="auto"/>
              <w:right w:val="nil"/>
            </w:tcBorders>
            <w:shd w:val="clear" w:color="auto" w:fill="FFFFFF"/>
            <w:noWrap/>
            <w:vAlign w:val="center"/>
          </w:tcPr>
          <w:p w14:paraId="3FE8A6B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Recovery (%)</w:t>
            </w:r>
          </w:p>
        </w:tc>
        <w:tc>
          <w:tcPr>
            <w:tcW w:w="1933" w:type="dxa"/>
            <w:tcBorders>
              <w:top w:val="single" w:sz="4" w:space="0" w:color="auto"/>
              <w:left w:val="nil"/>
              <w:bottom w:val="single" w:sz="4" w:space="0" w:color="auto"/>
              <w:right w:val="nil"/>
            </w:tcBorders>
            <w:shd w:val="clear" w:color="auto" w:fill="FFFFFF"/>
            <w:noWrap/>
            <w:vAlign w:val="center"/>
          </w:tcPr>
          <w:p w14:paraId="5B5133F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Real Sample</w:t>
            </w:r>
          </w:p>
        </w:tc>
        <w:tc>
          <w:tcPr>
            <w:tcW w:w="567" w:type="dxa"/>
            <w:tcBorders>
              <w:top w:val="single" w:sz="4" w:space="0" w:color="auto"/>
              <w:left w:val="nil"/>
              <w:bottom w:val="single" w:sz="4" w:space="0" w:color="auto"/>
              <w:right w:val="nil"/>
            </w:tcBorders>
            <w:shd w:val="clear" w:color="auto" w:fill="FFFFFF"/>
            <w:noWrap/>
            <w:vAlign w:val="center"/>
          </w:tcPr>
          <w:p w14:paraId="55446BD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Ref</w:t>
            </w:r>
          </w:p>
        </w:tc>
      </w:tr>
      <w:tr w:rsidR="00EA557E" w14:paraId="7941E04C" w14:textId="77777777">
        <w:trPr>
          <w:trHeight w:val="395"/>
          <w:jc w:val="center"/>
        </w:trPr>
        <w:tc>
          <w:tcPr>
            <w:tcW w:w="2162" w:type="dxa"/>
            <w:shd w:val="clear" w:color="auto" w:fill="FFFFFF"/>
            <w:vAlign w:val="center"/>
          </w:tcPr>
          <w:p w14:paraId="1E75D14D"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MIP-N-Mo2C/GCE</w:t>
            </w:r>
          </w:p>
        </w:tc>
        <w:tc>
          <w:tcPr>
            <w:tcW w:w="1092" w:type="dxa"/>
            <w:shd w:val="clear" w:color="auto" w:fill="FFFFFF"/>
            <w:noWrap/>
            <w:vAlign w:val="center"/>
          </w:tcPr>
          <w:p w14:paraId="28EB2AFA"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Resveratrol</w:t>
            </w:r>
          </w:p>
        </w:tc>
        <w:tc>
          <w:tcPr>
            <w:tcW w:w="742" w:type="dxa"/>
            <w:shd w:val="clear" w:color="auto" w:fill="FFFFFF"/>
            <w:noWrap/>
            <w:vAlign w:val="center"/>
          </w:tcPr>
          <w:p w14:paraId="60DC6E8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DPV</w:t>
            </w:r>
          </w:p>
        </w:tc>
        <w:tc>
          <w:tcPr>
            <w:tcW w:w="2496" w:type="dxa"/>
            <w:shd w:val="clear" w:color="auto" w:fill="FFFFFF"/>
            <w:noWrap/>
            <w:vAlign w:val="center"/>
          </w:tcPr>
          <w:p w14:paraId="0389AD6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10</w:t>
            </w:r>
            <w:r>
              <w:rPr>
                <w:rFonts w:ascii="Times New Roman" w:eastAsia="宋体" w:hAnsi="Times New Roman" w:cs="Times New Roman"/>
                <w:kern w:val="0"/>
                <w:szCs w:val="21"/>
                <w:vertAlign w:val="superscript"/>
              </w:rPr>
              <w:t>−6</w:t>
            </w:r>
            <w:r>
              <w:rPr>
                <w:rFonts w:ascii="Times New Roman" w:eastAsia="宋体" w:hAnsi="Times New Roman" w:cs="Times New Roman"/>
                <w:kern w:val="0"/>
                <w:szCs w:val="21"/>
              </w:rPr>
              <w:t xml:space="preserve"> ~ 1 mM</w:t>
            </w:r>
          </w:p>
        </w:tc>
        <w:tc>
          <w:tcPr>
            <w:tcW w:w="1588" w:type="dxa"/>
            <w:shd w:val="clear" w:color="auto" w:fill="FFFFFF"/>
            <w:noWrap/>
            <w:vAlign w:val="center"/>
          </w:tcPr>
          <w:p w14:paraId="53CE1944"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0.437 </w:t>
            </w:r>
            <w:proofErr w:type="spellStart"/>
            <w:r>
              <w:rPr>
                <w:rFonts w:ascii="Times New Roman" w:eastAsia="宋体" w:hAnsi="Times New Roman" w:cs="Times New Roman"/>
                <w:kern w:val="0"/>
                <w:szCs w:val="21"/>
              </w:rPr>
              <w:t>nM</w:t>
            </w:r>
            <w:proofErr w:type="spellEnd"/>
          </w:p>
        </w:tc>
        <w:tc>
          <w:tcPr>
            <w:tcW w:w="1275" w:type="dxa"/>
            <w:shd w:val="clear" w:color="auto" w:fill="FFFFFF"/>
            <w:noWrap/>
            <w:vAlign w:val="center"/>
          </w:tcPr>
          <w:p w14:paraId="24AC1F2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94.1 ~ 110.5</w:t>
            </w:r>
          </w:p>
        </w:tc>
        <w:tc>
          <w:tcPr>
            <w:tcW w:w="1933" w:type="dxa"/>
            <w:shd w:val="clear" w:color="auto" w:fill="FFFFFF"/>
            <w:noWrap/>
            <w:vAlign w:val="center"/>
          </w:tcPr>
          <w:p w14:paraId="7A3489D0"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Grape seed</w:t>
            </w:r>
          </w:p>
        </w:tc>
        <w:tc>
          <w:tcPr>
            <w:tcW w:w="567" w:type="dxa"/>
            <w:shd w:val="clear" w:color="auto" w:fill="FFFFFF"/>
            <w:noWrap/>
            <w:vAlign w:val="center"/>
          </w:tcPr>
          <w:p w14:paraId="4C97DE8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&lt;EndNote&gt;&lt;Cite&gt;&lt;Author&gt;Yanrui&lt;/Author&gt;&lt;Year&gt;2017&lt;/Year&gt;&lt;RecNum&gt;22&lt;/RecNum&gt;&lt;DisplayText&gt;[1]&lt;/DisplayText&gt;&lt;record&gt;&lt;rec-number&gt;22&lt;/rec-number&gt;&lt;foreign-keys&gt;&lt;key app="EN" db-id="at2adptx50pr0se0v94ptxs7prradexrfvaw" timestamp="1683716384"&gt;22&lt;/key&gt;&lt;/foreign-keys&gt;&lt;ref-type name="Journal Article"&gt;17&lt;/ref-type&gt;&lt;contributors&gt;&lt;authors&gt;&lt;author&gt;Yanrui, Liu&lt;/author&gt;&lt;author&gt;Lili, Zhu&lt;/author&gt;&lt;author&gt;Yue, Hu&lt;/author&gt;&lt;author&gt;Xinsheng, Peng&lt;/author&gt;&lt;author&gt;Jiangyan, Du&lt;/author&gt;&lt;/authors&gt;&lt;/contributors&gt;&lt;titles&gt;&lt;title&gt;A novel electrochemical sensor based on a molecularly imprinted polymer for the determination of epigallocatechin gallate&lt;/title&gt;&lt;secondary-title&gt;Food Chemistry&lt;/secondary-title&gt;&lt;/titles&gt;&lt;periodical&gt;&lt;full-title&gt;Food Chemistry&lt;/full-title&gt;&lt;/periodical&gt;&lt;pages&gt;1128-1134&lt;/pages&gt;&lt;volume&gt;221&lt;/volume&gt;&lt;dates&gt;&lt;year&gt;2017&lt;/year&gt;&lt;pub-dates&gt;&lt;date&gt;2017&lt;/date&gt;&lt;/pub-dates&gt;&lt;/dates&gt;&lt;isbn&gt;0308-8146&lt;/isbn&gt;&lt;accession-num&gt;FSTA:2017-03-Ac2620&lt;/accession-num&gt;&lt;urls&gt;&lt;related-urls&gt;&lt;url&gt;&amp;lt;Go to ISI&amp;gt;://FSTA:2017-03-Ac2620&lt;/url&gt;&lt;/related-urls&gt;&lt;/urls&gt;&lt;electronic-resource-num&gt;10.1016/j.foodchem.2016.11.047&lt;/electronic-resource-num&gt;&lt;/record&gt;&lt;/Cite&gt;&lt;/EndNote&gt;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[1]</w:t>
            </w:r>
            <w:r>
              <w:rPr>
                <w:rFonts w:ascii="Times New Roman" w:eastAsia="宋体" w:hAnsi="Times New Roman" w:cs="Times New Roman"/>
                <w:kern w:val="0"/>
                <w:szCs w:val="21"/>
              </w:rPr>
              <w:fldChar w:fldCharType="end"/>
            </w:r>
          </w:p>
        </w:tc>
      </w:tr>
      <w:tr w:rsidR="00EA557E" w14:paraId="6E7D9BE7" w14:textId="77777777">
        <w:trPr>
          <w:trHeight w:val="155"/>
          <w:jc w:val="center"/>
        </w:trPr>
        <w:tc>
          <w:tcPr>
            <w:tcW w:w="2162" w:type="dxa"/>
            <w:shd w:val="clear" w:color="auto" w:fill="FFFFFF"/>
            <w:vAlign w:val="center"/>
          </w:tcPr>
          <w:p w14:paraId="6F46C755"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Res-MIP/</w:t>
            </w:r>
            <w:proofErr w:type="spellStart"/>
            <w:r>
              <w:rPr>
                <w:rFonts w:ascii="Times New Roman" w:eastAsia="宋体" w:hAnsi="Times New Roman" w:cs="Times New Roman"/>
                <w:kern w:val="0"/>
                <w:szCs w:val="21"/>
              </w:rPr>
              <w:t>Au@Ag</w:t>
            </w:r>
            <w:proofErr w:type="spellEnd"/>
            <w:r>
              <w:rPr>
                <w:rFonts w:ascii="Times New Roman" w:eastAsia="宋体" w:hAnsi="Times New Roman" w:cs="Times New Roman"/>
                <w:kern w:val="0"/>
                <w:szCs w:val="21"/>
              </w:rPr>
              <w:t>/ITO</w:t>
            </w:r>
          </w:p>
        </w:tc>
        <w:tc>
          <w:tcPr>
            <w:tcW w:w="1092" w:type="dxa"/>
            <w:shd w:val="clear" w:color="auto" w:fill="FFFFFF"/>
            <w:noWrap/>
            <w:vAlign w:val="center"/>
          </w:tcPr>
          <w:p w14:paraId="0959EE4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Trans resveratrol</w:t>
            </w:r>
          </w:p>
        </w:tc>
        <w:tc>
          <w:tcPr>
            <w:tcW w:w="742" w:type="dxa"/>
            <w:shd w:val="clear" w:color="auto" w:fill="FFFFFF"/>
            <w:noWrap/>
            <w:vAlign w:val="center"/>
          </w:tcPr>
          <w:p w14:paraId="5A180BDD"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CV</w:t>
            </w:r>
          </w:p>
        </w:tc>
        <w:tc>
          <w:tcPr>
            <w:tcW w:w="2496" w:type="dxa"/>
            <w:shd w:val="clear" w:color="auto" w:fill="FFFFFF"/>
            <w:noWrap/>
            <w:vAlign w:val="center"/>
          </w:tcPr>
          <w:p w14:paraId="678BFBD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0.02 ~ 9.0 </w:t>
            </w:r>
            <w:proofErr w:type="spellStart"/>
            <w:r>
              <w:rPr>
                <w:rFonts w:ascii="Times New Roman" w:eastAsia="宋体" w:hAnsi="Times New Roman" w:cs="Times New Roman"/>
                <w:kern w:val="0"/>
                <w:szCs w:val="21"/>
              </w:rPr>
              <w:t>nM</w:t>
            </w:r>
            <w:proofErr w:type="spellEnd"/>
          </w:p>
        </w:tc>
        <w:tc>
          <w:tcPr>
            <w:tcW w:w="1588" w:type="dxa"/>
            <w:shd w:val="clear" w:color="auto" w:fill="FFFFFF"/>
            <w:noWrap/>
            <w:vAlign w:val="center"/>
          </w:tcPr>
          <w:p w14:paraId="00497027"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7.1 </w:t>
            </w:r>
            <w:proofErr w:type="spellStart"/>
            <w:r>
              <w:rPr>
                <w:rFonts w:ascii="Times New Roman" w:eastAsia="宋体" w:hAnsi="Times New Roman" w:cs="Times New Roman"/>
                <w:kern w:val="0"/>
                <w:szCs w:val="21"/>
              </w:rPr>
              <w:t>pM</w:t>
            </w:r>
            <w:proofErr w:type="spellEnd"/>
            <w:r>
              <w:rPr>
                <w:rFonts w:ascii="Times New Roman" w:eastAsia="宋体" w:hAnsi="Times New Roman" w:cs="Times New Roman"/>
                <w:kern w:val="0"/>
                <w:szCs w:val="21"/>
              </w:rPr>
              <w:t xml:space="preserve"> </w:t>
            </w:r>
          </w:p>
        </w:tc>
        <w:tc>
          <w:tcPr>
            <w:tcW w:w="1275" w:type="dxa"/>
            <w:shd w:val="clear" w:color="auto" w:fill="FFFFFF"/>
            <w:noWrap/>
            <w:vAlign w:val="center"/>
          </w:tcPr>
          <w:p w14:paraId="1C60441D"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96.7 ~ 106.3</w:t>
            </w:r>
          </w:p>
        </w:tc>
        <w:tc>
          <w:tcPr>
            <w:tcW w:w="1933" w:type="dxa"/>
            <w:shd w:val="clear" w:color="auto" w:fill="FFFFFF"/>
            <w:noWrap/>
            <w:vAlign w:val="center"/>
          </w:tcPr>
          <w:p w14:paraId="3421CC00"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Grape seed extract</w:t>
            </w:r>
          </w:p>
        </w:tc>
        <w:tc>
          <w:tcPr>
            <w:tcW w:w="567" w:type="dxa"/>
            <w:shd w:val="clear" w:color="auto" w:fill="FFFFFF"/>
            <w:noWrap/>
            <w:vAlign w:val="center"/>
          </w:tcPr>
          <w:p w14:paraId="0F9BFE76"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&lt;EndNote&gt;&lt;Cite&gt;&lt;Author&gt;Dongyang&lt;/Author&gt;&lt;Year&gt;2019&lt;/Year&gt;&lt;RecNum&gt;23&lt;/RecNum&gt;&lt;DisplayText&gt;[2]&lt;/DisplayText&gt;&lt;record&gt;&lt;rec-number&gt;23&lt;/rec-number&gt;&lt;foreign-keys&gt;&lt;key app="EN" db-id="at2adptx50pr0se0v94ptxs7prradexrfvaw" timestamp="1683716433"&gt;23&lt;/key&gt;&lt;/foreign-keys&gt;&lt;ref-type name="Journal Article"&gt;17&lt;/ref-type&gt;&lt;contributors&gt;&lt;authors&gt;&lt;author&gt;Dongyang, Wang&lt;/author&gt;&lt;author&gt;Jia, Wang&lt;/author&gt;&lt;author&gt;Junjie, Zhang&lt;/author&gt;&lt;author&gt;Yangguang, Li&lt;/author&gt;&lt;author&gt;Yang, Zhang&lt;/author&gt;&lt;author&gt;Yingchun, Li&lt;/author&gt;&lt;author&gt;Bang-Ce, Ye&lt;/author&gt;&lt;/authors&gt;&lt;/contributors&gt;&lt;titles&gt;&lt;title&gt;Novel electrochemical sensing platform based on integration of molecularly imprinted polymer with Au@Ag hollow nanoshell for determination of resveratrol&lt;/title&gt;&lt;secondary-title&gt;Talanta&lt;/secondary-title&gt;&lt;/titles&gt;&lt;periodical&gt;&lt;full-title&gt;Talanta&lt;/full-title&gt;&lt;/periodical&gt;&lt;pages&gt;479-485&lt;/pages&gt;&lt;volume&gt;196&lt;/volume&gt;&lt;dates&gt;&lt;year&gt;2019&lt;/year&gt;&lt;pub-dates&gt;&lt;date&gt;2019&lt;/date&gt;&lt;/pub-dates&gt;&lt;/dates&gt;&lt;isbn&gt;0039-9140&lt;/isbn&gt;&lt;accession-num&gt;FSTA:2019-06-Jg7505&lt;/accession-num&gt;&lt;urls&gt;&lt;related-urls&gt;&lt;url&gt;&amp;lt;Go to ISI&amp;gt;://FSTA:2019-06-Jg7505&lt;/url&gt;&lt;/related-urls&gt;&lt;/urls&gt;&lt;electronic-resource-num&gt;10.1016/j.talanta.2018.12.063&lt;/electronic-resource-num&gt;&lt;/record&gt;&lt;/Cite&gt;&lt;/EndNote&gt;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[2]</w:t>
            </w:r>
            <w:r>
              <w:rPr>
                <w:rFonts w:ascii="Times New Roman" w:eastAsia="宋体" w:hAnsi="Times New Roman" w:cs="Times New Roman"/>
                <w:kern w:val="0"/>
                <w:szCs w:val="21"/>
              </w:rPr>
              <w:fldChar w:fldCharType="end"/>
            </w:r>
          </w:p>
        </w:tc>
      </w:tr>
      <w:tr w:rsidR="00EA557E" w14:paraId="12AF30BB" w14:textId="77777777">
        <w:trPr>
          <w:trHeight w:val="87"/>
          <w:jc w:val="center"/>
        </w:trPr>
        <w:tc>
          <w:tcPr>
            <w:tcW w:w="2162" w:type="dxa"/>
            <w:shd w:val="clear" w:color="auto" w:fill="FFFFFF"/>
            <w:vAlign w:val="center"/>
          </w:tcPr>
          <w:p w14:paraId="63D2DF1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MIP/GO/GC</w:t>
            </w:r>
          </w:p>
        </w:tc>
        <w:tc>
          <w:tcPr>
            <w:tcW w:w="1092" w:type="dxa"/>
            <w:shd w:val="clear" w:color="auto" w:fill="FFFFFF"/>
            <w:noWrap/>
            <w:vAlign w:val="center"/>
          </w:tcPr>
          <w:p w14:paraId="2BC6081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EGCG</w:t>
            </w:r>
          </w:p>
        </w:tc>
        <w:tc>
          <w:tcPr>
            <w:tcW w:w="742" w:type="dxa"/>
            <w:shd w:val="clear" w:color="auto" w:fill="FFFFFF"/>
            <w:noWrap/>
            <w:vAlign w:val="center"/>
          </w:tcPr>
          <w:p w14:paraId="673243A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DPV</w:t>
            </w:r>
          </w:p>
        </w:tc>
        <w:tc>
          <w:tcPr>
            <w:tcW w:w="2496" w:type="dxa"/>
            <w:shd w:val="clear" w:color="auto" w:fill="FFFFFF"/>
            <w:noWrap/>
            <w:vAlign w:val="center"/>
          </w:tcPr>
          <w:p w14:paraId="0E5A7F4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3 × 10</w:t>
            </w:r>
            <w:r>
              <w:rPr>
                <w:rFonts w:ascii="Times New Roman" w:eastAsia="宋体" w:hAnsi="Times New Roman" w:cs="Times New Roman"/>
                <w:kern w:val="0"/>
                <w:szCs w:val="21"/>
                <w:vertAlign w:val="superscript"/>
              </w:rPr>
              <w:t>−5</w:t>
            </w:r>
            <w:r>
              <w:rPr>
                <w:rFonts w:ascii="Times New Roman" w:eastAsia="宋体" w:hAnsi="Times New Roman" w:cs="Times New Roman"/>
                <w:kern w:val="0"/>
                <w:szCs w:val="21"/>
              </w:rPr>
              <w:t xml:space="preserve"> ~ 0.01 mM</w:t>
            </w:r>
          </w:p>
        </w:tc>
        <w:tc>
          <w:tcPr>
            <w:tcW w:w="1588" w:type="dxa"/>
            <w:shd w:val="clear" w:color="auto" w:fill="FFFFFF"/>
            <w:noWrap/>
            <w:vAlign w:val="center"/>
          </w:tcPr>
          <w:p w14:paraId="40D20C01"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8.78 </w:t>
            </w:r>
            <w:proofErr w:type="spellStart"/>
            <w:r>
              <w:rPr>
                <w:rFonts w:ascii="Times New Roman" w:eastAsia="宋体" w:hAnsi="Times New Roman" w:cs="Times New Roman"/>
                <w:kern w:val="0"/>
                <w:szCs w:val="21"/>
              </w:rPr>
              <w:t>nM</w:t>
            </w:r>
            <w:proofErr w:type="spellEnd"/>
          </w:p>
        </w:tc>
        <w:tc>
          <w:tcPr>
            <w:tcW w:w="1275" w:type="dxa"/>
            <w:shd w:val="clear" w:color="auto" w:fill="FFFFFF"/>
            <w:noWrap/>
            <w:vAlign w:val="center"/>
          </w:tcPr>
          <w:p w14:paraId="55235F33"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96.2 ~ 105.7</w:t>
            </w:r>
          </w:p>
        </w:tc>
        <w:tc>
          <w:tcPr>
            <w:tcW w:w="1933" w:type="dxa"/>
            <w:shd w:val="clear" w:color="auto" w:fill="FFFFFF"/>
            <w:noWrap/>
            <w:vAlign w:val="center"/>
          </w:tcPr>
          <w:p w14:paraId="49080364"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Tea</w:t>
            </w:r>
          </w:p>
        </w:tc>
        <w:tc>
          <w:tcPr>
            <w:tcW w:w="567" w:type="dxa"/>
            <w:shd w:val="clear" w:color="auto" w:fill="FFFFFF"/>
            <w:noWrap/>
            <w:vAlign w:val="center"/>
          </w:tcPr>
          <w:p w14:paraId="5376E154"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&lt;EndNote&gt;&lt;Cite&gt;&lt;Author&gt;Lu&lt;/Author&gt;&lt;Year&gt;2022&lt;/Year&gt;&lt;RecNum&gt;24&lt;/RecNum&gt;&lt;DisplayText&gt;[3]&lt;/DisplayText&gt;&lt;record&gt;&lt;rec-number&gt;24&lt;/rec-number&gt;&lt;foreign-keys&gt;&lt;key app="EN" db-id="at2adptx50pr0se0v94ptxs7prradexrfvaw" timestamp="1683716444"&gt;24&lt;/key&gt;&lt;/foreign-keys&gt;&lt;ref-type name="Journal Article"&gt;17&lt;/ref-type&gt;&lt;contributors&gt;&lt;authors&gt;&lt;author&gt;Lu, Huan&lt;/author&gt;&lt;author&gt;An, Jiangxue&lt;/author&gt;&lt;author&gt;Huang, Yan&lt;/author&gt;&lt;author&gt;Cui, Hanyue&lt;/author&gt;&lt;author&gt;Yang, Jing&lt;/author&gt;&lt;author&gt;Li, Li&lt;/author&gt;&lt;author&gt;Ding, Yaping&lt;/author&gt;&lt;/authors&gt;&lt;/contributors&gt;&lt;titles&gt;&lt;title&gt;Molecularly Imprinted Electrochemical Sensor Based on Nitrogen-doped Molybdenum Carbide Nanosphere for Trace Analysis of Resveratrol&lt;/title&gt;&lt;secondary-title&gt;Chemistry-an Asian Journal&lt;/secondary-title&gt;&lt;/titles&gt;&lt;periodical&gt;&lt;full-title&gt;Chemistry-an Asian Journal&lt;/full-title&gt;&lt;/periodical&gt;&lt;dates&gt;&lt;year&gt;2022&lt;/year&gt;&lt;/dates&gt;&lt;isbn&gt;1861-4728&lt;/isbn&gt;&lt;accession-num&gt;WOS:000866893200001&lt;/accession-num&gt;&lt;work-type&gt;Article; Early Access&lt;/work-type&gt;&lt;urls&gt;&lt;related-urls&gt;&lt;url&gt;&amp;lt;Go to ISI&amp;gt;://WOS:000866893200001&lt;/url&gt;&lt;/related-urls&gt;&lt;/urls&gt;&lt;electronic-resource-num&gt;10.1002/asia.202200453&lt;/electronic-resource-num&gt;&lt;/record&gt;&lt;/Cite&gt;&lt;/EndNote&gt;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[3]</w:t>
            </w:r>
            <w:r>
              <w:rPr>
                <w:rFonts w:ascii="Times New Roman" w:eastAsia="宋体" w:hAnsi="Times New Roman" w:cs="Times New Roman"/>
                <w:kern w:val="0"/>
                <w:szCs w:val="21"/>
              </w:rPr>
              <w:fldChar w:fldCharType="end"/>
            </w:r>
          </w:p>
        </w:tc>
      </w:tr>
      <w:tr w:rsidR="00EA557E" w14:paraId="34EE4749" w14:textId="77777777">
        <w:trPr>
          <w:trHeight w:val="87"/>
          <w:jc w:val="center"/>
        </w:trPr>
        <w:tc>
          <w:tcPr>
            <w:tcW w:w="2162" w:type="dxa"/>
            <w:shd w:val="clear" w:color="auto" w:fill="FFFFFF"/>
            <w:vAlign w:val="center"/>
          </w:tcPr>
          <w:p w14:paraId="65ED27E9"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ART-MIM/G/GCE</w:t>
            </w:r>
          </w:p>
        </w:tc>
        <w:tc>
          <w:tcPr>
            <w:tcW w:w="1092" w:type="dxa"/>
            <w:shd w:val="clear" w:color="auto" w:fill="FFFFFF"/>
            <w:noWrap/>
            <w:vAlign w:val="center"/>
          </w:tcPr>
          <w:p w14:paraId="5620F567"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Artemisinin</w:t>
            </w:r>
          </w:p>
        </w:tc>
        <w:tc>
          <w:tcPr>
            <w:tcW w:w="742" w:type="dxa"/>
            <w:shd w:val="clear" w:color="auto" w:fill="FFFFFF"/>
            <w:noWrap/>
            <w:vAlign w:val="center"/>
          </w:tcPr>
          <w:p w14:paraId="49734F80"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DPV</w:t>
            </w:r>
          </w:p>
        </w:tc>
        <w:tc>
          <w:tcPr>
            <w:tcW w:w="2496" w:type="dxa"/>
            <w:shd w:val="clear" w:color="auto" w:fill="FFFFFF"/>
            <w:noWrap/>
            <w:vAlign w:val="center"/>
          </w:tcPr>
          <w:p w14:paraId="67BDCE9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1.0 × 10</w:t>
            </w:r>
            <w:r>
              <w:rPr>
                <w:rFonts w:ascii="Times New Roman" w:eastAsia="宋体" w:hAnsi="Times New Roman" w:cs="Times New Roman"/>
                <w:kern w:val="0"/>
                <w:szCs w:val="21"/>
                <w:vertAlign w:val="superscript"/>
              </w:rPr>
              <w:t>−5</w:t>
            </w:r>
            <w:r>
              <w:rPr>
                <w:rFonts w:ascii="Times New Roman" w:eastAsia="宋体" w:hAnsi="Times New Roman" w:cs="Times New Roman"/>
                <w:kern w:val="0"/>
                <w:szCs w:val="21"/>
              </w:rPr>
              <w:t xml:space="preserve"> ~ 0.04 mM</w:t>
            </w:r>
          </w:p>
        </w:tc>
        <w:tc>
          <w:tcPr>
            <w:tcW w:w="1588" w:type="dxa"/>
            <w:shd w:val="clear" w:color="auto" w:fill="FFFFFF"/>
            <w:noWrap/>
            <w:vAlign w:val="center"/>
          </w:tcPr>
          <w:p w14:paraId="77AB890A"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2.0 </w:t>
            </w:r>
            <w:proofErr w:type="spellStart"/>
            <w:r>
              <w:rPr>
                <w:rFonts w:ascii="Times New Roman" w:eastAsia="宋体" w:hAnsi="Times New Roman" w:cs="Times New Roman"/>
                <w:kern w:val="0"/>
                <w:szCs w:val="21"/>
              </w:rPr>
              <w:t>nM</w:t>
            </w:r>
            <w:proofErr w:type="spellEnd"/>
          </w:p>
        </w:tc>
        <w:tc>
          <w:tcPr>
            <w:tcW w:w="1275" w:type="dxa"/>
            <w:shd w:val="clear" w:color="auto" w:fill="FFFFFF"/>
            <w:noWrap/>
            <w:vAlign w:val="center"/>
          </w:tcPr>
          <w:p w14:paraId="0AB52D16"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100.0 ~ 110.5</w:t>
            </w:r>
          </w:p>
        </w:tc>
        <w:tc>
          <w:tcPr>
            <w:tcW w:w="1933" w:type="dxa"/>
            <w:shd w:val="clear" w:color="auto" w:fill="FFFFFF"/>
            <w:noWrap/>
            <w:vAlign w:val="center"/>
          </w:tcPr>
          <w:p w14:paraId="638F608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Pulverized A. annua L.</w:t>
            </w:r>
          </w:p>
        </w:tc>
        <w:tc>
          <w:tcPr>
            <w:tcW w:w="567" w:type="dxa"/>
            <w:shd w:val="clear" w:color="auto" w:fill="FFFFFF"/>
            <w:noWrap/>
            <w:vAlign w:val="center"/>
          </w:tcPr>
          <w:p w14:paraId="0E78374D"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&lt;EndNote&gt;&lt;Cite&gt;&lt;Author&gt;Lu&lt;/Author&gt;&lt;Year&gt;2015&lt;/Year&gt;&lt;RecNum&gt;25&lt;/RecNum&gt;&lt;DisplayText&gt;[4]&lt;/DisplayText&gt;&lt;record&gt;&lt;rec-number&gt;25&lt;/rec-number&gt;&lt;foreign-keys&gt;&lt;key app="EN" db-id="at2adptx50pr0se0v94ptxs7prradexrfvaw" timestamp="1683716524"&gt;25&lt;/key&gt;&lt;/foreign-keys&gt;&lt;ref-type name="Journal Article"&gt;17&lt;/ref-type&gt;&lt;contributors&gt;&lt;authors&gt;&lt;author&gt;Lu, Bing&lt;/author&gt;&lt;author&gt;Xia, Jianfei&lt;/author&gt;&lt;author&gt;Wang, Zonghua&lt;/author&gt;&lt;author&gt;Zhang, Feifei&lt;/author&gt;&lt;author&gt;Yang, Min&lt;/author&gt;&lt;author&gt;Li, Yanhui&lt;/author&gt;&lt;author&gt;Xia, Yanzhi&lt;/author&gt;&lt;/authors&gt;&lt;/contributors&gt;&lt;titles&gt;&lt;title&gt;Molecularly imprinted electrochemical sensor based on an electrode modified with an imprinted pyrrole film immobilized on a beta-cyclodextrin/gold nanoparticles/graphene layer&lt;/title&gt;&lt;secondary-title&gt;Rsc Advances&lt;/secondary-title&gt;&lt;/titles&gt;&lt;periodical&gt;&lt;full-title&gt;Rsc Advances&lt;/full-title&gt;&lt;/periodical&gt;&lt;pages&gt;82930-82935&lt;/pages&gt;&lt;volume&gt;5&lt;/volume&gt;&lt;number&gt;101&lt;/number&gt;&lt;dates&gt;&lt;year&gt;2015&lt;/year&gt;&lt;pub-dates&gt;&lt;date&gt;2015&lt;/date&gt;&lt;/pub-dates&gt;&lt;/dates&gt;&lt;isbn&gt;2046-2069&lt;/isbn&gt;&lt;accession-num&gt;WOS:000362438300039&lt;/accession-num&gt;&lt;work-type&gt;Article&lt;/work-type&gt;&lt;urls&gt;&lt;related-urls&gt;&lt;url&gt;&amp;lt;Go to ISI&amp;gt;://WOS:000362438300039&lt;/url&gt;&lt;/related-urls&gt;&lt;/urls&gt;&lt;electronic-resource-num&gt;10.1039/c5ra12389e&lt;/electronic-resource-num&gt;&lt;/record&gt;&lt;/Cite&gt;&lt;/EndNote&gt;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[4]</w:t>
            </w:r>
            <w:r>
              <w:rPr>
                <w:rFonts w:ascii="Times New Roman" w:eastAsia="宋体" w:hAnsi="Times New Roman" w:cs="Times New Roman"/>
                <w:kern w:val="0"/>
                <w:szCs w:val="21"/>
              </w:rPr>
              <w:fldChar w:fldCharType="end"/>
            </w:r>
          </w:p>
        </w:tc>
      </w:tr>
      <w:tr w:rsidR="00EA557E" w14:paraId="29959003" w14:textId="77777777">
        <w:trPr>
          <w:trHeight w:val="87"/>
          <w:jc w:val="center"/>
        </w:trPr>
        <w:tc>
          <w:tcPr>
            <w:tcW w:w="2162" w:type="dxa"/>
            <w:shd w:val="clear" w:color="auto" w:fill="FFFFFF"/>
            <w:vAlign w:val="center"/>
          </w:tcPr>
          <w:p w14:paraId="34318BD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MIP/MWNTs/GCE</w:t>
            </w:r>
          </w:p>
        </w:tc>
        <w:tc>
          <w:tcPr>
            <w:tcW w:w="1092" w:type="dxa"/>
            <w:shd w:val="clear" w:color="auto" w:fill="FFFFFF"/>
            <w:noWrap/>
            <w:vAlign w:val="center"/>
          </w:tcPr>
          <w:p w14:paraId="6BCEAC84"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proofErr w:type="spellStart"/>
            <w:r>
              <w:rPr>
                <w:rFonts w:ascii="Times New Roman" w:eastAsia="宋体" w:hAnsi="Times New Roman" w:cs="Times New Roman"/>
                <w:kern w:val="0"/>
                <w:szCs w:val="21"/>
              </w:rPr>
              <w:t>Rutin</w:t>
            </w:r>
            <w:proofErr w:type="spellEnd"/>
          </w:p>
        </w:tc>
        <w:tc>
          <w:tcPr>
            <w:tcW w:w="742" w:type="dxa"/>
            <w:shd w:val="clear" w:color="auto" w:fill="FFFFFF"/>
            <w:noWrap/>
            <w:vAlign w:val="center"/>
          </w:tcPr>
          <w:p w14:paraId="72BD35F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DPV</w:t>
            </w:r>
          </w:p>
        </w:tc>
        <w:tc>
          <w:tcPr>
            <w:tcW w:w="2496" w:type="dxa"/>
            <w:shd w:val="clear" w:color="auto" w:fill="FFFFFF"/>
            <w:noWrap/>
            <w:vAlign w:val="center"/>
          </w:tcPr>
          <w:p w14:paraId="5FCD3CC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4.0 × 10</w:t>
            </w:r>
            <w:r>
              <w:rPr>
                <w:rFonts w:ascii="Times New Roman" w:eastAsia="宋体" w:hAnsi="Times New Roman" w:cs="Times New Roman"/>
                <w:kern w:val="0"/>
                <w:szCs w:val="21"/>
                <w:vertAlign w:val="superscript"/>
              </w:rPr>
              <w:t>−4</w:t>
            </w:r>
            <w:r>
              <w:rPr>
                <w:rFonts w:ascii="Times New Roman" w:eastAsia="宋体" w:hAnsi="Times New Roman" w:cs="Times New Roman"/>
                <w:kern w:val="0"/>
                <w:szCs w:val="21"/>
              </w:rPr>
              <w:t xml:space="preserve"> ~ 0.01 mM</w:t>
            </w:r>
          </w:p>
        </w:tc>
        <w:tc>
          <w:tcPr>
            <w:tcW w:w="1588" w:type="dxa"/>
            <w:shd w:val="clear" w:color="auto" w:fill="FFFFFF"/>
            <w:noWrap/>
            <w:vAlign w:val="center"/>
          </w:tcPr>
          <w:p w14:paraId="5FA22AC2"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0.11μM</w:t>
            </w:r>
          </w:p>
        </w:tc>
        <w:tc>
          <w:tcPr>
            <w:tcW w:w="1275" w:type="dxa"/>
            <w:shd w:val="clear" w:color="auto" w:fill="FFFFFF"/>
            <w:noWrap/>
            <w:vAlign w:val="center"/>
          </w:tcPr>
          <w:p w14:paraId="6B4F4DB5"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 /</w:t>
            </w:r>
          </w:p>
        </w:tc>
        <w:tc>
          <w:tcPr>
            <w:tcW w:w="1933" w:type="dxa"/>
            <w:shd w:val="clear" w:color="auto" w:fill="FFFFFF"/>
            <w:noWrap/>
            <w:vAlign w:val="center"/>
          </w:tcPr>
          <w:p w14:paraId="5C6514E9"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proofErr w:type="spellStart"/>
            <w:r>
              <w:rPr>
                <w:rFonts w:ascii="Times New Roman" w:eastAsia="宋体" w:hAnsi="Times New Roman" w:cs="Times New Roman"/>
                <w:kern w:val="0"/>
                <w:szCs w:val="21"/>
              </w:rPr>
              <w:t>Rutin</w:t>
            </w:r>
            <w:proofErr w:type="spellEnd"/>
            <w:r>
              <w:rPr>
                <w:rFonts w:ascii="Times New Roman" w:eastAsia="宋体" w:hAnsi="Times New Roman" w:cs="Times New Roman"/>
                <w:kern w:val="0"/>
                <w:szCs w:val="21"/>
              </w:rPr>
              <w:t xml:space="preserve"> in tablets</w:t>
            </w:r>
          </w:p>
        </w:tc>
        <w:tc>
          <w:tcPr>
            <w:tcW w:w="567" w:type="dxa"/>
            <w:shd w:val="clear" w:color="auto" w:fill="FFFFFF"/>
            <w:noWrap/>
            <w:vAlign w:val="center"/>
          </w:tcPr>
          <w:p w14:paraId="2CE007BC"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&lt;EndNote&gt;&lt;Cite&gt;&lt;Author&gt;Zhou&lt;/Author&gt;&lt;Year&gt;2017&lt;/Year&gt;&lt;RecNum&gt;26&lt;/RecNum&gt;&lt;DisplayText&gt;[5]&lt;/DisplayText&gt;&lt;record&gt;&lt;rec-number&gt;26&lt;/rec-number&gt;&lt;foreign-keys&gt;&lt;key app="EN" db-id="at2adptx50pr0se0v94ptxs7prradexrfvaw" timestamp="1683716536"&gt;26&lt;/key&gt;&lt;/foreign-keys&gt;&lt;ref-type name="Journal Article"&gt;17&lt;/ref-type&gt;&lt;contributors&gt;&lt;authors&gt;&lt;author&gt;Zhou, Q.&lt;/author&gt;&lt;author&gt;Zhai, H. Y.&lt;/author&gt;&lt;author&gt;Pan, Y. F.&lt;/author&gt;&lt;author&gt;Li, K.&lt;/author&gt;&lt;/authors&gt;&lt;/contributors&gt;&lt;titles&gt;&lt;title&gt;A simple and sensitive sensor based on a molecularly imprinted polymer-modified carbon paste electrode for the determination of curcumin in foods&lt;/title&gt;&lt;secondary-title&gt;Rsc Advances&lt;/secondary-title&gt;&lt;/titles&gt;&lt;periodical&gt;&lt;full-title&gt;Rsc Advances&lt;/full-title&gt;&lt;/periodical&gt;&lt;pages&gt;22913-22918&lt;/pages&gt;&lt;volume&gt;7&lt;/volume&gt;&lt;number&gt;37&lt;/number&gt;&lt;dates&gt;&lt;year&gt;2017&lt;/year&gt;&lt;pub-dates&gt;&lt;date&gt;2017&lt;/date&gt;&lt;/pub-dates&gt;&lt;/dates&gt;&lt;accession-num&gt;WOS:000400338000037&lt;/accession-num&gt;&lt;work-type&gt;Article&lt;/work-type&gt;&lt;urls&gt;&lt;related-urls&gt;&lt;url&gt;&amp;lt;Go to ISI&amp;gt;://WOS:000400338000037&lt;/url&gt;&lt;/related-urls&gt;&lt;/urls&gt;&lt;electronic-resource-num&gt;10.1039/c7ra02253k&lt;/electronic-resource-num&gt;&lt;/record&gt;&lt;/Cite&gt;&lt;/EndNote&gt;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[5]</w:t>
            </w:r>
            <w:r>
              <w:rPr>
                <w:rFonts w:ascii="Times New Roman" w:eastAsia="宋体" w:hAnsi="Times New Roman" w:cs="Times New Roman"/>
                <w:kern w:val="0"/>
                <w:szCs w:val="21"/>
              </w:rPr>
              <w:fldChar w:fldCharType="end"/>
            </w:r>
          </w:p>
        </w:tc>
      </w:tr>
      <w:tr w:rsidR="00EA557E" w14:paraId="6EBFD36A" w14:textId="77777777">
        <w:trPr>
          <w:trHeight w:val="87"/>
          <w:jc w:val="center"/>
        </w:trPr>
        <w:tc>
          <w:tcPr>
            <w:tcW w:w="2162" w:type="dxa"/>
            <w:shd w:val="clear" w:color="auto" w:fill="FFFFFF"/>
            <w:vAlign w:val="center"/>
          </w:tcPr>
          <w:p w14:paraId="69C29F53"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MIPs/AuNPs/β-CD/GR/GCE </w:t>
            </w:r>
          </w:p>
        </w:tc>
        <w:tc>
          <w:tcPr>
            <w:tcW w:w="1092" w:type="dxa"/>
            <w:shd w:val="clear" w:color="auto" w:fill="FFFFFF"/>
            <w:noWrap/>
            <w:vAlign w:val="center"/>
          </w:tcPr>
          <w:p w14:paraId="6A6723F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Quercetin</w:t>
            </w:r>
          </w:p>
        </w:tc>
        <w:tc>
          <w:tcPr>
            <w:tcW w:w="742" w:type="dxa"/>
            <w:shd w:val="clear" w:color="auto" w:fill="FFFFFF"/>
            <w:noWrap/>
            <w:vAlign w:val="center"/>
          </w:tcPr>
          <w:p w14:paraId="11DCB63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DPV</w:t>
            </w:r>
          </w:p>
        </w:tc>
        <w:tc>
          <w:tcPr>
            <w:tcW w:w="2496" w:type="dxa"/>
            <w:shd w:val="clear" w:color="auto" w:fill="FFFFFF"/>
            <w:noWrap/>
            <w:vAlign w:val="center"/>
          </w:tcPr>
          <w:p w14:paraId="5B4842BC"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0.001 ~ 1.0 </w:t>
            </w:r>
            <w:proofErr w:type="spellStart"/>
            <w:r>
              <w:rPr>
                <w:rFonts w:ascii="Times New Roman" w:eastAsia="宋体" w:hAnsi="Times New Roman" w:cs="Times New Roman"/>
                <w:kern w:val="0"/>
                <w:szCs w:val="21"/>
              </w:rPr>
              <w:t>μM</w:t>
            </w:r>
            <w:proofErr w:type="spellEnd"/>
          </w:p>
        </w:tc>
        <w:tc>
          <w:tcPr>
            <w:tcW w:w="1588" w:type="dxa"/>
            <w:shd w:val="clear" w:color="auto" w:fill="FFFFFF"/>
            <w:noWrap/>
            <w:vAlign w:val="center"/>
          </w:tcPr>
          <w:p w14:paraId="7E351AC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0.1 </w:t>
            </w:r>
            <w:proofErr w:type="spellStart"/>
            <w:r>
              <w:rPr>
                <w:rFonts w:ascii="Times New Roman" w:eastAsia="宋体" w:hAnsi="Times New Roman" w:cs="Times New Roman"/>
                <w:kern w:val="0"/>
                <w:szCs w:val="21"/>
              </w:rPr>
              <w:t>nM</w:t>
            </w:r>
            <w:proofErr w:type="spellEnd"/>
          </w:p>
        </w:tc>
        <w:tc>
          <w:tcPr>
            <w:tcW w:w="1275" w:type="dxa"/>
            <w:shd w:val="clear" w:color="auto" w:fill="FFFFFF"/>
            <w:noWrap/>
            <w:vAlign w:val="center"/>
          </w:tcPr>
          <w:p w14:paraId="5652625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97.5 ~ 102.1 </w:t>
            </w:r>
          </w:p>
        </w:tc>
        <w:tc>
          <w:tcPr>
            <w:tcW w:w="1933" w:type="dxa"/>
            <w:shd w:val="clear" w:color="auto" w:fill="FFFFFF"/>
            <w:noWrap/>
            <w:vAlign w:val="center"/>
          </w:tcPr>
          <w:p w14:paraId="3193C095"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Pharmaceutical </w:t>
            </w:r>
          </w:p>
        </w:tc>
        <w:tc>
          <w:tcPr>
            <w:tcW w:w="567" w:type="dxa"/>
            <w:shd w:val="clear" w:color="auto" w:fill="FFFFFF"/>
            <w:noWrap/>
            <w:vAlign w:val="center"/>
          </w:tcPr>
          <w:p w14:paraId="0C4FDC37"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&lt;EndNote&gt;&lt;Cite&gt;&lt;Author&gt;Wang&lt;/Author&gt;&lt;Year&gt;2016&lt;/Year&gt;&lt;RecNum&gt;27&lt;/RecNum&gt;&lt;DisplayText&gt;[6]&lt;/DisplayText&gt;&lt;record&gt;&lt;rec-number&gt;27&lt;/rec-number&gt;&lt;foreign-keys&gt;&lt;key app="EN" db-id="at2adptx50pr0se0v94ptxs7prradexrfvaw" timestamp="1683716617"&gt;27&lt;/key&gt;&lt;/foreign-keys&gt;&lt;ref-type name="Journal Article"&gt;17&lt;/ref-type&gt;&lt;contributors&gt;&lt;authors&gt;&lt;author&gt;Wang, Chunlei&lt;/author&gt;&lt;author&gt;Wang, Qi&lt;/author&gt;&lt;author&gt;Zhong, Min&lt;/author&gt;&lt;author&gt;Kan, Xianwen&lt;/author&gt;&lt;/authors&gt;&lt;/contributors&gt;&lt;titles&gt;&lt;title&gt;Boronic acid based imprinted electrochemical sensor for rutin recognition and detection&lt;/title&gt;&lt;secondary-title&gt;Analyst&lt;/secondary-title&gt;&lt;/titles&gt;&lt;periodical&gt;&lt;full-title&gt;Analyst&lt;/full-title&gt;&lt;/periodical&gt;&lt;pages&gt;5792-5798&lt;/pages&gt;&lt;volume&gt;141&lt;/volume&gt;&lt;number&gt;20&lt;/number&gt;&lt;dates&gt;&lt;year&gt;2016&lt;/year&gt;&lt;pub-dates&gt;&lt;date&gt;2016&lt;/date&gt;&lt;/pub-dates&gt;&lt;/dates&gt;&lt;isbn&gt;0003-2654&lt;/isbn&gt;&lt;accession-num&gt;WOS:000385152600014&lt;/accession-num&gt;&lt;work-type&gt;Article&lt;/work-type&gt;&lt;urls&gt;&lt;related-urls&gt;&lt;url&gt;&amp;lt;Go to ISI&amp;gt;://WOS:000385152600014&lt;/url&gt;&lt;/related-urls&gt;&lt;/urls&gt;&lt;electronic-resource-num&gt;10.1039/c6an01294a&lt;/electronic-resource-num&gt;&lt;/record&gt;&lt;/Cite&gt;&lt;/EndNote&gt;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[6]</w:t>
            </w:r>
            <w:r>
              <w:rPr>
                <w:rFonts w:ascii="Times New Roman" w:eastAsia="宋体" w:hAnsi="Times New Roman" w:cs="Times New Roman"/>
                <w:kern w:val="0"/>
                <w:szCs w:val="21"/>
              </w:rPr>
              <w:fldChar w:fldCharType="end"/>
            </w:r>
          </w:p>
        </w:tc>
      </w:tr>
      <w:tr w:rsidR="00EA557E" w14:paraId="1104E71A" w14:textId="77777777">
        <w:trPr>
          <w:trHeight w:val="87"/>
          <w:jc w:val="center"/>
        </w:trPr>
        <w:tc>
          <w:tcPr>
            <w:tcW w:w="2162" w:type="dxa"/>
            <w:shd w:val="clear" w:color="auto" w:fill="FFFFFF"/>
            <w:vAlign w:val="center"/>
          </w:tcPr>
          <w:p w14:paraId="501E7481"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MIP-CPE</w:t>
            </w:r>
          </w:p>
        </w:tc>
        <w:tc>
          <w:tcPr>
            <w:tcW w:w="1092" w:type="dxa"/>
            <w:shd w:val="clear" w:color="auto" w:fill="FFFFFF"/>
            <w:noWrap/>
            <w:vAlign w:val="center"/>
          </w:tcPr>
          <w:p w14:paraId="3B686164"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Curcumin</w:t>
            </w:r>
          </w:p>
        </w:tc>
        <w:tc>
          <w:tcPr>
            <w:tcW w:w="742" w:type="dxa"/>
            <w:shd w:val="clear" w:color="auto" w:fill="FFFFFF"/>
            <w:noWrap/>
            <w:vAlign w:val="center"/>
          </w:tcPr>
          <w:p w14:paraId="2E6CFBB7"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CV</w:t>
            </w:r>
          </w:p>
        </w:tc>
        <w:tc>
          <w:tcPr>
            <w:tcW w:w="2496" w:type="dxa"/>
            <w:shd w:val="clear" w:color="auto" w:fill="FFFFFF"/>
            <w:noWrap/>
            <w:vAlign w:val="center"/>
          </w:tcPr>
          <w:p w14:paraId="260172C6"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0.1 ~ 50 mM </w:t>
            </w:r>
          </w:p>
        </w:tc>
        <w:tc>
          <w:tcPr>
            <w:tcW w:w="1588" w:type="dxa"/>
            <w:shd w:val="clear" w:color="auto" w:fill="FFFFFF"/>
            <w:noWrap/>
            <w:vAlign w:val="center"/>
          </w:tcPr>
          <w:p w14:paraId="209CE0DC"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10.1 </w:t>
            </w:r>
            <w:proofErr w:type="spellStart"/>
            <w:r>
              <w:rPr>
                <w:rFonts w:ascii="Times New Roman" w:eastAsia="宋体" w:hAnsi="Times New Roman" w:cs="Times New Roman"/>
                <w:kern w:val="0"/>
                <w:szCs w:val="21"/>
              </w:rPr>
              <w:t>nM</w:t>
            </w:r>
            <w:proofErr w:type="spellEnd"/>
          </w:p>
        </w:tc>
        <w:tc>
          <w:tcPr>
            <w:tcW w:w="1275" w:type="dxa"/>
            <w:shd w:val="clear" w:color="auto" w:fill="FFFFFF"/>
            <w:noWrap/>
            <w:vAlign w:val="center"/>
          </w:tcPr>
          <w:p w14:paraId="3D6B23F9"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90.77 ~ 105.7</w:t>
            </w:r>
          </w:p>
        </w:tc>
        <w:tc>
          <w:tcPr>
            <w:tcW w:w="1933" w:type="dxa"/>
            <w:shd w:val="clear" w:color="auto" w:fill="FFFFFF"/>
            <w:noWrap/>
            <w:vAlign w:val="center"/>
          </w:tcPr>
          <w:p w14:paraId="524FEF4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Curcuma powder and Cookies</w:t>
            </w:r>
          </w:p>
        </w:tc>
        <w:tc>
          <w:tcPr>
            <w:tcW w:w="567" w:type="dxa"/>
            <w:shd w:val="clear" w:color="auto" w:fill="FFFFFF"/>
            <w:noWrap/>
            <w:vAlign w:val="center"/>
          </w:tcPr>
          <w:p w14:paraId="5F9C7A1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&lt;EndNote&gt;&lt;Cite&gt;&lt;Author&gt;Das&lt;/Author&gt;&lt;Year&gt;2021&lt;/Year&gt;&lt;RecNum&gt;30&lt;/RecNum&gt;&lt;DisplayText&gt;[7]&lt;/DisplayText&gt;&lt;record&gt;&lt;rec-number&gt;30&lt;/rec-number&gt;&lt;foreign-keys&gt;&lt;key app="EN" db-id="at2adptx50pr0se0v94ptxs7prradexrfvaw" timestamp="1683717211"&gt;30&lt;/key&gt;&lt;/foreign-keys&gt;&lt;ref-type name="Journal Article"&gt;17&lt;/ref-type&gt;&lt;contributors&gt;&lt;authors&gt;&lt;author&gt;Das, Debangana&lt;/author&gt;&lt;author&gt;Biswas, Don&lt;/author&gt;&lt;author&gt;Hazarika, Ajanto Kumar&lt;/author&gt;&lt;author&gt;Sabhapondit, Santanu&lt;/author&gt;&lt;author&gt;Roy, Runu Banerjee&lt;/author&gt;&lt;author&gt;Tudu, Bipan&lt;/author&gt;&lt;author&gt;Bandyopadhyay, Rajib&lt;/author&gt;&lt;/authors&gt;&lt;/contributors&gt;&lt;titles&gt;&lt;title&gt;CuO Nanoparticles Decorated MIP-Based Electrode for Sensitive Determination of Gallic Acid in Green Tea&lt;/title&gt;&lt;secondary-title&gt;Ieee Sensors Journal&lt;/secondary-title&gt;&lt;/titles&gt;&lt;periodical&gt;&lt;full-title&gt;Ieee Sensors Journal&lt;/full-title&gt;&lt;/periodical&gt;&lt;pages&gt;5687-5694&lt;/pages&gt;&lt;volume&gt;21&lt;/volume&gt;&lt;number&gt;5&lt;/number&gt;&lt;dates&gt;&lt;year&gt;2021&lt;/year&gt;&lt;pub-dates&gt;&lt;date&gt;Mar 1&lt;/date&gt;&lt;/pub-dates&gt;&lt;/dates&gt;&lt;isbn&gt;1530-437X&lt;/isbn&gt;&lt;accession-num&gt;WOS:000616329300009&lt;/accession-num&gt;&lt;work-type&gt;Article&lt;/work-type&gt;&lt;urls&gt;&lt;related-urls&gt;&lt;url&gt;&amp;lt;Go to ISI&amp;gt;://WOS:000616329300009&lt;/url&gt;&lt;/related-urls&gt;&lt;/urls&gt;&lt;electronic-resource-num&gt;10.1109/jsen.2020.3036663&lt;/electronic-resource-num&gt;&lt;/record&gt;&lt;/Cite&gt;&lt;/EndNote&gt;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[7]</w:t>
            </w:r>
            <w:r>
              <w:rPr>
                <w:rFonts w:ascii="Times New Roman" w:eastAsia="宋体" w:hAnsi="Times New Roman" w:cs="Times New Roman"/>
                <w:kern w:val="0"/>
                <w:szCs w:val="21"/>
              </w:rPr>
              <w:fldChar w:fldCharType="end"/>
            </w:r>
          </w:p>
        </w:tc>
      </w:tr>
      <w:tr w:rsidR="00EA557E" w14:paraId="195E4D8A" w14:textId="77777777">
        <w:trPr>
          <w:trHeight w:val="87"/>
          <w:jc w:val="center"/>
        </w:trPr>
        <w:tc>
          <w:tcPr>
            <w:tcW w:w="2162" w:type="dxa"/>
            <w:shd w:val="clear" w:color="auto" w:fill="FFFFFF"/>
            <w:vAlign w:val="center"/>
          </w:tcPr>
          <w:p w14:paraId="04229801"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MIP-</w:t>
            </w:r>
            <w:proofErr w:type="spellStart"/>
            <w:r>
              <w:rPr>
                <w:rFonts w:ascii="Times New Roman" w:eastAsia="宋体" w:hAnsi="Times New Roman" w:cs="Times New Roman"/>
                <w:kern w:val="0"/>
                <w:szCs w:val="21"/>
              </w:rPr>
              <w:t>CuO</w:t>
            </w:r>
            <w:proofErr w:type="spellEnd"/>
          </w:p>
        </w:tc>
        <w:tc>
          <w:tcPr>
            <w:tcW w:w="1092" w:type="dxa"/>
            <w:shd w:val="clear" w:color="auto" w:fill="FFFFFF"/>
            <w:noWrap/>
            <w:vAlign w:val="center"/>
          </w:tcPr>
          <w:p w14:paraId="3E2E23B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Gallic acid</w:t>
            </w:r>
          </w:p>
        </w:tc>
        <w:tc>
          <w:tcPr>
            <w:tcW w:w="742" w:type="dxa"/>
            <w:shd w:val="clear" w:color="auto" w:fill="FFFFFF"/>
            <w:noWrap/>
            <w:vAlign w:val="center"/>
          </w:tcPr>
          <w:p w14:paraId="0B1E37D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CV and DPV</w:t>
            </w:r>
          </w:p>
        </w:tc>
        <w:tc>
          <w:tcPr>
            <w:tcW w:w="2496" w:type="dxa"/>
            <w:shd w:val="clear" w:color="auto" w:fill="FFFFFF"/>
            <w:noWrap/>
            <w:vAlign w:val="center"/>
          </w:tcPr>
          <w:p w14:paraId="2152258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1 ~ 100 µM and 100 ~ 900 µM</w:t>
            </w:r>
          </w:p>
        </w:tc>
        <w:tc>
          <w:tcPr>
            <w:tcW w:w="1588" w:type="dxa"/>
            <w:shd w:val="clear" w:color="auto" w:fill="FFFFFF"/>
            <w:noWrap/>
            <w:vAlign w:val="center"/>
          </w:tcPr>
          <w:p w14:paraId="67776D42"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12.6 </w:t>
            </w:r>
            <w:proofErr w:type="spellStart"/>
            <w:r>
              <w:rPr>
                <w:rFonts w:ascii="Times New Roman" w:eastAsia="宋体" w:hAnsi="Times New Roman" w:cs="Times New Roman"/>
                <w:kern w:val="0"/>
                <w:szCs w:val="21"/>
              </w:rPr>
              <w:t>nM</w:t>
            </w:r>
            <w:proofErr w:type="spellEnd"/>
          </w:p>
        </w:tc>
        <w:tc>
          <w:tcPr>
            <w:tcW w:w="1275" w:type="dxa"/>
            <w:shd w:val="clear" w:color="auto" w:fill="FFFFFF"/>
            <w:noWrap/>
            <w:vAlign w:val="center"/>
          </w:tcPr>
          <w:p w14:paraId="6BA7716A" w14:textId="77777777" w:rsidR="00EA557E" w:rsidRDefault="00000000">
            <w:pPr>
              <w:widowControl/>
              <w:adjustRightInd w:val="0"/>
              <w:snapToGrid w:val="0"/>
              <w:spacing w:afterLines="50" w:after="156" w:line="312" w:lineRule="auto"/>
              <w:ind w:left="210" w:hangingChars="100" w:hanging="210"/>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 </w:t>
            </w:r>
          </w:p>
        </w:tc>
        <w:tc>
          <w:tcPr>
            <w:tcW w:w="1933" w:type="dxa"/>
            <w:shd w:val="clear" w:color="auto" w:fill="FFFFFF"/>
            <w:noWrap/>
            <w:vAlign w:val="center"/>
          </w:tcPr>
          <w:p w14:paraId="11B6D3B1"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GT samples</w:t>
            </w:r>
          </w:p>
        </w:tc>
        <w:tc>
          <w:tcPr>
            <w:tcW w:w="567" w:type="dxa"/>
            <w:shd w:val="clear" w:color="auto" w:fill="FFFFFF"/>
            <w:noWrap/>
            <w:vAlign w:val="center"/>
          </w:tcPr>
          <w:p w14:paraId="2DE3DB3C"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&lt;EndNote&gt;&lt;Cite&gt;&lt;Author&gt;Bai&lt;/Author&gt;&lt;Year&gt;2015&lt;/Year&gt;&lt;RecNum&gt;28&lt;/RecNum&gt;&lt;DisplayText&gt;[8]&lt;/DisplayText&gt;&lt;record&gt;&lt;rec-number&gt;28&lt;/rec-number&gt;&lt;foreign-keys&gt;&lt;key app="EN" db-id="at2adptx50pr0se0v94ptxs7prradexrfvaw" timestamp="1683716659"&gt;28&lt;/key&gt;&lt;/foreign-keys&gt;&lt;ref-type name="Journal Article"&gt;17&lt;/ref-type&gt;&lt;contributors&gt;&lt;authors&gt;&lt;author&gt;Bai, Huiping&lt;/author&gt;&lt;author&gt;Wang, Chunqiong&lt;/author&gt;&lt;author&gt;Chen, Jing&lt;/author&gt;&lt;author&gt;Peng, Jun&lt;/author&gt;&lt;author&gt;Cao, Qiue&lt;/author&gt;&lt;/authors&gt;&lt;/contributors&gt;&lt;titles&gt;&lt;title&gt;A novel sensitive electrochemical sensor based on in-situ polymerized molecularly imprinted membranes at graphene modified electrode for artemisinin determination&lt;/title&gt;&lt;secondary-title&gt;Biosensors &amp;amp; Bioelectronics&lt;/secondary-title&gt;&lt;/titles&gt;&lt;periodical&gt;&lt;full-title&gt;Biosensors &amp;amp; Bioelectronics&lt;/full-title&gt;&lt;/periodical&gt;&lt;pages&gt;352-358&lt;/pages&gt;&lt;volume&gt;64&lt;/volume&gt;&lt;dates&gt;&lt;year&gt;2015&lt;/year&gt;&lt;pub-dates&gt;&lt;date&gt;Feb 15&lt;/date&gt;&lt;/pub-dates&gt;&lt;/dates&gt;&lt;isbn&gt;0956-5663&lt;/isbn&gt;&lt;accession-num&gt;WOS:000345059100052&lt;/accession-num&gt;&lt;work-type&gt;Article&lt;/work-type&gt;&lt;urls&gt;&lt;related-urls&gt;&lt;url&gt;&amp;lt;Go to ISI&amp;gt;://WOS:000345059100052&lt;/url&gt;&lt;/related-urls&gt;&lt;/urls&gt;&lt;electronic-resource-num&gt;10.1016/j.bios.2014.09.034&lt;/electronic-resource-num&gt;&lt;/record&gt;&lt;/Cite&gt;&lt;/EndNote&gt;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[8]</w:t>
            </w:r>
            <w:r>
              <w:rPr>
                <w:rFonts w:ascii="Times New Roman" w:eastAsia="宋体" w:hAnsi="Times New Roman" w:cs="Times New Roman"/>
                <w:kern w:val="0"/>
                <w:szCs w:val="21"/>
              </w:rPr>
              <w:fldChar w:fldCharType="end"/>
            </w:r>
          </w:p>
        </w:tc>
      </w:tr>
      <w:tr w:rsidR="00EA557E" w14:paraId="1A0E0DF0" w14:textId="77777777">
        <w:trPr>
          <w:trHeight w:val="87"/>
          <w:jc w:val="center"/>
        </w:trPr>
        <w:tc>
          <w:tcPr>
            <w:tcW w:w="2162" w:type="dxa"/>
            <w:shd w:val="clear" w:color="auto" w:fill="FFFFFF"/>
            <w:vAlign w:val="center"/>
          </w:tcPr>
          <w:p w14:paraId="51D15836"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AA-MI-PANI/ITO</w:t>
            </w:r>
          </w:p>
        </w:tc>
        <w:tc>
          <w:tcPr>
            <w:tcW w:w="1092" w:type="dxa"/>
            <w:shd w:val="clear" w:color="auto" w:fill="FFFFFF"/>
            <w:noWrap/>
            <w:vAlign w:val="center"/>
          </w:tcPr>
          <w:p w14:paraId="6731E87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Vitamin C</w:t>
            </w:r>
          </w:p>
        </w:tc>
        <w:tc>
          <w:tcPr>
            <w:tcW w:w="742" w:type="dxa"/>
            <w:shd w:val="clear" w:color="auto" w:fill="FFFFFF"/>
            <w:noWrap/>
            <w:vAlign w:val="center"/>
          </w:tcPr>
          <w:p w14:paraId="00B0A0DC"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DPV</w:t>
            </w:r>
          </w:p>
        </w:tc>
        <w:tc>
          <w:tcPr>
            <w:tcW w:w="2496" w:type="dxa"/>
            <w:shd w:val="clear" w:color="auto" w:fill="FFFFFF"/>
            <w:noWrap/>
            <w:vAlign w:val="center"/>
          </w:tcPr>
          <w:p w14:paraId="1317DA29"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0.05 ~ 0.4 mM</w:t>
            </w:r>
          </w:p>
        </w:tc>
        <w:tc>
          <w:tcPr>
            <w:tcW w:w="1588" w:type="dxa"/>
            <w:shd w:val="clear" w:color="auto" w:fill="FFFFFF"/>
            <w:noWrap/>
            <w:vAlign w:val="center"/>
          </w:tcPr>
          <w:p w14:paraId="15192041"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0.018 mM</w:t>
            </w:r>
          </w:p>
        </w:tc>
        <w:tc>
          <w:tcPr>
            <w:tcW w:w="1275" w:type="dxa"/>
            <w:shd w:val="clear" w:color="auto" w:fill="FFFFFF"/>
            <w:noWrap/>
            <w:vAlign w:val="center"/>
          </w:tcPr>
          <w:p w14:paraId="7FF715EB" w14:textId="77777777" w:rsidR="00EA557E" w:rsidRDefault="00000000">
            <w:pPr>
              <w:widowControl/>
              <w:adjustRightInd w:val="0"/>
              <w:snapToGrid w:val="0"/>
              <w:spacing w:afterLines="50" w:after="156" w:line="312" w:lineRule="auto"/>
              <w:ind w:left="210" w:hangingChars="100" w:hanging="210"/>
              <w:jc w:val="left"/>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933" w:type="dxa"/>
            <w:shd w:val="clear" w:color="auto" w:fill="FFFFFF"/>
            <w:noWrap/>
            <w:vAlign w:val="center"/>
          </w:tcPr>
          <w:p w14:paraId="4510D8B0"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proofErr w:type="spellStart"/>
            <w:r>
              <w:rPr>
                <w:rFonts w:ascii="Times New Roman" w:eastAsia="宋体" w:hAnsi="Times New Roman" w:cs="Times New Roman"/>
                <w:kern w:val="0"/>
                <w:szCs w:val="21"/>
              </w:rPr>
              <w:t>Limcee</w:t>
            </w:r>
            <w:proofErr w:type="spellEnd"/>
            <w:r>
              <w:rPr>
                <w:rFonts w:ascii="Times New Roman" w:eastAsia="宋体" w:hAnsi="Times New Roman" w:cs="Times New Roman"/>
                <w:kern w:val="0"/>
                <w:szCs w:val="21"/>
              </w:rPr>
              <w:t>, Vitchew CZ and Suck Vit Tablets</w:t>
            </w:r>
          </w:p>
        </w:tc>
        <w:tc>
          <w:tcPr>
            <w:tcW w:w="567" w:type="dxa"/>
            <w:shd w:val="clear" w:color="auto" w:fill="FFFFFF"/>
            <w:noWrap/>
            <w:vAlign w:val="center"/>
          </w:tcPr>
          <w:p w14:paraId="3255A0F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&lt;EndNote&gt;&lt;Cite&gt;&lt;Author&gt;Roy&lt;/Author&gt;&lt;Year&gt;2011&lt;/Year&gt;&lt;RecNum&gt;29&lt;/RecNum&gt;&lt;DisplayText&gt;[9]&lt;/DisplayText&gt;&lt;record&gt;&lt;rec-number&gt;29&lt;/rec-number&gt;&lt;foreign-keys&gt;&lt;key app="EN" db-id="at2adptx50pr0se0v94ptxs7prradexrfvaw" timestamp="1683716669"&gt;29&lt;/key&gt;&lt;/foreign-keys&gt;&lt;ref-type name="Journal Article"&gt;17&lt;/ref-type&gt;&lt;contributors&gt;&lt;authors&gt;&lt;author&gt;Roy, Abani Kumar&lt;/author&gt;&lt;author&gt;Nisha, V. S.&lt;/author&gt;&lt;author&gt;Dhand, Chetna&lt;/author&gt;&lt;author&gt;Malhotra, Bansi D.&lt;/author&gt;&lt;/authors&gt;&lt;/contributors&gt;&lt;titles&gt;&lt;title&gt;Molecularly imprinted polyaniline film for ascorbic acid detection&lt;/title&gt;&lt;secondary-title&gt;Journal of Molecular Recognition&lt;/secondary-title&gt;&lt;/titles&gt;&lt;periodical&gt;&lt;full-title&gt;Journal of Molecular Recognition&lt;/full-title&gt;&lt;/periodical&gt;&lt;pages&gt;700-706&lt;/pages&gt;&lt;volume&gt;24&lt;/volume&gt;&lt;number&gt;4&lt;/number&gt;&lt;dates&gt;&lt;year&gt;2011&lt;/year&gt;&lt;pub-dates&gt;&lt;date&gt;Jul-Aug&lt;/date&gt;&lt;/pub-dates&gt;&lt;/dates&gt;&lt;isbn&gt;0952-3499&lt;/isbn&gt;&lt;accession-num&gt;WOS:000507396900007&lt;/accession-num&gt;&lt;work-type&gt;Article&lt;/work-type&gt;&lt;urls&gt;&lt;related-urls&gt;&lt;url&gt;&amp;lt;Go to ISI&amp;gt;://WOS:000507396900007&lt;/url&gt;&lt;/related-urls&gt;&lt;/urls&gt;&lt;electronic-resource-num&gt;10.1002/jmr.1104&lt;/electronic-resource-num&gt;&lt;/record&gt;&lt;/Cite&gt;&lt;/EndNote&gt;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[9]</w:t>
            </w:r>
            <w:r>
              <w:rPr>
                <w:rFonts w:ascii="Times New Roman" w:eastAsia="宋体" w:hAnsi="Times New Roman" w:cs="Times New Roman"/>
                <w:kern w:val="0"/>
                <w:szCs w:val="21"/>
              </w:rPr>
              <w:fldChar w:fldCharType="end"/>
            </w:r>
          </w:p>
        </w:tc>
      </w:tr>
      <w:tr w:rsidR="00EA557E" w14:paraId="5A4A46E2" w14:textId="77777777">
        <w:trPr>
          <w:trHeight w:val="87"/>
          <w:jc w:val="center"/>
        </w:trPr>
        <w:tc>
          <w:tcPr>
            <w:tcW w:w="2162" w:type="dxa"/>
            <w:tcBorders>
              <w:top w:val="nil"/>
              <w:left w:val="nil"/>
              <w:bottom w:val="single" w:sz="4" w:space="0" w:color="auto"/>
              <w:right w:val="nil"/>
            </w:tcBorders>
            <w:shd w:val="clear" w:color="auto" w:fill="FFFFFF"/>
            <w:vAlign w:val="center"/>
          </w:tcPr>
          <w:p w14:paraId="2839659D" w14:textId="77777777" w:rsidR="00EA557E" w:rsidRDefault="00000000">
            <w:pPr>
              <w:widowControl/>
              <w:adjustRightInd w:val="0"/>
              <w:snapToGrid w:val="0"/>
              <w:spacing w:afterLines="50" w:after="156"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GE/MXene/MIP electrochemical sensor</w:t>
            </w:r>
          </w:p>
        </w:tc>
        <w:tc>
          <w:tcPr>
            <w:tcW w:w="1092" w:type="dxa"/>
            <w:tcBorders>
              <w:top w:val="nil"/>
              <w:left w:val="nil"/>
              <w:bottom w:val="single" w:sz="4" w:space="0" w:color="auto"/>
              <w:right w:val="nil"/>
            </w:tcBorders>
            <w:shd w:val="clear" w:color="auto" w:fill="FFFFFF"/>
            <w:noWrap/>
            <w:vAlign w:val="center"/>
          </w:tcPr>
          <w:p w14:paraId="3CFBFF11" w14:textId="77777777" w:rsidR="00EA557E" w:rsidRDefault="00000000">
            <w:pPr>
              <w:widowControl/>
              <w:adjustRightInd w:val="0"/>
              <w:snapToGrid w:val="0"/>
              <w:spacing w:afterLines="50" w:after="156"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AR21</w:t>
            </w:r>
          </w:p>
        </w:tc>
        <w:tc>
          <w:tcPr>
            <w:tcW w:w="742" w:type="dxa"/>
            <w:tcBorders>
              <w:top w:val="nil"/>
              <w:left w:val="nil"/>
              <w:bottom w:val="single" w:sz="4" w:space="0" w:color="auto"/>
              <w:right w:val="nil"/>
            </w:tcBorders>
            <w:shd w:val="clear" w:color="auto" w:fill="FFFFFF"/>
            <w:noWrap/>
            <w:vAlign w:val="center"/>
          </w:tcPr>
          <w:p w14:paraId="2A751082" w14:textId="77777777" w:rsidR="00EA557E" w:rsidRDefault="00000000">
            <w:pPr>
              <w:widowControl/>
              <w:adjustRightInd w:val="0"/>
              <w:snapToGrid w:val="0"/>
              <w:spacing w:afterLines="50" w:after="156"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CV</w:t>
            </w:r>
          </w:p>
        </w:tc>
        <w:tc>
          <w:tcPr>
            <w:tcW w:w="2496" w:type="dxa"/>
            <w:tcBorders>
              <w:top w:val="nil"/>
              <w:left w:val="nil"/>
              <w:bottom w:val="single" w:sz="4" w:space="0" w:color="auto"/>
              <w:right w:val="nil"/>
            </w:tcBorders>
            <w:shd w:val="clear" w:color="auto" w:fill="FFFFFF"/>
            <w:noWrap/>
            <w:vAlign w:val="center"/>
          </w:tcPr>
          <w:p w14:paraId="68072331" w14:textId="77777777" w:rsidR="00EA557E" w:rsidRDefault="00000000">
            <w:pPr>
              <w:widowControl/>
              <w:adjustRightInd w:val="0"/>
              <w:snapToGrid w:val="0"/>
              <w:spacing w:line="312" w:lineRule="auto"/>
              <w:jc w:val="left"/>
              <w:rPr>
                <w:rFonts w:ascii="Times New Roman" w:eastAsia="宋体" w:hAnsi="Times New Roman" w:cs="Times New Roman"/>
                <w:i/>
                <w:iCs/>
                <w:kern w:val="0"/>
                <w:szCs w:val="21"/>
                <w:vertAlign w:val="superscript"/>
              </w:rPr>
            </w:pPr>
            <w:r>
              <w:rPr>
                <w:rFonts w:ascii="Times New Roman" w:eastAsia="宋体" w:hAnsi="Times New Roman" w:cs="Times New Roman"/>
                <w:i/>
                <w:iCs/>
                <w:kern w:val="0"/>
                <w:szCs w:val="21"/>
              </w:rPr>
              <w:t>0.005 ~100 µg·mL</w:t>
            </w:r>
            <w:r>
              <w:rPr>
                <w:rFonts w:ascii="Times New Roman" w:eastAsia="宋体" w:hAnsi="Times New Roman" w:cs="Times New Roman"/>
                <w:i/>
                <w:iCs/>
                <w:kern w:val="0"/>
                <w:szCs w:val="21"/>
                <w:vertAlign w:val="superscript"/>
              </w:rPr>
              <w:t>−1</w:t>
            </w:r>
          </w:p>
          <w:p w14:paraId="74DDF214" w14:textId="77777777" w:rsidR="00EA557E" w:rsidRDefault="00000000">
            <w:pPr>
              <w:widowControl/>
              <w:adjustRightInd w:val="0"/>
              <w:snapToGrid w:val="0"/>
              <w:spacing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(equal to 1.236 × 10</w:t>
            </w:r>
            <w:r>
              <w:rPr>
                <w:rFonts w:ascii="Times New Roman" w:eastAsia="宋体" w:hAnsi="Times New Roman" w:cs="Times New Roman"/>
                <w:i/>
                <w:iCs/>
                <w:kern w:val="0"/>
                <w:szCs w:val="21"/>
                <w:vertAlign w:val="superscript"/>
              </w:rPr>
              <w:t xml:space="preserve">−5 </w:t>
            </w:r>
            <w:r>
              <w:rPr>
                <w:rFonts w:ascii="Times New Roman" w:eastAsia="宋体" w:hAnsi="Times New Roman" w:cs="Times New Roman"/>
                <w:i/>
                <w:iCs/>
                <w:kern w:val="0"/>
                <w:szCs w:val="21"/>
              </w:rPr>
              <w:t xml:space="preserve">~ 0.247 </w:t>
            </w:r>
            <w:proofErr w:type="spellStart"/>
            <w:r>
              <w:rPr>
                <w:rFonts w:ascii="Times New Roman" w:eastAsia="宋体" w:hAnsi="Times New Roman" w:cs="Times New Roman"/>
                <w:i/>
                <w:iCs/>
                <w:kern w:val="0"/>
                <w:szCs w:val="21"/>
              </w:rPr>
              <w:t>uM</w:t>
            </w:r>
            <w:proofErr w:type="spellEnd"/>
            <w:r>
              <w:rPr>
                <w:rFonts w:ascii="Times New Roman" w:eastAsia="宋体" w:hAnsi="Times New Roman" w:cs="Times New Roman"/>
                <w:i/>
                <w:iCs/>
                <w:kern w:val="0"/>
                <w:szCs w:val="21"/>
              </w:rPr>
              <w:t>)</w:t>
            </w:r>
          </w:p>
        </w:tc>
        <w:tc>
          <w:tcPr>
            <w:tcW w:w="1588" w:type="dxa"/>
            <w:tcBorders>
              <w:top w:val="nil"/>
              <w:left w:val="nil"/>
              <w:bottom w:val="single" w:sz="4" w:space="0" w:color="auto"/>
              <w:right w:val="nil"/>
            </w:tcBorders>
            <w:shd w:val="clear" w:color="auto" w:fill="FFFFFF"/>
            <w:noWrap/>
            <w:vAlign w:val="center"/>
          </w:tcPr>
          <w:p w14:paraId="019CDCF6" w14:textId="77777777" w:rsidR="00EA557E" w:rsidRDefault="00000000">
            <w:pPr>
              <w:widowControl/>
              <w:adjustRightInd w:val="0"/>
              <w:snapToGrid w:val="0"/>
              <w:spacing w:line="312" w:lineRule="auto"/>
              <w:jc w:val="left"/>
              <w:rPr>
                <w:rFonts w:ascii="Times New Roman" w:eastAsia="宋体" w:hAnsi="Times New Roman" w:cs="Times New Roman"/>
                <w:i/>
                <w:iCs/>
                <w:kern w:val="0"/>
                <w:szCs w:val="21"/>
                <w:vertAlign w:val="superscript"/>
              </w:rPr>
            </w:pPr>
            <w:r>
              <w:rPr>
                <w:rFonts w:ascii="Times New Roman" w:eastAsia="宋体" w:hAnsi="Times New Roman" w:cs="Times New Roman"/>
                <w:i/>
                <w:iCs/>
                <w:kern w:val="0"/>
                <w:szCs w:val="21"/>
              </w:rPr>
              <w:t>2.52 ng·mL</w:t>
            </w:r>
            <w:r>
              <w:rPr>
                <w:rFonts w:ascii="Times New Roman" w:eastAsia="宋体" w:hAnsi="Times New Roman" w:cs="Times New Roman"/>
                <w:i/>
                <w:iCs/>
                <w:kern w:val="0"/>
                <w:szCs w:val="21"/>
                <w:vertAlign w:val="superscript"/>
              </w:rPr>
              <w:t>−1</w:t>
            </w:r>
          </w:p>
          <w:p w14:paraId="79D567DC" w14:textId="77777777" w:rsidR="00EA557E" w:rsidRDefault="00000000">
            <w:pPr>
              <w:widowControl/>
              <w:adjustRightInd w:val="0"/>
              <w:snapToGrid w:val="0"/>
              <w:spacing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(equal to 6.227 × 10</w:t>
            </w:r>
            <w:r>
              <w:rPr>
                <w:rFonts w:ascii="Times New Roman" w:eastAsia="宋体" w:hAnsi="Times New Roman" w:cs="Times New Roman"/>
                <w:i/>
                <w:iCs/>
                <w:kern w:val="0"/>
                <w:szCs w:val="21"/>
                <w:vertAlign w:val="superscript"/>
              </w:rPr>
              <w:t xml:space="preserve">−3 </w:t>
            </w:r>
            <w:proofErr w:type="spellStart"/>
            <w:r>
              <w:rPr>
                <w:rFonts w:ascii="Times New Roman" w:eastAsia="宋体" w:hAnsi="Times New Roman" w:cs="Times New Roman"/>
                <w:i/>
                <w:iCs/>
                <w:kern w:val="0"/>
                <w:szCs w:val="21"/>
              </w:rPr>
              <w:t>uM</w:t>
            </w:r>
            <w:proofErr w:type="spellEnd"/>
            <w:r>
              <w:rPr>
                <w:rFonts w:ascii="Times New Roman" w:eastAsia="宋体" w:hAnsi="Times New Roman" w:cs="Times New Roman"/>
                <w:i/>
                <w:iCs/>
                <w:kern w:val="0"/>
                <w:szCs w:val="21"/>
              </w:rPr>
              <w:t>)</w:t>
            </w:r>
          </w:p>
        </w:tc>
        <w:tc>
          <w:tcPr>
            <w:tcW w:w="1275" w:type="dxa"/>
            <w:tcBorders>
              <w:top w:val="nil"/>
              <w:left w:val="nil"/>
              <w:bottom w:val="single" w:sz="4" w:space="0" w:color="auto"/>
              <w:right w:val="nil"/>
            </w:tcBorders>
            <w:shd w:val="clear" w:color="auto" w:fill="FFFFFF"/>
            <w:noWrap/>
            <w:vAlign w:val="center"/>
          </w:tcPr>
          <w:p w14:paraId="0AFE605B" w14:textId="77777777" w:rsidR="00EA557E" w:rsidRDefault="00000000">
            <w:pPr>
              <w:widowControl/>
              <w:adjustRightInd w:val="0"/>
              <w:snapToGrid w:val="0"/>
              <w:spacing w:afterLines="50" w:after="156" w:line="312" w:lineRule="auto"/>
              <w:ind w:left="210" w:hangingChars="100" w:hanging="210"/>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96.3 ~ 103.5</w:t>
            </w:r>
          </w:p>
        </w:tc>
        <w:tc>
          <w:tcPr>
            <w:tcW w:w="1933" w:type="dxa"/>
            <w:tcBorders>
              <w:top w:val="nil"/>
              <w:left w:val="nil"/>
              <w:bottom w:val="single" w:sz="4" w:space="0" w:color="auto"/>
              <w:right w:val="nil"/>
            </w:tcBorders>
            <w:shd w:val="clear" w:color="auto" w:fill="FFFFFF"/>
            <w:noWrap/>
            <w:vAlign w:val="center"/>
          </w:tcPr>
          <w:p w14:paraId="5BC3449F" w14:textId="77777777" w:rsidR="00EA557E" w:rsidRDefault="00000000">
            <w:pPr>
              <w:widowControl/>
              <w:adjustRightInd w:val="0"/>
              <w:snapToGrid w:val="0"/>
              <w:spacing w:afterLines="50" w:after="156"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Wheat grain, bran, flour, whole wheat noodles and breads</w:t>
            </w:r>
          </w:p>
        </w:tc>
        <w:tc>
          <w:tcPr>
            <w:tcW w:w="567" w:type="dxa"/>
            <w:tcBorders>
              <w:top w:val="nil"/>
              <w:left w:val="nil"/>
              <w:bottom w:val="single" w:sz="4" w:space="0" w:color="auto"/>
              <w:right w:val="nil"/>
            </w:tcBorders>
            <w:shd w:val="clear" w:color="auto" w:fill="FFFFFF"/>
            <w:noWrap/>
            <w:vAlign w:val="center"/>
          </w:tcPr>
          <w:p w14:paraId="6D2C5F20" w14:textId="77777777" w:rsidR="00EA557E" w:rsidRDefault="00000000">
            <w:pPr>
              <w:widowControl/>
              <w:adjustRightInd w:val="0"/>
              <w:snapToGrid w:val="0"/>
              <w:spacing w:afterLines="50" w:after="156"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This work</w:t>
            </w:r>
          </w:p>
        </w:tc>
      </w:tr>
    </w:tbl>
    <w:p w14:paraId="6E8E3A78" w14:textId="77777777" w:rsidR="00EA557E" w:rsidRDefault="00EA557E">
      <w:pPr>
        <w:widowControl/>
        <w:jc w:val="left"/>
        <w:rPr>
          <w:rFonts w:ascii="Times New Roman" w:eastAsia="CharisSIL" w:hAnsi="Times New Roman" w:cs="Times New Roman"/>
          <w:b/>
          <w:bCs/>
          <w:color w:val="000000"/>
          <w:kern w:val="0"/>
          <w:szCs w:val="21"/>
        </w:rPr>
      </w:pPr>
    </w:p>
    <w:p w14:paraId="6165FCC9" w14:textId="77777777" w:rsidR="00EA557E" w:rsidRDefault="00000000">
      <w:pPr>
        <w:widowControl/>
        <w:jc w:val="left"/>
        <w:rPr>
          <w:rFonts w:ascii="Times New Roman" w:eastAsia="CharisSIL" w:hAnsi="Times New Roman" w:cs="Times New Roman"/>
          <w:b/>
          <w:bCs/>
          <w:color w:val="000000"/>
          <w:kern w:val="0"/>
          <w:szCs w:val="21"/>
        </w:rPr>
      </w:pPr>
      <w:r>
        <w:rPr>
          <w:rFonts w:ascii="Times New Roman" w:eastAsia="CharisSIL" w:hAnsi="Times New Roman" w:cs="Times New Roman"/>
          <w:b/>
          <w:bCs/>
          <w:color w:val="000000"/>
          <w:kern w:val="0"/>
          <w:szCs w:val="21"/>
        </w:rPr>
        <w:br w:type="page"/>
      </w:r>
    </w:p>
    <w:p w14:paraId="209F9A24" w14:textId="77777777" w:rsidR="00EA557E" w:rsidRDefault="00000000">
      <w:pPr>
        <w:adjustRightInd w:val="0"/>
        <w:snapToGrid w:val="0"/>
        <w:spacing w:line="360" w:lineRule="auto"/>
        <w:rPr>
          <w:rFonts w:ascii="Times New Roman" w:hAnsi="Times New Roman" w:cs="Times New Roman"/>
          <w:color w:val="000000"/>
          <w:kern w:val="0"/>
          <w:szCs w:val="21"/>
        </w:rPr>
      </w:pPr>
      <w:r>
        <w:rPr>
          <w:rFonts w:ascii="Times New Roman" w:eastAsia="CharisSIL" w:hAnsi="Times New Roman" w:cs="Times New Roman"/>
          <w:b/>
          <w:bCs/>
          <w:color w:val="000000"/>
          <w:kern w:val="0"/>
          <w:szCs w:val="21"/>
        </w:rPr>
        <w:lastRenderedPageBreak/>
        <w:t xml:space="preserve">Table </w:t>
      </w:r>
      <w:r>
        <w:rPr>
          <w:rFonts w:ascii="Times New Roman" w:eastAsia="宋体" w:hAnsi="Times New Roman" w:cs="Times New Roman"/>
          <w:b/>
          <w:bCs/>
          <w:color w:val="000000"/>
          <w:kern w:val="0"/>
          <w:szCs w:val="21"/>
        </w:rPr>
        <w:t>S</w:t>
      </w:r>
      <w:r>
        <w:rPr>
          <w:rFonts w:ascii="Times New Roman" w:eastAsia="CharisSIL" w:hAnsi="Times New Roman" w:cs="Times New Roman"/>
          <w:b/>
          <w:bCs/>
          <w:color w:val="000000"/>
          <w:kern w:val="0"/>
          <w:szCs w:val="21"/>
        </w:rPr>
        <w:t xml:space="preserve">4 </w:t>
      </w:r>
      <w:r>
        <w:rPr>
          <w:rFonts w:ascii="Times New Roman" w:eastAsia="CharisSIL" w:hAnsi="Times New Roman" w:cs="Times New Roman"/>
          <w:color w:val="000000"/>
          <w:kern w:val="0"/>
          <w:szCs w:val="21"/>
        </w:rPr>
        <w:t>Comparison of proposed electrochemical sensor with other methods for the AR21 detection.</w:t>
      </w:r>
    </w:p>
    <w:tbl>
      <w:tblPr>
        <w:tblW w:w="10206" w:type="dxa"/>
        <w:jc w:val="center"/>
        <w:tblLayout w:type="fixed"/>
        <w:tblCellMar>
          <w:left w:w="28" w:type="dxa"/>
          <w:right w:w="28" w:type="dxa"/>
        </w:tblCellMar>
        <w:tblLook w:val="04A0" w:firstRow="1" w:lastRow="0" w:firstColumn="1" w:lastColumn="0" w:noHBand="0" w:noVBand="1"/>
      </w:tblPr>
      <w:tblGrid>
        <w:gridCol w:w="1742"/>
        <w:gridCol w:w="1494"/>
        <w:gridCol w:w="1073"/>
        <w:gridCol w:w="990"/>
        <w:gridCol w:w="1292"/>
        <w:gridCol w:w="1098"/>
        <w:gridCol w:w="1950"/>
        <w:gridCol w:w="567"/>
      </w:tblGrid>
      <w:tr w:rsidR="00EA557E" w14:paraId="5F80CFA6" w14:textId="77777777">
        <w:trPr>
          <w:trHeight w:val="388"/>
          <w:jc w:val="center"/>
        </w:trPr>
        <w:tc>
          <w:tcPr>
            <w:tcW w:w="1742" w:type="dxa"/>
            <w:tcBorders>
              <w:top w:val="single" w:sz="4" w:space="0" w:color="auto"/>
              <w:left w:val="nil"/>
              <w:bottom w:val="single" w:sz="4" w:space="0" w:color="auto"/>
              <w:right w:val="nil"/>
            </w:tcBorders>
            <w:shd w:val="clear" w:color="auto" w:fill="FFFFFF"/>
            <w:vAlign w:val="center"/>
          </w:tcPr>
          <w:p w14:paraId="25E918D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Methods</w:t>
            </w:r>
          </w:p>
        </w:tc>
        <w:tc>
          <w:tcPr>
            <w:tcW w:w="1494" w:type="dxa"/>
            <w:tcBorders>
              <w:top w:val="single" w:sz="4" w:space="0" w:color="auto"/>
              <w:left w:val="nil"/>
              <w:bottom w:val="single" w:sz="4" w:space="0" w:color="auto"/>
              <w:right w:val="nil"/>
            </w:tcBorders>
            <w:shd w:val="clear" w:color="auto" w:fill="FFFFFF"/>
            <w:noWrap/>
            <w:vAlign w:val="center"/>
          </w:tcPr>
          <w:p w14:paraId="7A6BC28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Linear range</w:t>
            </w:r>
          </w:p>
          <w:p w14:paraId="1313AD7C"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(µg·mL</w:t>
            </w:r>
            <w:r>
              <w:rPr>
                <w:rFonts w:ascii="Times New Roman" w:eastAsia="宋体" w:hAnsi="Times New Roman" w:cs="Times New Roman"/>
                <w:kern w:val="0"/>
                <w:szCs w:val="21"/>
                <w:vertAlign w:val="superscript"/>
              </w:rPr>
              <w:t>−1</w:t>
            </w:r>
            <w:r>
              <w:rPr>
                <w:rFonts w:ascii="Times New Roman" w:eastAsia="宋体" w:hAnsi="Times New Roman" w:cs="Times New Roman"/>
                <w:kern w:val="0"/>
                <w:szCs w:val="21"/>
              </w:rPr>
              <w:t xml:space="preserve">)      </w:t>
            </w:r>
          </w:p>
        </w:tc>
        <w:tc>
          <w:tcPr>
            <w:tcW w:w="1073" w:type="dxa"/>
            <w:tcBorders>
              <w:top w:val="single" w:sz="4" w:space="0" w:color="auto"/>
              <w:left w:val="nil"/>
              <w:bottom w:val="single" w:sz="4" w:space="0" w:color="auto"/>
              <w:right w:val="nil"/>
            </w:tcBorders>
            <w:shd w:val="clear" w:color="auto" w:fill="FFFFFF"/>
            <w:noWrap/>
            <w:vAlign w:val="center"/>
          </w:tcPr>
          <w:p w14:paraId="74F33719"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LOD</w:t>
            </w:r>
            <w:r>
              <w:rPr>
                <w:rFonts w:ascii="Times New Roman" w:eastAsia="等线" w:hAnsi="Times New Roman" w:cs="Times New Roman"/>
                <w:szCs w:val="21"/>
                <w:vertAlign w:val="superscript"/>
              </w:rPr>
              <w:sym w:font="Symbol" w:char="002A"/>
            </w:r>
          </w:p>
          <w:p w14:paraId="3195BE1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(µg·mL</w:t>
            </w:r>
            <w:r>
              <w:rPr>
                <w:rFonts w:ascii="Times New Roman" w:eastAsia="宋体" w:hAnsi="Times New Roman" w:cs="Times New Roman"/>
                <w:kern w:val="0"/>
                <w:szCs w:val="21"/>
                <w:vertAlign w:val="superscript"/>
              </w:rPr>
              <w:t>−1</w:t>
            </w:r>
            <w:r>
              <w:rPr>
                <w:rFonts w:ascii="Times New Roman" w:eastAsia="宋体" w:hAnsi="Times New Roman" w:cs="Times New Roman"/>
                <w:kern w:val="0"/>
                <w:szCs w:val="21"/>
              </w:rPr>
              <w:t>)</w:t>
            </w:r>
          </w:p>
        </w:tc>
        <w:tc>
          <w:tcPr>
            <w:tcW w:w="990" w:type="dxa"/>
            <w:tcBorders>
              <w:top w:val="single" w:sz="4" w:space="0" w:color="auto"/>
              <w:left w:val="nil"/>
              <w:bottom w:val="single" w:sz="4" w:space="0" w:color="auto"/>
              <w:right w:val="nil"/>
            </w:tcBorders>
            <w:shd w:val="clear" w:color="auto" w:fill="FFFFFF"/>
            <w:noWrap/>
            <w:vAlign w:val="center"/>
          </w:tcPr>
          <w:p w14:paraId="58AAEDB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LOQ</w:t>
            </w:r>
            <w:r>
              <w:rPr>
                <w:rFonts w:ascii="Times New Roman" w:eastAsia="等线" w:hAnsi="Times New Roman" w:cs="Times New Roman"/>
                <w:szCs w:val="21"/>
                <w:vertAlign w:val="superscript"/>
              </w:rPr>
              <w:sym w:font="Symbol" w:char="002A"/>
            </w:r>
          </w:p>
          <w:p w14:paraId="306F8D5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(µg·mL</w:t>
            </w:r>
            <w:r>
              <w:rPr>
                <w:rFonts w:ascii="Times New Roman" w:eastAsia="宋体" w:hAnsi="Times New Roman" w:cs="Times New Roman"/>
                <w:kern w:val="0"/>
                <w:szCs w:val="21"/>
                <w:vertAlign w:val="superscript"/>
              </w:rPr>
              <w:t>−1</w:t>
            </w:r>
            <w:r>
              <w:rPr>
                <w:rFonts w:ascii="Times New Roman" w:eastAsia="宋体" w:hAnsi="Times New Roman" w:cs="Times New Roman"/>
                <w:kern w:val="0"/>
                <w:szCs w:val="21"/>
              </w:rPr>
              <w:t>)</w:t>
            </w:r>
          </w:p>
        </w:tc>
        <w:tc>
          <w:tcPr>
            <w:tcW w:w="1292" w:type="dxa"/>
            <w:tcBorders>
              <w:top w:val="single" w:sz="4" w:space="0" w:color="auto"/>
              <w:left w:val="nil"/>
              <w:bottom w:val="single" w:sz="4" w:space="0" w:color="auto"/>
              <w:right w:val="nil"/>
            </w:tcBorders>
            <w:shd w:val="clear" w:color="auto" w:fill="FFFFFF"/>
            <w:noWrap/>
            <w:vAlign w:val="center"/>
          </w:tcPr>
          <w:p w14:paraId="428EB526"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Recovery (%)</w:t>
            </w:r>
          </w:p>
        </w:tc>
        <w:tc>
          <w:tcPr>
            <w:tcW w:w="1098" w:type="dxa"/>
            <w:tcBorders>
              <w:top w:val="single" w:sz="4" w:space="0" w:color="auto"/>
              <w:left w:val="nil"/>
              <w:bottom w:val="single" w:sz="4" w:space="0" w:color="auto"/>
              <w:right w:val="nil"/>
            </w:tcBorders>
            <w:shd w:val="clear" w:color="auto" w:fill="FFFFFF"/>
            <w:noWrap/>
            <w:vAlign w:val="center"/>
          </w:tcPr>
          <w:p w14:paraId="77C84B84"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RSD%</w:t>
            </w:r>
          </w:p>
        </w:tc>
        <w:tc>
          <w:tcPr>
            <w:tcW w:w="1950" w:type="dxa"/>
            <w:tcBorders>
              <w:top w:val="single" w:sz="4" w:space="0" w:color="auto"/>
              <w:left w:val="nil"/>
              <w:bottom w:val="single" w:sz="4" w:space="0" w:color="auto"/>
              <w:right w:val="nil"/>
            </w:tcBorders>
            <w:shd w:val="clear" w:color="auto" w:fill="FFFFFF"/>
            <w:noWrap/>
            <w:vAlign w:val="center"/>
          </w:tcPr>
          <w:p w14:paraId="5A06098D"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Real Sample</w:t>
            </w:r>
          </w:p>
        </w:tc>
        <w:tc>
          <w:tcPr>
            <w:tcW w:w="567" w:type="dxa"/>
            <w:tcBorders>
              <w:top w:val="single" w:sz="4" w:space="0" w:color="auto"/>
              <w:left w:val="nil"/>
              <w:bottom w:val="single" w:sz="4" w:space="0" w:color="auto"/>
              <w:right w:val="nil"/>
            </w:tcBorders>
            <w:shd w:val="clear" w:color="auto" w:fill="FFFFFF"/>
            <w:noWrap/>
            <w:vAlign w:val="center"/>
          </w:tcPr>
          <w:p w14:paraId="34A95724"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Ref</w:t>
            </w:r>
          </w:p>
        </w:tc>
      </w:tr>
      <w:tr w:rsidR="00EA557E" w14:paraId="4124D74A" w14:textId="77777777">
        <w:trPr>
          <w:trHeight w:val="1145"/>
          <w:jc w:val="center"/>
        </w:trPr>
        <w:tc>
          <w:tcPr>
            <w:tcW w:w="1742" w:type="dxa"/>
            <w:shd w:val="clear" w:color="auto" w:fill="FFFFFF"/>
            <w:vAlign w:val="center"/>
          </w:tcPr>
          <w:p w14:paraId="6BAB0FC2"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HPLC</w:t>
            </w:r>
          </w:p>
        </w:tc>
        <w:tc>
          <w:tcPr>
            <w:tcW w:w="1494" w:type="dxa"/>
            <w:shd w:val="clear" w:color="auto" w:fill="FFFFFF"/>
            <w:noWrap/>
            <w:vAlign w:val="center"/>
          </w:tcPr>
          <w:p w14:paraId="1C887A5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5 ~ 500</w:t>
            </w:r>
          </w:p>
        </w:tc>
        <w:tc>
          <w:tcPr>
            <w:tcW w:w="1073" w:type="dxa"/>
            <w:shd w:val="clear" w:color="auto" w:fill="FFFFFF"/>
            <w:noWrap/>
            <w:vAlign w:val="center"/>
          </w:tcPr>
          <w:p w14:paraId="3ACB2969"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0.18</w:t>
            </w:r>
          </w:p>
        </w:tc>
        <w:tc>
          <w:tcPr>
            <w:tcW w:w="990" w:type="dxa"/>
            <w:shd w:val="clear" w:color="auto" w:fill="FFFFFF"/>
            <w:noWrap/>
            <w:vAlign w:val="center"/>
          </w:tcPr>
          <w:p w14:paraId="1F008301"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0.59</w:t>
            </w:r>
          </w:p>
        </w:tc>
        <w:tc>
          <w:tcPr>
            <w:tcW w:w="1292" w:type="dxa"/>
            <w:shd w:val="clear" w:color="auto" w:fill="FFFFFF"/>
            <w:noWrap/>
            <w:vAlign w:val="center"/>
          </w:tcPr>
          <w:p w14:paraId="71AE7961"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098" w:type="dxa"/>
            <w:shd w:val="clear" w:color="auto" w:fill="FFFFFF"/>
            <w:noWrap/>
            <w:vAlign w:val="center"/>
          </w:tcPr>
          <w:p w14:paraId="4D736B09"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1.19</w:t>
            </w:r>
          </w:p>
        </w:tc>
        <w:tc>
          <w:tcPr>
            <w:tcW w:w="1950" w:type="dxa"/>
            <w:shd w:val="clear" w:color="auto" w:fill="FFFFFF"/>
            <w:noWrap/>
            <w:vAlign w:val="center"/>
          </w:tcPr>
          <w:p w14:paraId="5FDE0837"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Whole wheat flour, wheat flour and wheat bran</w:t>
            </w:r>
          </w:p>
        </w:tc>
        <w:tc>
          <w:tcPr>
            <w:tcW w:w="567" w:type="dxa"/>
            <w:shd w:val="clear" w:color="auto" w:fill="FFFFFF"/>
            <w:noWrap/>
            <w:vAlign w:val="center"/>
          </w:tcPr>
          <w:p w14:paraId="63EE1EEA"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&lt;EndNote&gt;&lt;Cite&gt;&lt;Author&gt;YanYu&lt;/Author&gt;&lt;Year&gt;2020&lt;/Year&gt;&lt;RecNum&gt;14&lt;/RecNum&gt;&lt;DisplayText&gt;[10]&lt;/DisplayText&gt;&lt;record&gt;&lt;rec-number&gt;14&lt;/rec-number&gt;&lt;foreign-keys&gt;&lt;key app="EN" db-id="at2adptx50pr0se0v94ptxs7prradexrfvaw" timestamp="1683715844"&gt;14&lt;/key&gt;&lt;/foreign-keys&gt;&lt;ref-type name="Journal Article"&gt;17&lt;/ref-type&gt;&lt;contributors&gt;&lt;authors&gt;&lt;author&gt;YanYu, Zou&lt;/author&gt;&lt;author&gt;Yong, Fang&lt;/author&gt;&lt;author&gt;Peng, Li&lt;/author&gt;&lt;author&gt;QinQin, Huang&lt;/author&gt;&lt;author&gt;Ji, Xia&lt;/author&gt;&lt;author&gt;Qin, Liu&lt;/author&gt;&lt;author&gt;MinHao, Xie&lt;/author&gt;&lt;author&gt;QiuHui, Hu&lt;/author&gt;&lt;/authors&gt;&lt;/contributors&gt;&lt;titles&gt;&lt;title&gt;Comparative analysis of alkylresorcinols homologue composition in whole wheat flour and refined wheat flour&lt;/title&gt;&lt;secondary-title&gt;Scientia Agricultura Sinica&lt;/secondary-title&gt;&lt;/titles&gt;&lt;periodical&gt;&lt;full-title&gt;Scientia Agricultura Sinica&lt;/full-title&gt;&lt;/periodical&gt;&lt;pages&gt;2055-2065&lt;/pages&gt;&lt;volume&gt;53&lt;/volume&gt;&lt;number&gt;10&lt;/number&gt;&lt;dates&gt;&lt;year&gt;2020&lt;/year&gt;&lt;pub-dates&gt;&lt;date&gt;2020&lt;/date&gt;&lt;/pub-dates&gt;&lt;/dates&gt;&lt;isbn&gt;0578-1752&lt;/isbn&gt;&lt;accession-num&gt;FSTA:2021-01-Mj0282&lt;/accession-num&gt;&lt;urls&gt;&lt;related-urls&gt;&lt;url&gt;&amp;lt;Go to ISI&amp;gt;://FSTA:2021-01-Mj0282&lt;/url&gt;&lt;/related-urls&gt;&lt;/urls&gt;&lt;electronic-resource-num&gt;10.3864/j.issn.0578-1752.2020.10.012&lt;/electronic-resource-num&gt;&lt;/record&gt;&lt;/Cite&gt;&lt;/EndNote&gt;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[10]</w:t>
            </w:r>
            <w:r>
              <w:rPr>
                <w:rFonts w:ascii="Times New Roman" w:eastAsia="宋体" w:hAnsi="Times New Roman" w:cs="Times New Roman"/>
                <w:kern w:val="0"/>
                <w:szCs w:val="21"/>
              </w:rPr>
              <w:fldChar w:fldCharType="end"/>
            </w:r>
          </w:p>
        </w:tc>
      </w:tr>
      <w:tr w:rsidR="00EA557E" w14:paraId="5202D798" w14:textId="77777777">
        <w:trPr>
          <w:trHeight w:val="472"/>
          <w:jc w:val="center"/>
        </w:trPr>
        <w:tc>
          <w:tcPr>
            <w:tcW w:w="1742" w:type="dxa"/>
            <w:shd w:val="clear" w:color="auto" w:fill="FFFFFF"/>
            <w:vAlign w:val="center"/>
          </w:tcPr>
          <w:p w14:paraId="3D641B62" w14:textId="77777777" w:rsidR="00EA557E" w:rsidRDefault="00000000">
            <w:pPr>
              <w:widowControl/>
              <w:adjustRightInd w:val="0"/>
              <w:snapToGrid w:val="0"/>
              <w:spacing w:afterLines="50" w:after="156" w:line="312" w:lineRule="auto"/>
              <w:jc w:val="left"/>
              <w:rPr>
                <w:rFonts w:ascii="Times New Roman" w:eastAsia="宋体" w:hAnsi="Times New Roman" w:cs="Times New Roman"/>
                <w:color w:val="FF0000"/>
                <w:kern w:val="0"/>
                <w:szCs w:val="21"/>
              </w:rPr>
            </w:pPr>
            <w:r>
              <w:rPr>
                <w:rFonts w:ascii="Times New Roman" w:eastAsia="宋体" w:hAnsi="Times New Roman" w:cs="Times New Roman"/>
                <w:kern w:val="0"/>
                <w:szCs w:val="21"/>
              </w:rPr>
              <w:t>HPLC</w:t>
            </w:r>
          </w:p>
        </w:tc>
        <w:tc>
          <w:tcPr>
            <w:tcW w:w="1494" w:type="dxa"/>
            <w:shd w:val="clear" w:color="auto" w:fill="FFFFFF"/>
            <w:noWrap/>
            <w:vAlign w:val="center"/>
          </w:tcPr>
          <w:p w14:paraId="447B4EDA"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0.0970 ~ 9.70</w:t>
            </w:r>
          </w:p>
        </w:tc>
        <w:tc>
          <w:tcPr>
            <w:tcW w:w="1073" w:type="dxa"/>
            <w:shd w:val="clear" w:color="auto" w:fill="FFFFFF"/>
            <w:noWrap/>
            <w:vAlign w:val="center"/>
          </w:tcPr>
          <w:p w14:paraId="498CC947"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0.0039</w:t>
            </w:r>
          </w:p>
        </w:tc>
        <w:tc>
          <w:tcPr>
            <w:tcW w:w="990" w:type="dxa"/>
            <w:shd w:val="clear" w:color="auto" w:fill="FFFFFF"/>
            <w:noWrap/>
            <w:vAlign w:val="center"/>
          </w:tcPr>
          <w:p w14:paraId="3912789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0.0117</w:t>
            </w:r>
          </w:p>
        </w:tc>
        <w:tc>
          <w:tcPr>
            <w:tcW w:w="1292" w:type="dxa"/>
            <w:shd w:val="clear" w:color="auto" w:fill="FFFFFF"/>
            <w:noWrap/>
            <w:vAlign w:val="center"/>
          </w:tcPr>
          <w:p w14:paraId="14A923D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94.5~104</w:t>
            </w:r>
          </w:p>
        </w:tc>
        <w:tc>
          <w:tcPr>
            <w:tcW w:w="1098" w:type="dxa"/>
            <w:shd w:val="clear" w:color="auto" w:fill="FFFFFF"/>
            <w:noWrap/>
            <w:vAlign w:val="center"/>
          </w:tcPr>
          <w:p w14:paraId="37D14AB9"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3.06 ~ 3.29</w:t>
            </w:r>
          </w:p>
        </w:tc>
        <w:tc>
          <w:tcPr>
            <w:tcW w:w="1950" w:type="dxa"/>
            <w:shd w:val="clear" w:color="auto" w:fill="FFFFFF"/>
            <w:noWrap/>
            <w:vAlign w:val="center"/>
          </w:tcPr>
          <w:p w14:paraId="732C5D97"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Whole wheat flour, wheat flour and wheat bran</w:t>
            </w:r>
          </w:p>
        </w:tc>
        <w:tc>
          <w:tcPr>
            <w:tcW w:w="567" w:type="dxa"/>
            <w:shd w:val="clear" w:color="auto" w:fill="FFFFFF"/>
            <w:noWrap/>
            <w:vAlign w:val="center"/>
          </w:tcPr>
          <w:p w14:paraId="080F6784"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&lt;EndNote&gt;&lt;Cite&gt;&lt;Author&gt;Yu-fei&lt;/Author&gt;&lt;Year&gt;2018&lt;/Year&gt;&lt;RecNum&gt;15&lt;/RecNum&gt;&lt;DisplayText&gt;[11]&lt;/DisplayText&gt;&lt;record&gt;&lt;rec-number&gt;15&lt;/rec-number&gt;&lt;foreign-keys&gt;&lt;key app="EN" db-id="at2adptx50pr0se0v94ptxs7prradexrfvaw" timestamp="1683715897"&gt;15&lt;/key&gt;&lt;/foreign-keys&gt;&lt;ref-type name="Journal Article"&gt;17&lt;/ref-type&gt;&lt;contributors&gt;&lt;authors&gt;&lt;author&gt;Yu-fei, Wang&lt;/author&gt;&lt;author&gt;Xue-song, Zhang&lt;/author&gt;&lt;author&gt;Xue-song, Xiang&lt;/author&gt;&lt;author&gt;Chao, Gao&lt;/author&gt;&lt;author&gt;Zhu, Wang&lt;/author&gt;&lt;/authors&gt;&lt;/contributors&gt;&lt;titles&gt;&lt;title&gt;Establishment of the liquid fluorometric method for determination of alkylresorcinols in whole wheat&lt;/title&gt;&lt;secondary-title&gt;Acta Nutrimenta Sinica&lt;/secondary-title&gt;&lt;/titles&gt;&lt;periodical&gt;&lt;full-title&gt;Acta Nutrimenta Sinica&lt;/full-title&gt;&lt;/periodical&gt;&lt;pages&gt;392-397&lt;/pages&gt;&lt;volume&gt;40&lt;/volume&gt;&lt;number&gt;4&lt;/number&gt;&lt;dates&gt;&lt;year&gt;2018&lt;/year&gt;&lt;pub-dates&gt;&lt;date&gt;2018&lt;/date&gt;&lt;/pub-dates&gt;&lt;/dates&gt;&lt;isbn&gt;0512-7955&lt;/isbn&gt;&lt;accession-num&gt;FSTA:2019-04-Mj1786&lt;/accession-num&gt;&lt;urls&gt;&lt;related-urls&gt;&lt;url&gt;&amp;lt;Go to ISI&amp;gt;://FSTA:2019-04-Mj1786&lt;/url&gt;&lt;/related-urls&gt;&lt;/urls&gt;&lt;/record&gt;&lt;/Cite&gt;&lt;/EndNote&gt;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[11]</w:t>
            </w:r>
            <w:r>
              <w:rPr>
                <w:rFonts w:ascii="Times New Roman" w:eastAsia="宋体" w:hAnsi="Times New Roman" w:cs="Times New Roman"/>
                <w:kern w:val="0"/>
                <w:szCs w:val="21"/>
              </w:rPr>
              <w:fldChar w:fldCharType="end"/>
            </w:r>
          </w:p>
        </w:tc>
      </w:tr>
      <w:tr w:rsidR="00EA557E" w14:paraId="5BDA6C25" w14:textId="77777777">
        <w:trPr>
          <w:trHeight w:val="756"/>
          <w:jc w:val="center"/>
        </w:trPr>
        <w:tc>
          <w:tcPr>
            <w:tcW w:w="1742" w:type="dxa"/>
            <w:shd w:val="clear" w:color="auto" w:fill="FFFFFF"/>
            <w:vAlign w:val="center"/>
          </w:tcPr>
          <w:p w14:paraId="5215B53D"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GC-MS</w:t>
            </w:r>
          </w:p>
        </w:tc>
        <w:tc>
          <w:tcPr>
            <w:tcW w:w="1494" w:type="dxa"/>
            <w:shd w:val="clear" w:color="auto" w:fill="FFFFFF"/>
            <w:noWrap/>
            <w:vAlign w:val="center"/>
          </w:tcPr>
          <w:p w14:paraId="25D6C8E4"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0.015~1.5</w:t>
            </w:r>
          </w:p>
        </w:tc>
        <w:tc>
          <w:tcPr>
            <w:tcW w:w="1073" w:type="dxa"/>
            <w:shd w:val="clear" w:color="auto" w:fill="FFFFFF"/>
            <w:noWrap/>
            <w:vAlign w:val="center"/>
          </w:tcPr>
          <w:p w14:paraId="3BE5A39A"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0.00809</w:t>
            </w:r>
          </w:p>
        </w:tc>
        <w:tc>
          <w:tcPr>
            <w:tcW w:w="990" w:type="dxa"/>
            <w:shd w:val="clear" w:color="auto" w:fill="FFFFFF"/>
            <w:noWrap/>
            <w:vAlign w:val="center"/>
          </w:tcPr>
          <w:p w14:paraId="73C21D70"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0.0243</w:t>
            </w:r>
          </w:p>
        </w:tc>
        <w:tc>
          <w:tcPr>
            <w:tcW w:w="1292" w:type="dxa"/>
            <w:shd w:val="clear" w:color="auto" w:fill="FFFFFF"/>
            <w:noWrap/>
            <w:vAlign w:val="center"/>
          </w:tcPr>
          <w:p w14:paraId="78F0515D"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75 ~ 108</w:t>
            </w:r>
          </w:p>
        </w:tc>
        <w:tc>
          <w:tcPr>
            <w:tcW w:w="1098" w:type="dxa"/>
            <w:shd w:val="clear" w:color="auto" w:fill="FFFFFF"/>
            <w:noWrap/>
            <w:vAlign w:val="center"/>
          </w:tcPr>
          <w:p w14:paraId="366E4A6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950" w:type="dxa"/>
            <w:shd w:val="clear" w:color="auto" w:fill="FFFFFF"/>
            <w:noWrap/>
            <w:vAlign w:val="center"/>
          </w:tcPr>
          <w:p w14:paraId="402947B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Plasma, adipose tissue</w:t>
            </w:r>
          </w:p>
        </w:tc>
        <w:tc>
          <w:tcPr>
            <w:tcW w:w="567" w:type="dxa"/>
            <w:shd w:val="clear" w:color="auto" w:fill="FFFFFF"/>
            <w:noWrap/>
            <w:vAlign w:val="center"/>
          </w:tcPr>
          <w:p w14:paraId="0AB1A382"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&lt;EndNote&gt;&lt;Cite&gt;&lt;Author&gt;Wierzbicka&lt;/Author&gt;&lt;Year&gt;2015&lt;/Year&gt;&lt;RecNum&gt;12&lt;/RecNum&gt;&lt;DisplayText&gt;[12]&lt;/DisplayText&gt;&lt;record&gt;&lt;rec-number&gt;12&lt;/rec-number&gt;&lt;foreign-keys&gt;&lt;key app="EN" db-id="at2adptx50pr0se0v94ptxs7prradexrfvaw" timestamp="1683715389"&gt;12&lt;/key&gt;&lt;/foreign-keys&gt;&lt;ref-type name="Journal Article"&gt;17&lt;/ref-type&gt;&lt;contributors&gt;&lt;authors&gt;&lt;author&gt;Wierzbicka, Roksana&lt;/author&gt;&lt;author&gt;Wu, Huaxing&lt;/author&gt;&lt;author&gt;Franek, Milan&lt;/author&gt;&lt;author&gt;Kamal-Eldin, Afaf&lt;/author&gt;&lt;author&gt;Landberg, Rikard&lt;/author&gt;&lt;/authors&gt;&lt;/contributors&gt;&lt;titles&gt;&lt;title&gt;Determination of alkylresorcinols and their metabolites in biological samples by gas chromatography-mass spectrometry&lt;/title&gt;&lt;secondary-title&gt;Journal of Chromatography B-Analytical Technologies in the Biomedical and Life Sciences&lt;/secondary-title&gt;&lt;/titles&gt;&lt;periodical&gt;&lt;full-title&gt;Journal of Chromatography B-Analytical Technologies in the Biomedical and Life Sciences&lt;/full-title&gt;&lt;/periodical&gt;&lt;pages&gt;120-129&lt;/pages&gt;&lt;volume&gt;1000&lt;/volume&gt;&lt;dates&gt;&lt;year&gt;2015&lt;/year&gt;&lt;pub-dates&gt;&lt;date&gt;Sep 1&lt;/date&gt;&lt;/pub-dates&gt;&lt;/dates&gt;&lt;isbn&gt;1570-0232&lt;/isbn&gt;&lt;accession-num&gt;WOS:000359874700014&lt;/accession-num&gt;&lt;work-type&gt;Article&lt;/work-type&gt;&lt;urls&gt;&lt;related-urls&gt;&lt;url&gt;&amp;lt;Go to ISI&amp;gt;://WOS:000359874700014&lt;/url&gt;&lt;/related-urls&gt;&lt;/urls&gt;&lt;electronic-resource-num&gt;10.1016/j.jchromb.2015.07.009&lt;/electronic-resource-num&gt;&lt;/record&gt;&lt;/Cite&gt;&lt;/EndNote&gt;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[12]</w:t>
            </w:r>
            <w:r>
              <w:rPr>
                <w:rFonts w:ascii="Times New Roman" w:eastAsia="宋体" w:hAnsi="Times New Roman" w:cs="Times New Roman"/>
                <w:kern w:val="0"/>
                <w:szCs w:val="21"/>
              </w:rPr>
              <w:fldChar w:fldCharType="end"/>
            </w:r>
          </w:p>
        </w:tc>
      </w:tr>
      <w:tr w:rsidR="00EA557E" w14:paraId="67FDF857" w14:textId="77777777">
        <w:trPr>
          <w:trHeight w:val="756"/>
          <w:jc w:val="center"/>
        </w:trPr>
        <w:tc>
          <w:tcPr>
            <w:tcW w:w="1742" w:type="dxa"/>
            <w:shd w:val="clear" w:color="auto" w:fill="FFFFFF"/>
            <w:vAlign w:val="center"/>
          </w:tcPr>
          <w:p w14:paraId="6573B0F0"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LC-MS</w:t>
            </w:r>
          </w:p>
        </w:tc>
        <w:tc>
          <w:tcPr>
            <w:tcW w:w="1494" w:type="dxa"/>
            <w:shd w:val="clear" w:color="auto" w:fill="FFFFFF"/>
            <w:noWrap/>
            <w:vAlign w:val="center"/>
          </w:tcPr>
          <w:p w14:paraId="2257DDCD"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0.023 ~ 12.367</w:t>
            </w:r>
          </w:p>
        </w:tc>
        <w:tc>
          <w:tcPr>
            <w:tcW w:w="1073" w:type="dxa"/>
            <w:shd w:val="clear" w:color="auto" w:fill="FFFFFF"/>
            <w:noWrap/>
            <w:vAlign w:val="center"/>
          </w:tcPr>
          <w:p w14:paraId="1FE4C98E"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75 </w:t>
            </w:r>
            <w:proofErr w:type="spellStart"/>
            <w:r>
              <w:rPr>
                <w:rFonts w:ascii="Times New Roman" w:eastAsia="宋体" w:hAnsi="Times New Roman" w:cs="Times New Roman"/>
                <w:kern w:val="0"/>
                <w:szCs w:val="21"/>
              </w:rPr>
              <w:t>pg</w:t>
            </w:r>
            <w:proofErr w:type="spellEnd"/>
            <w:r>
              <w:rPr>
                <w:rFonts w:ascii="Times New Roman" w:eastAsia="宋体" w:hAnsi="Times New Roman" w:cs="Times New Roman"/>
                <w:kern w:val="0"/>
                <w:szCs w:val="21"/>
              </w:rPr>
              <w:t xml:space="preserve"> </w:t>
            </w:r>
          </w:p>
        </w:tc>
        <w:tc>
          <w:tcPr>
            <w:tcW w:w="990" w:type="dxa"/>
            <w:shd w:val="clear" w:color="auto" w:fill="FFFFFF"/>
            <w:noWrap/>
            <w:vAlign w:val="center"/>
          </w:tcPr>
          <w:p w14:paraId="27151C63"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250 </w:t>
            </w:r>
            <w:proofErr w:type="spellStart"/>
            <w:r>
              <w:rPr>
                <w:rFonts w:ascii="Times New Roman" w:eastAsia="宋体" w:hAnsi="Times New Roman" w:cs="Times New Roman"/>
                <w:kern w:val="0"/>
                <w:szCs w:val="21"/>
              </w:rPr>
              <w:t>pg</w:t>
            </w:r>
            <w:proofErr w:type="spellEnd"/>
            <w:r>
              <w:rPr>
                <w:rFonts w:ascii="Times New Roman" w:eastAsia="宋体" w:hAnsi="Times New Roman" w:cs="Times New Roman"/>
                <w:kern w:val="0"/>
                <w:szCs w:val="21"/>
              </w:rPr>
              <w:t xml:space="preserve"> </w:t>
            </w:r>
          </w:p>
        </w:tc>
        <w:tc>
          <w:tcPr>
            <w:tcW w:w="1292" w:type="dxa"/>
            <w:shd w:val="clear" w:color="auto" w:fill="FFFFFF"/>
            <w:noWrap/>
            <w:vAlign w:val="center"/>
          </w:tcPr>
          <w:p w14:paraId="6FEEC699"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36</w:t>
            </w:r>
          </w:p>
        </w:tc>
        <w:tc>
          <w:tcPr>
            <w:tcW w:w="1098" w:type="dxa"/>
            <w:shd w:val="clear" w:color="auto" w:fill="FFFFFF"/>
            <w:noWrap/>
            <w:vAlign w:val="center"/>
          </w:tcPr>
          <w:p w14:paraId="3645C41C"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950" w:type="dxa"/>
            <w:shd w:val="clear" w:color="auto" w:fill="FFFFFF"/>
            <w:noWrap/>
            <w:vAlign w:val="center"/>
          </w:tcPr>
          <w:p w14:paraId="2D8128A2"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Plasma</w:t>
            </w:r>
          </w:p>
        </w:tc>
        <w:tc>
          <w:tcPr>
            <w:tcW w:w="567" w:type="dxa"/>
            <w:shd w:val="clear" w:color="auto" w:fill="FFFFFF"/>
            <w:noWrap/>
            <w:vAlign w:val="center"/>
          </w:tcPr>
          <w:p w14:paraId="4F00AD1C"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&lt;EndNote&gt;&lt;Cite&gt;&lt;Author&gt;Ross&lt;/Author&gt;&lt;Year&gt;2010&lt;/Year&gt;&lt;RecNum&gt;18&lt;/RecNum&gt;&lt;DisplayText&gt;[13]&lt;/DisplayText&gt;&lt;record&gt;&lt;rec-number&gt;18&lt;/rec-number&gt;&lt;foreign-keys&gt;&lt;key app="EN" db-id="at2adptx50pr0se0v94ptxs7prradexrfvaw" timestamp="1683715977"&gt;18&lt;/key&gt;&lt;/foreign-keys&gt;&lt;ref-type name="Journal Article"&gt;17&lt;/ref-type&gt;&lt;contributors&gt;&lt;authors&gt;&lt;author&gt;Ross, Alastair B.&lt;/author&gt;&lt;author&gt;Redeuil, Karine&lt;/author&gt;&lt;author&gt;Vigo, Mario&lt;/author&gt;&lt;author&gt;Rezzi, Serge&lt;/author&gt;&lt;author&gt;Nagy, Kornel&lt;/author&gt;&lt;/authors&gt;&lt;/contributors&gt;&lt;titles&gt;&lt;title&gt;Quantification of alkylresorcinols in human plasma by liquid chromatography/tandem mass spectrometry&lt;/title&gt;&lt;secondary-title&gt;Rapid Communications in Mass Spectrometry&lt;/secondary-title&gt;&lt;/titles&gt;&lt;periodical&gt;&lt;full-title&gt;Rapid Communications in Mass Spectrometry&lt;/full-title&gt;&lt;/periodical&gt;&lt;pages&gt;554-560&lt;/pages&gt;&lt;volume&gt;24&lt;/volume&gt;&lt;number&gt;5&lt;/number&gt;&lt;dates&gt;&lt;year&gt;2010&lt;/year&gt;&lt;pub-dates&gt;&lt;date&gt;Mar&lt;/date&gt;&lt;/pub-dates&gt;&lt;/dates&gt;&lt;isbn&gt;0951-4198&lt;/isbn&gt;&lt;accession-num&gt;WOS:000275918700013&lt;/accession-num&gt;&lt;work-type&gt;Article&lt;/work-type&gt;&lt;urls&gt;&lt;related-urls&gt;&lt;url&gt;&amp;lt;Go to ISI&amp;gt;://WOS:000275918700013&lt;/url&gt;&lt;/related-urls&gt;&lt;/urls&gt;&lt;electronic-resource-num&gt;10.1002/rcm.4409&lt;/electronic-resource-num&gt;&lt;/record&gt;&lt;/Cite&gt;&lt;/EndNote&gt;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[13]</w:t>
            </w:r>
            <w:r>
              <w:rPr>
                <w:rFonts w:ascii="Times New Roman" w:eastAsia="宋体" w:hAnsi="Times New Roman" w:cs="Times New Roman"/>
                <w:kern w:val="0"/>
                <w:szCs w:val="21"/>
              </w:rPr>
              <w:fldChar w:fldCharType="end"/>
            </w:r>
          </w:p>
        </w:tc>
      </w:tr>
      <w:tr w:rsidR="00EA557E" w14:paraId="10F032C3" w14:textId="77777777">
        <w:trPr>
          <w:trHeight w:val="756"/>
          <w:jc w:val="center"/>
        </w:trPr>
        <w:tc>
          <w:tcPr>
            <w:tcW w:w="1742" w:type="dxa"/>
            <w:shd w:val="clear" w:color="auto" w:fill="FFFFFF"/>
            <w:vAlign w:val="center"/>
          </w:tcPr>
          <w:p w14:paraId="152D1466"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Spectrophotometric method</w:t>
            </w:r>
          </w:p>
        </w:tc>
        <w:tc>
          <w:tcPr>
            <w:tcW w:w="1494" w:type="dxa"/>
            <w:shd w:val="clear" w:color="auto" w:fill="FFFFFF"/>
            <w:noWrap/>
            <w:vAlign w:val="center"/>
          </w:tcPr>
          <w:p w14:paraId="7D744B04"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 ~ 5.0</w:t>
            </w:r>
          </w:p>
        </w:tc>
        <w:tc>
          <w:tcPr>
            <w:tcW w:w="1073" w:type="dxa"/>
            <w:shd w:val="clear" w:color="auto" w:fill="FFFFFF"/>
            <w:noWrap/>
            <w:vAlign w:val="center"/>
          </w:tcPr>
          <w:p w14:paraId="716EE0F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0.253</w:t>
            </w:r>
          </w:p>
        </w:tc>
        <w:tc>
          <w:tcPr>
            <w:tcW w:w="990" w:type="dxa"/>
            <w:shd w:val="clear" w:color="auto" w:fill="FFFFFF"/>
            <w:noWrap/>
            <w:vAlign w:val="center"/>
          </w:tcPr>
          <w:p w14:paraId="45B9887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0.768</w:t>
            </w:r>
          </w:p>
        </w:tc>
        <w:tc>
          <w:tcPr>
            <w:tcW w:w="1292" w:type="dxa"/>
            <w:shd w:val="clear" w:color="auto" w:fill="FFFFFF"/>
            <w:noWrap/>
            <w:vAlign w:val="center"/>
          </w:tcPr>
          <w:p w14:paraId="79B65A75"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99.5 ~ 102.9</w:t>
            </w:r>
          </w:p>
        </w:tc>
        <w:tc>
          <w:tcPr>
            <w:tcW w:w="1098" w:type="dxa"/>
            <w:shd w:val="clear" w:color="auto" w:fill="FFFFFF"/>
            <w:noWrap/>
            <w:vAlign w:val="center"/>
          </w:tcPr>
          <w:p w14:paraId="63B9310A"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3.9 ~ 7.9</w:t>
            </w:r>
          </w:p>
        </w:tc>
        <w:tc>
          <w:tcPr>
            <w:tcW w:w="1950" w:type="dxa"/>
            <w:shd w:val="clear" w:color="auto" w:fill="FFFFFF"/>
            <w:noWrap/>
            <w:vAlign w:val="center"/>
          </w:tcPr>
          <w:p w14:paraId="529B3442"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 xml:space="preserve">Wheat bran extract </w:t>
            </w:r>
          </w:p>
        </w:tc>
        <w:tc>
          <w:tcPr>
            <w:tcW w:w="567" w:type="dxa"/>
            <w:shd w:val="clear" w:color="auto" w:fill="FFFFFF"/>
            <w:noWrap/>
            <w:vAlign w:val="center"/>
          </w:tcPr>
          <w:p w14:paraId="2730A9D6"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&lt;EndNote&gt;&lt;Cite&gt;&lt;Author&gt;Bernal&lt;/Author&gt;&lt;Year&gt;2016&lt;/Year&gt;&lt;RecNum&gt;19&lt;/RecNum&gt;&lt;DisplayText&gt;[14]&lt;/DisplayText&gt;&lt;record&gt;&lt;rec-number&gt;19&lt;/rec-number&gt;&lt;foreign-keys&gt;&lt;key app="EN" db-id="at2adptx50pr0se0v94ptxs7prradexrfvaw" timestamp="1683716012"&gt;19&lt;/key&gt;&lt;/foreign-keys&gt;&lt;ref-type name="Journal Article"&gt;17&lt;/ref-type&gt;&lt;contributors&gt;&lt;authors&gt;&lt;author&gt;Bernal, Freddy A.&lt;/author&gt;&lt;author&gt;Orduz-Diaz, Luisa L.&lt;/author&gt;&lt;author&gt;Guerrero-Perilla, Camilo&lt;/author&gt;&lt;author&gt;Coy-Barrera, Ericsson D.&lt;/author&gt;&lt;/authors&gt;&lt;/contributors&gt;&lt;titles&gt;&lt;title&gt;Diazo Coupling Reaction of Catechins and Alkylresorcinols with Diazotized Sulfanilic Acid for Quantitative Purposes in Edible Sources: Method Development and Validation&lt;/title&gt;&lt;secondary-title&gt;Food Analytical Methods&lt;/secondary-title&gt;&lt;/titles&gt;&lt;periodical&gt;&lt;full-title&gt;Food Analytical Methods&lt;/full-title&gt;&lt;/periodical&gt;&lt;pages&gt;411-418&lt;/pages&gt;&lt;volume&gt;9&lt;/volume&gt;&lt;number&gt;2&lt;/number&gt;&lt;dates&gt;&lt;year&gt;2016&lt;/year&gt;&lt;pub-dates&gt;&lt;date&gt;Feb&lt;/date&gt;&lt;/pub-dates&gt;&lt;/dates&gt;&lt;isbn&gt;1936-9751&lt;/isbn&gt;&lt;accession-num&gt;WOS:000368697800015&lt;/accession-num&gt;&lt;work-type&gt;Article&lt;/work-type&gt;&lt;urls&gt;&lt;related-urls&gt;&lt;url&gt;&amp;lt;Go to ISI&amp;gt;://WOS:000368697800015&lt;/url&gt;&lt;/related-urls&gt;&lt;/urls&gt;&lt;electronic-resource-num&gt;10.1007/s12161-015-0207-6&lt;/electronic-resource-num&gt;&lt;/record&gt;&lt;/Cite&gt;&lt;/EndNote&gt;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[14]</w:t>
            </w:r>
            <w:r>
              <w:rPr>
                <w:rFonts w:ascii="Times New Roman" w:eastAsia="宋体" w:hAnsi="Times New Roman" w:cs="Times New Roman"/>
                <w:kern w:val="0"/>
                <w:szCs w:val="21"/>
              </w:rPr>
              <w:fldChar w:fldCharType="end"/>
            </w:r>
          </w:p>
        </w:tc>
      </w:tr>
      <w:tr w:rsidR="00EA557E" w14:paraId="76BD4037" w14:textId="77777777">
        <w:trPr>
          <w:trHeight w:val="756"/>
          <w:jc w:val="center"/>
        </w:trPr>
        <w:tc>
          <w:tcPr>
            <w:tcW w:w="1742" w:type="dxa"/>
            <w:shd w:val="clear" w:color="auto" w:fill="FFFFFF"/>
            <w:vAlign w:val="center"/>
          </w:tcPr>
          <w:p w14:paraId="69D82945"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GC-MS and LC-MS/MS</w:t>
            </w:r>
          </w:p>
        </w:tc>
        <w:tc>
          <w:tcPr>
            <w:tcW w:w="1494" w:type="dxa"/>
            <w:shd w:val="clear" w:color="auto" w:fill="FFFFFF"/>
            <w:noWrap/>
            <w:vAlign w:val="center"/>
          </w:tcPr>
          <w:p w14:paraId="24B43261"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0.001 ~ 5</w:t>
            </w:r>
          </w:p>
        </w:tc>
        <w:tc>
          <w:tcPr>
            <w:tcW w:w="1073" w:type="dxa"/>
            <w:shd w:val="clear" w:color="auto" w:fill="FFFFFF"/>
            <w:noWrap/>
            <w:vAlign w:val="center"/>
          </w:tcPr>
          <w:p w14:paraId="2FFD85D0"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0.00032 and 0.00084</w:t>
            </w:r>
          </w:p>
        </w:tc>
        <w:tc>
          <w:tcPr>
            <w:tcW w:w="990" w:type="dxa"/>
            <w:shd w:val="clear" w:color="auto" w:fill="FFFFFF"/>
            <w:noWrap/>
            <w:vAlign w:val="center"/>
          </w:tcPr>
          <w:p w14:paraId="2C03367C"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0.00107 and 0.00280</w:t>
            </w:r>
          </w:p>
        </w:tc>
        <w:tc>
          <w:tcPr>
            <w:tcW w:w="1292" w:type="dxa"/>
            <w:shd w:val="clear" w:color="auto" w:fill="FFFFFF"/>
            <w:noWrap/>
            <w:vAlign w:val="center"/>
          </w:tcPr>
          <w:p w14:paraId="124DF630"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94.17 ~ 99.15 and 97.41 ~ 99.06</w:t>
            </w:r>
          </w:p>
        </w:tc>
        <w:tc>
          <w:tcPr>
            <w:tcW w:w="1098" w:type="dxa"/>
            <w:shd w:val="clear" w:color="auto" w:fill="FFFFFF"/>
            <w:noWrap/>
            <w:vAlign w:val="center"/>
          </w:tcPr>
          <w:p w14:paraId="53EA3952"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3.22 ~ 4.12 and 2.25 ~ 3.81</w:t>
            </w:r>
          </w:p>
        </w:tc>
        <w:tc>
          <w:tcPr>
            <w:tcW w:w="1950" w:type="dxa"/>
            <w:shd w:val="clear" w:color="auto" w:fill="FFFFFF"/>
            <w:noWrap/>
            <w:vAlign w:val="center"/>
          </w:tcPr>
          <w:p w14:paraId="5BA5ED3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567" w:type="dxa"/>
            <w:shd w:val="clear" w:color="auto" w:fill="FFFFFF"/>
            <w:noWrap/>
            <w:vAlign w:val="center"/>
          </w:tcPr>
          <w:p w14:paraId="078AE699"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&lt;EndNote&gt;&lt;Cite&gt;&lt;Author&gt;Qinqin&lt;/Author&gt;&lt;Year&gt;2021&lt;/Year&gt;&lt;RecNum&gt;20&lt;/RecNum&gt;&lt;DisplayText&gt;[15]&lt;/DisplayText&gt;&lt;record&gt;&lt;rec-number&gt;20&lt;/rec-number&gt;&lt;foreign-keys&gt;&lt;key app="EN" db-id="at2adptx50pr0se0v94ptxs7prradexrfvaw" timestamp="1683716063"&gt;20&lt;/key&gt;&lt;/foreign-keys&gt;&lt;ref-type name="Journal Article"&gt;17&lt;/ref-type&gt;&lt;contributors&gt;&lt;authors&gt;&lt;author&gt;Qinqin, Huang&lt;/author&gt;&lt;author&gt;Fengjiao, Fan&lt;/author&gt;&lt;author&gt;Peng, Li&lt;/author&gt;&lt;author&gt;Yan, Fan&lt;/author&gt;&lt;author&gt;Yanyu, Zou&lt;/author&gt;&lt;author&gt;Yong, Fang&lt;/author&gt;&lt;/authors&gt;&lt;/contributors&gt;&lt;titles&gt;&lt;title&gt;Analysis of alkylresorcinol homologues in wheat flour by GC-MS and LC-MS/MS&lt;/title&gt;&lt;secondary-title&gt;Food Science, China&lt;/secondary-title&gt;&lt;/titles&gt;&lt;periodical&gt;&lt;full-title&gt;Food Science, China&lt;/full-title&gt;&lt;/periodical&gt;&lt;pages&gt;187-194&lt;/pages&gt;&lt;volume&gt;42&lt;/volume&gt;&lt;number&gt;14&lt;/number&gt;&lt;dates&gt;&lt;year&gt;2021&lt;/year&gt;&lt;pub-dates&gt;&lt;date&gt;2021&lt;/date&gt;&lt;/pub-dates&gt;&lt;/dates&gt;&lt;isbn&gt;1002-6630&lt;/isbn&gt;&lt;accession-num&gt;FSTA:2021-12-Mj7817&lt;/accession-num&gt;&lt;urls&gt;&lt;related-urls&gt;&lt;url&gt;&amp;lt;Go to ISI&amp;gt;://FSTA:2021-12-Mj7817&lt;/url&gt;&lt;/related-urls&gt;&lt;/urls&gt;&lt;electronic-resource-num&gt;10.7506/spkx1002-6630-20210217-186&lt;/electronic-resource-num&gt;&lt;/record&gt;&lt;/Cite&gt;&lt;/EndNote&gt;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[15]</w:t>
            </w:r>
            <w:r>
              <w:rPr>
                <w:rFonts w:ascii="Times New Roman" w:eastAsia="宋体" w:hAnsi="Times New Roman" w:cs="Times New Roman"/>
                <w:kern w:val="0"/>
                <w:szCs w:val="21"/>
              </w:rPr>
              <w:fldChar w:fldCharType="end"/>
            </w:r>
          </w:p>
        </w:tc>
      </w:tr>
      <w:tr w:rsidR="00EA557E" w14:paraId="0301D843" w14:textId="77777777">
        <w:trPr>
          <w:trHeight w:val="1135"/>
          <w:jc w:val="center"/>
        </w:trPr>
        <w:tc>
          <w:tcPr>
            <w:tcW w:w="1742" w:type="dxa"/>
            <w:tcBorders>
              <w:top w:val="nil"/>
              <w:left w:val="nil"/>
              <w:bottom w:val="nil"/>
              <w:right w:val="nil"/>
            </w:tcBorders>
            <w:shd w:val="clear" w:color="auto" w:fill="FFFFFF"/>
            <w:vAlign w:val="center"/>
          </w:tcPr>
          <w:p w14:paraId="55556681"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CDs-MIPs based fluorescence sensor</w:t>
            </w:r>
          </w:p>
        </w:tc>
        <w:tc>
          <w:tcPr>
            <w:tcW w:w="1494" w:type="dxa"/>
            <w:tcBorders>
              <w:top w:val="nil"/>
              <w:left w:val="nil"/>
              <w:bottom w:val="nil"/>
              <w:right w:val="nil"/>
            </w:tcBorders>
            <w:shd w:val="clear" w:color="auto" w:fill="FFFFFF"/>
            <w:noWrap/>
            <w:vAlign w:val="center"/>
          </w:tcPr>
          <w:p w14:paraId="484A4BB0"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0.015 ~ 60</w:t>
            </w:r>
          </w:p>
        </w:tc>
        <w:tc>
          <w:tcPr>
            <w:tcW w:w="1073" w:type="dxa"/>
            <w:tcBorders>
              <w:top w:val="nil"/>
              <w:left w:val="nil"/>
              <w:bottom w:val="nil"/>
              <w:right w:val="nil"/>
            </w:tcBorders>
            <w:shd w:val="clear" w:color="auto" w:fill="FFFFFF"/>
            <w:noWrap/>
            <w:vAlign w:val="center"/>
          </w:tcPr>
          <w:p w14:paraId="65467D32"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0.004</w:t>
            </w:r>
          </w:p>
        </w:tc>
        <w:tc>
          <w:tcPr>
            <w:tcW w:w="990" w:type="dxa"/>
            <w:tcBorders>
              <w:top w:val="nil"/>
              <w:left w:val="nil"/>
              <w:bottom w:val="nil"/>
              <w:right w:val="nil"/>
            </w:tcBorders>
            <w:shd w:val="clear" w:color="auto" w:fill="FFFFFF"/>
            <w:noWrap/>
            <w:vAlign w:val="center"/>
          </w:tcPr>
          <w:p w14:paraId="5C3DD455" w14:textId="77777777" w:rsidR="00EA557E" w:rsidRDefault="00000000">
            <w:pPr>
              <w:widowControl/>
              <w:adjustRightInd w:val="0"/>
              <w:snapToGrid w:val="0"/>
              <w:spacing w:afterLines="50" w:after="156" w:line="312" w:lineRule="auto"/>
              <w:ind w:left="210" w:hangingChars="100" w:hanging="210"/>
              <w:jc w:val="left"/>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292" w:type="dxa"/>
            <w:tcBorders>
              <w:top w:val="nil"/>
              <w:left w:val="nil"/>
              <w:bottom w:val="nil"/>
              <w:right w:val="nil"/>
            </w:tcBorders>
            <w:shd w:val="clear" w:color="auto" w:fill="FFFFFF"/>
            <w:noWrap/>
            <w:vAlign w:val="center"/>
          </w:tcPr>
          <w:p w14:paraId="4B07B3AB"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98.57~103.82</w:t>
            </w:r>
          </w:p>
        </w:tc>
        <w:tc>
          <w:tcPr>
            <w:tcW w:w="1098" w:type="dxa"/>
            <w:tcBorders>
              <w:top w:val="nil"/>
              <w:left w:val="nil"/>
              <w:bottom w:val="nil"/>
              <w:right w:val="nil"/>
            </w:tcBorders>
            <w:shd w:val="clear" w:color="auto" w:fill="FFFFFF"/>
            <w:noWrap/>
            <w:vAlign w:val="center"/>
          </w:tcPr>
          <w:p w14:paraId="01848B74"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0.52~3.34</w:t>
            </w:r>
          </w:p>
        </w:tc>
        <w:tc>
          <w:tcPr>
            <w:tcW w:w="1950" w:type="dxa"/>
            <w:tcBorders>
              <w:top w:val="nil"/>
              <w:left w:val="nil"/>
              <w:bottom w:val="nil"/>
              <w:right w:val="nil"/>
            </w:tcBorders>
            <w:shd w:val="clear" w:color="auto" w:fill="FFFFFF"/>
            <w:noWrap/>
            <w:vAlign w:val="center"/>
          </w:tcPr>
          <w:p w14:paraId="54E69CEF"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Whole flour, flour, wheat bran and cereal products</w:t>
            </w:r>
          </w:p>
        </w:tc>
        <w:tc>
          <w:tcPr>
            <w:tcW w:w="567" w:type="dxa"/>
            <w:tcBorders>
              <w:top w:val="nil"/>
              <w:left w:val="nil"/>
              <w:bottom w:val="nil"/>
              <w:right w:val="nil"/>
            </w:tcBorders>
            <w:shd w:val="clear" w:color="auto" w:fill="FFFFFF"/>
            <w:noWrap/>
            <w:vAlign w:val="center"/>
          </w:tcPr>
          <w:p w14:paraId="2E1F54B8" w14:textId="77777777" w:rsidR="00EA557E" w:rsidRDefault="00000000">
            <w:pPr>
              <w:widowControl/>
              <w:adjustRightInd w:val="0"/>
              <w:snapToGrid w:val="0"/>
              <w:spacing w:afterLines="50" w:after="156" w:line="312"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r>
            <w:r>
              <w:rPr>
                <w:rFonts w:ascii="Times New Roman" w:eastAsia="宋体" w:hAnsi="Times New Roman" w:cs="Times New Roman"/>
                <w:kern w:val="0"/>
                <w:szCs w:val="21"/>
              </w:rPr>
              <w:instrText xml:space="preserve"> ADDIN EN.CITE &lt;EndNote&gt;&lt;Cite&gt;&lt;Author&gt;Wen&lt;/Author&gt;&lt;Year&gt;2023&lt;/Year&gt;&lt;RecNum&gt;21&lt;/RecNum&gt;&lt;DisplayText&gt;[16]&lt;/DisplayText&gt;&lt;record&gt;&lt;rec-number&gt;21&lt;/rec-number&gt;&lt;foreign-keys&gt;&lt;key app="EN" db-id="at2adptx50pr0se0v94ptxs7prradexrfvaw" timestamp="1683716083"&gt;21&lt;/key&gt;&lt;/foreign-keys&gt;&lt;ref-type name="Journal Article"&gt;17&lt;/ref-type&gt;&lt;contributors&gt;&lt;authors&gt;&lt;author&gt;Wen, Yangyang&lt;/author&gt;&lt;author&gt;Li, Jie&lt;/author&gt;&lt;author&gt;Zhao, Shichao&lt;/author&gt;&lt;author&gt;Fan, Haoran&lt;/author&gt;&lt;author&gt;Li, Hongyan&lt;/author&gt;&lt;author&gt;Wang, Jing&lt;/author&gt;&lt;author&gt;Sun, Baoguo&lt;/author&gt;&lt;/authors&gt;&lt;/contributors&gt;&lt;titles&gt;&lt;title&gt;A highly efficient molecularly imprinted fluorescence sensor for assessing whole wheat grains by the rapid and sensitive detection of alkylresorcinols&lt;/title&gt;&lt;secondary-title&gt;Biosensors &amp;amp; Bioelectronics&lt;/secondary-title&gt;&lt;/titles&gt;&lt;periodical&gt;&lt;full-title&gt;Biosensors &amp;amp; Bioelectronics&lt;/full-title&gt;&lt;/periodical&gt;&lt;volume&gt;223&lt;/volume&gt;&lt;dates&gt;&lt;year&gt;2023&lt;/year&gt;&lt;pub-dates&gt;&lt;date&gt;Mar 1&lt;/date&gt;&lt;/pub-dates&gt;&lt;/dates&gt;&lt;isbn&gt;0956-5663&lt;/isbn&gt;&lt;accession-num&gt;WOS:000912310100001&lt;/accession-num&gt;&lt;work-type&gt;Article&lt;/work-type&gt;&lt;urls&gt;&lt;related-urls&gt;&lt;url&gt;&amp;lt;Go to ISI&amp;gt;://WOS:000912310100001&lt;/url&gt;&lt;/related-urls&gt;&lt;/urls&gt;&lt;custom7&gt;115032&lt;/custom7&gt;&lt;electronic-resource-num&gt;10.1016/j.bios.2022.115032&lt;/electronic-resource-num&gt;&lt;/record&gt;&lt;/Cite&gt;&lt;/EndNote&gt;</w:instrText>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[16]</w:t>
            </w:r>
            <w:r>
              <w:rPr>
                <w:rFonts w:ascii="Times New Roman" w:eastAsia="宋体" w:hAnsi="Times New Roman" w:cs="Times New Roman"/>
                <w:kern w:val="0"/>
                <w:szCs w:val="21"/>
              </w:rPr>
              <w:fldChar w:fldCharType="end"/>
            </w:r>
          </w:p>
        </w:tc>
      </w:tr>
      <w:tr w:rsidR="00EA557E" w14:paraId="0EB9CE90" w14:textId="77777777">
        <w:trPr>
          <w:trHeight w:val="388"/>
          <w:jc w:val="center"/>
        </w:trPr>
        <w:tc>
          <w:tcPr>
            <w:tcW w:w="1742" w:type="dxa"/>
            <w:tcBorders>
              <w:top w:val="nil"/>
              <w:left w:val="nil"/>
              <w:bottom w:val="single" w:sz="4" w:space="0" w:color="auto"/>
              <w:right w:val="nil"/>
            </w:tcBorders>
            <w:shd w:val="clear" w:color="auto" w:fill="FFFFFF"/>
            <w:vAlign w:val="center"/>
          </w:tcPr>
          <w:p w14:paraId="78D22567" w14:textId="77777777" w:rsidR="00EA557E" w:rsidRDefault="00000000">
            <w:pPr>
              <w:widowControl/>
              <w:adjustRightInd w:val="0"/>
              <w:snapToGrid w:val="0"/>
              <w:spacing w:afterLines="50" w:after="156"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DMIP/MXene/GE electrochemical sensor</w:t>
            </w:r>
          </w:p>
        </w:tc>
        <w:tc>
          <w:tcPr>
            <w:tcW w:w="1494" w:type="dxa"/>
            <w:tcBorders>
              <w:top w:val="nil"/>
              <w:left w:val="nil"/>
              <w:bottom w:val="single" w:sz="4" w:space="0" w:color="auto"/>
              <w:right w:val="nil"/>
            </w:tcBorders>
            <w:shd w:val="clear" w:color="auto" w:fill="FFFFFF"/>
            <w:noWrap/>
            <w:vAlign w:val="center"/>
          </w:tcPr>
          <w:p w14:paraId="30F1E0EC" w14:textId="77777777" w:rsidR="00EA557E" w:rsidRDefault="00000000">
            <w:pPr>
              <w:widowControl/>
              <w:adjustRightInd w:val="0"/>
              <w:snapToGrid w:val="0"/>
              <w:spacing w:afterLines="50" w:after="156"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0.005 ~ 100</w:t>
            </w:r>
          </w:p>
        </w:tc>
        <w:tc>
          <w:tcPr>
            <w:tcW w:w="1073" w:type="dxa"/>
            <w:tcBorders>
              <w:top w:val="nil"/>
              <w:left w:val="nil"/>
              <w:bottom w:val="single" w:sz="4" w:space="0" w:color="auto"/>
              <w:right w:val="nil"/>
            </w:tcBorders>
            <w:shd w:val="clear" w:color="auto" w:fill="FFFFFF"/>
            <w:noWrap/>
            <w:vAlign w:val="center"/>
          </w:tcPr>
          <w:p w14:paraId="4A4E9BEB" w14:textId="77777777" w:rsidR="00EA557E" w:rsidRDefault="00000000">
            <w:pPr>
              <w:widowControl/>
              <w:adjustRightInd w:val="0"/>
              <w:snapToGrid w:val="0"/>
              <w:spacing w:afterLines="50" w:after="156"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0.00252</w:t>
            </w:r>
          </w:p>
        </w:tc>
        <w:tc>
          <w:tcPr>
            <w:tcW w:w="990" w:type="dxa"/>
            <w:tcBorders>
              <w:top w:val="nil"/>
              <w:left w:val="nil"/>
              <w:bottom w:val="single" w:sz="4" w:space="0" w:color="auto"/>
              <w:right w:val="nil"/>
            </w:tcBorders>
            <w:shd w:val="clear" w:color="auto" w:fill="FFFFFF"/>
            <w:noWrap/>
            <w:vAlign w:val="center"/>
          </w:tcPr>
          <w:p w14:paraId="44C06C93" w14:textId="77777777" w:rsidR="00EA557E" w:rsidRDefault="00000000">
            <w:pPr>
              <w:widowControl/>
              <w:adjustRightInd w:val="0"/>
              <w:snapToGrid w:val="0"/>
              <w:spacing w:afterLines="50" w:after="156" w:line="312" w:lineRule="auto"/>
              <w:ind w:left="210" w:hangingChars="100" w:hanging="210"/>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0.00841</w:t>
            </w:r>
          </w:p>
        </w:tc>
        <w:tc>
          <w:tcPr>
            <w:tcW w:w="1292" w:type="dxa"/>
            <w:tcBorders>
              <w:top w:val="nil"/>
              <w:left w:val="nil"/>
              <w:bottom w:val="single" w:sz="4" w:space="0" w:color="auto"/>
              <w:right w:val="nil"/>
            </w:tcBorders>
            <w:shd w:val="clear" w:color="auto" w:fill="FFFFFF"/>
            <w:noWrap/>
            <w:vAlign w:val="center"/>
          </w:tcPr>
          <w:p w14:paraId="251213F4" w14:textId="77777777" w:rsidR="00EA557E" w:rsidRDefault="00000000">
            <w:pPr>
              <w:widowControl/>
              <w:adjustRightInd w:val="0"/>
              <w:snapToGrid w:val="0"/>
              <w:spacing w:afterLines="50" w:after="156"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96.3 ~ 103.5</w:t>
            </w:r>
          </w:p>
        </w:tc>
        <w:tc>
          <w:tcPr>
            <w:tcW w:w="1098" w:type="dxa"/>
            <w:tcBorders>
              <w:top w:val="nil"/>
              <w:left w:val="nil"/>
              <w:bottom w:val="single" w:sz="4" w:space="0" w:color="auto"/>
              <w:right w:val="nil"/>
            </w:tcBorders>
            <w:shd w:val="clear" w:color="auto" w:fill="FFFFFF"/>
            <w:noWrap/>
            <w:vAlign w:val="center"/>
          </w:tcPr>
          <w:p w14:paraId="4194353B" w14:textId="77777777" w:rsidR="00EA557E" w:rsidRDefault="00000000">
            <w:pPr>
              <w:widowControl/>
              <w:adjustRightInd w:val="0"/>
              <w:snapToGrid w:val="0"/>
              <w:spacing w:afterLines="50" w:after="156"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0.65 ~ 2.87</w:t>
            </w:r>
          </w:p>
        </w:tc>
        <w:tc>
          <w:tcPr>
            <w:tcW w:w="1950" w:type="dxa"/>
            <w:tcBorders>
              <w:top w:val="nil"/>
              <w:left w:val="nil"/>
              <w:bottom w:val="single" w:sz="4" w:space="0" w:color="auto"/>
              <w:right w:val="nil"/>
            </w:tcBorders>
            <w:shd w:val="clear" w:color="auto" w:fill="FFFFFF"/>
            <w:noWrap/>
            <w:vAlign w:val="center"/>
          </w:tcPr>
          <w:p w14:paraId="6DCAFE1C" w14:textId="77777777" w:rsidR="00EA557E" w:rsidRDefault="00000000">
            <w:pPr>
              <w:adjustRightInd w:val="0"/>
              <w:snapToGrid w:val="0"/>
              <w:spacing w:afterLines="50" w:after="156" w:line="312" w:lineRule="auto"/>
              <w:rPr>
                <w:rFonts w:ascii="Times New Roman" w:eastAsia="宋体" w:hAnsi="Times New Roman" w:cs="Times New Roman"/>
                <w:i/>
                <w:iCs/>
                <w:kern w:val="0"/>
                <w:szCs w:val="21"/>
              </w:rPr>
            </w:pPr>
            <w:r>
              <w:rPr>
                <w:rFonts w:ascii="Times New Roman" w:eastAsia="宋体" w:hAnsi="Times New Roman" w:cs="Times New Roman"/>
                <w:i/>
                <w:iCs/>
                <w:kern w:val="0"/>
                <w:szCs w:val="21"/>
              </w:rPr>
              <w:t>Wheat grain, bran, flour, whole wheat noodles and breads</w:t>
            </w:r>
          </w:p>
        </w:tc>
        <w:tc>
          <w:tcPr>
            <w:tcW w:w="567" w:type="dxa"/>
            <w:tcBorders>
              <w:top w:val="nil"/>
              <w:left w:val="nil"/>
              <w:bottom w:val="single" w:sz="4" w:space="0" w:color="auto"/>
              <w:right w:val="nil"/>
            </w:tcBorders>
            <w:shd w:val="clear" w:color="auto" w:fill="FFFFFF"/>
            <w:noWrap/>
            <w:vAlign w:val="center"/>
          </w:tcPr>
          <w:p w14:paraId="1F8364AC" w14:textId="77777777" w:rsidR="00EA557E" w:rsidRDefault="00000000">
            <w:pPr>
              <w:widowControl/>
              <w:adjustRightInd w:val="0"/>
              <w:snapToGrid w:val="0"/>
              <w:spacing w:afterLines="50" w:after="156" w:line="312" w:lineRule="auto"/>
              <w:jc w:val="left"/>
              <w:rPr>
                <w:rFonts w:ascii="Times New Roman" w:eastAsia="宋体" w:hAnsi="Times New Roman" w:cs="Times New Roman"/>
                <w:i/>
                <w:iCs/>
                <w:kern w:val="0"/>
                <w:szCs w:val="21"/>
              </w:rPr>
            </w:pPr>
            <w:r>
              <w:rPr>
                <w:rFonts w:ascii="Times New Roman" w:eastAsia="宋体" w:hAnsi="Times New Roman" w:cs="Times New Roman"/>
                <w:i/>
                <w:iCs/>
                <w:kern w:val="0"/>
                <w:szCs w:val="21"/>
              </w:rPr>
              <w:t>This work</w:t>
            </w:r>
          </w:p>
        </w:tc>
      </w:tr>
    </w:tbl>
    <w:p w14:paraId="09362702" w14:textId="77777777" w:rsidR="00EA557E" w:rsidRDefault="00000000">
      <w:pPr>
        <w:adjustRightInd w:val="0"/>
        <w:snapToGrid w:val="0"/>
        <w:spacing w:line="360" w:lineRule="auto"/>
        <w:jc w:val="left"/>
        <w:rPr>
          <w:rFonts w:ascii="Times New Roman" w:eastAsia="等线" w:hAnsi="Times New Roman" w:cs="Times New Roman"/>
          <w:szCs w:val="21"/>
          <w:highlight w:val="yellow"/>
        </w:rPr>
      </w:pPr>
      <w:r>
        <w:rPr>
          <w:rFonts w:ascii="Times New Roman" w:eastAsia="等线" w:hAnsi="Times New Roman" w:cs="Times New Roman"/>
          <w:szCs w:val="21"/>
        </w:rPr>
        <w:sym w:font="Symbol" w:char="002A"/>
      </w:r>
      <w:r>
        <w:rPr>
          <w:rFonts w:ascii="Times New Roman" w:eastAsia="等线" w:hAnsi="Times New Roman" w:cs="Times New Roman"/>
          <w:szCs w:val="21"/>
        </w:rPr>
        <w:t xml:space="preserve"> To make the results clearer, the data were recalculated using the same unit, based on the mass of samples and the volume of solvent.</w:t>
      </w:r>
    </w:p>
    <w:p w14:paraId="7D833025" w14:textId="77777777" w:rsidR="00EA557E" w:rsidRDefault="00000000">
      <w:pPr>
        <w:widowControl/>
        <w:jc w:val="left"/>
        <w:rPr>
          <w:rFonts w:ascii="Times New Roman" w:eastAsia="等线" w:hAnsi="Times New Roman" w:cs="Times New Roman"/>
          <w:b/>
          <w:bCs/>
          <w:kern w:val="24"/>
          <w:szCs w:val="21"/>
        </w:rPr>
      </w:pPr>
      <w:r>
        <w:rPr>
          <w:rFonts w:ascii="Times New Roman" w:eastAsia="等线" w:hAnsi="Times New Roman" w:cs="Times New Roman"/>
          <w:b/>
          <w:bCs/>
          <w:kern w:val="24"/>
          <w:szCs w:val="21"/>
        </w:rPr>
        <w:br w:type="page"/>
      </w:r>
    </w:p>
    <w:p w14:paraId="2CDAF307" w14:textId="77777777" w:rsidR="00EA557E" w:rsidRDefault="00000000">
      <w:pPr>
        <w:widowControl/>
        <w:adjustRightInd w:val="0"/>
        <w:snapToGrid w:val="0"/>
        <w:spacing w:line="360" w:lineRule="auto"/>
        <w:jc w:val="center"/>
        <w:rPr>
          <w:rStyle w:val="fontstyle01"/>
          <w:rFonts w:ascii="Times New Roman" w:eastAsia="等线 Light" w:hAnsi="Times New Roman" w:cs="Times New Roman"/>
          <w:b/>
          <w:bCs/>
          <w:sz w:val="21"/>
          <w:szCs w:val="21"/>
        </w:rPr>
      </w:pPr>
      <w:r>
        <w:rPr>
          <w:noProof/>
        </w:rPr>
        <w:lastRenderedPageBreak/>
        <w:drawing>
          <wp:inline distT="0" distB="0" distL="0" distR="0">
            <wp:extent cx="3239770" cy="2818765"/>
            <wp:effectExtent l="0" t="0" r="0" b="635"/>
            <wp:docPr id="15997714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71412"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l="9346" t="10644" r="12099"/>
                    <a:stretch>
                      <a:fillRect/>
                    </a:stretch>
                  </pic:blipFill>
                  <pic:spPr>
                    <a:xfrm>
                      <a:off x="0" y="0"/>
                      <a:ext cx="3240000" cy="2818934"/>
                    </a:xfrm>
                    <a:prstGeom prst="rect">
                      <a:avLst/>
                    </a:prstGeom>
                    <a:noFill/>
                    <a:ln>
                      <a:noFill/>
                    </a:ln>
                  </pic:spPr>
                </pic:pic>
              </a:graphicData>
            </a:graphic>
          </wp:inline>
        </w:drawing>
      </w:r>
    </w:p>
    <w:p w14:paraId="66AA297C" w14:textId="77777777" w:rsidR="00EA557E" w:rsidRDefault="00000000">
      <w:pPr>
        <w:widowControl/>
        <w:adjustRightInd w:val="0"/>
        <w:snapToGrid w:val="0"/>
        <w:spacing w:line="360" w:lineRule="auto"/>
        <w:jc w:val="center"/>
        <w:rPr>
          <w:rStyle w:val="fontstyle01"/>
          <w:rFonts w:ascii="Times New Roman" w:eastAsia="等线 Light" w:hAnsi="Times New Roman" w:cs="Times New Roman"/>
          <w:sz w:val="21"/>
          <w:szCs w:val="21"/>
        </w:rPr>
      </w:pPr>
      <w:r>
        <w:rPr>
          <w:rStyle w:val="fontstyle01"/>
          <w:rFonts w:ascii="Times New Roman" w:eastAsia="等线 Light" w:hAnsi="Times New Roman" w:cs="Times New Roman"/>
          <w:b/>
          <w:bCs/>
          <w:sz w:val="21"/>
          <w:szCs w:val="21"/>
        </w:rPr>
        <w:t xml:space="preserve">Fig. S1 </w:t>
      </w:r>
      <w:r>
        <w:rPr>
          <w:rStyle w:val="fontstyle01"/>
          <w:rFonts w:ascii="Times New Roman" w:eastAsia="等线 Light" w:hAnsi="Times New Roman" w:cs="Times New Roman"/>
          <w:sz w:val="21"/>
          <w:szCs w:val="21"/>
        </w:rPr>
        <w:t>The XPS survey scans of Ti</w:t>
      </w:r>
      <w:r>
        <w:rPr>
          <w:rStyle w:val="fontstyle01"/>
          <w:rFonts w:ascii="Times New Roman" w:eastAsia="等线 Light" w:hAnsi="Times New Roman" w:cs="Times New Roman"/>
          <w:sz w:val="21"/>
          <w:szCs w:val="21"/>
          <w:vertAlign w:val="subscript"/>
        </w:rPr>
        <w:t>3</w:t>
      </w:r>
      <w:r>
        <w:rPr>
          <w:rStyle w:val="fontstyle01"/>
          <w:rFonts w:ascii="Times New Roman" w:eastAsia="等线 Light" w:hAnsi="Times New Roman" w:cs="Times New Roman"/>
          <w:sz w:val="21"/>
          <w:szCs w:val="21"/>
        </w:rPr>
        <w:t>AlC</w:t>
      </w:r>
      <w:r>
        <w:rPr>
          <w:rStyle w:val="fontstyle01"/>
          <w:rFonts w:ascii="Times New Roman" w:eastAsia="等线 Light" w:hAnsi="Times New Roman" w:cs="Times New Roman"/>
          <w:sz w:val="21"/>
          <w:szCs w:val="21"/>
          <w:vertAlign w:val="subscript"/>
        </w:rPr>
        <w:t>2</w:t>
      </w:r>
      <w:r>
        <w:rPr>
          <w:rStyle w:val="fontstyle01"/>
          <w:rFonts w:ascii="Times New Roman" w:eastAsia="等线 Light" w:hAnsi="Times New Roman" w:cs="Times New Roman"/>
          <w:sz w:val="21"/>
          <w:szCs w:val="21"/>
        </w:rPr>
        <w:t xml:space="preserve"> and MXene.</w:t>
      </w:r>
    </w:p>
    <w:p w14:paraId="29066100" w14:textId="77777777" w:rsidR="00EA557E" w:rsidRDefault="00EA557E">
      <w:pPr>
        <w:widowControl/>
        <w:adjustRightInd w:val="0"/>
        <w:snapToGrid w:val="0"/>
        <w:spacing w:line="360" w:lineRule="auto"/>
        <w:jc w:val="center"/>
        <w:rPr>
          <w:rStyle w:val="fontstyle01"/>
          <w:rFonts w:ascii="Times New Roman" w:eastAsia="等线 Light" w:hAnsi="Times New Roman" w:cs="Times New Roman"/>
          <w:sz w:val="21"/>
          <w:szCs w:val="21"/>
        </w:rPr>
      </w:pPr>
    </w:p>
    <w:p w14:paraId="74C40680" w14:textId="77777777" w:rsidR="00EA557E" w:rsidRDefault="00000000">
      <w:pPr>
        <w:widowControl/>
        <w:jc w:val="center"/>
        <w:rPr>
          <w:rFonts w:ascii="Times New Roman" w:eastAsia="等线" w:hAnsi="Times New Roman" w:cs="Times New Roman"/>
          <w:b/>
          <w:bCs/>
          <w:kern w:val="24"/>
          <w:szCs w:val="21"/>
        </w:rPr>
      </w:pPr>
      <w:r>
        <w:rPr>
          <w:rFonts w:ascii="Times New Roman" w:eastAsia="等线" w:hAnsi="Times New Roman" w:cs="Times New Roman" w:hint="eastAsia"/>
          <w:b/>
          <w:bCs/>
          <w:kern w:val="24"/>
          <w:szCs w:val="21"/>
        </w:rPr>
        <w:t xml:space="preserve"> </w:t>
      </w:r>
      <w:r>
        <w:rPr>
          <w:rFonts w:ascii="Times New Roman" w:eastAsia="等线" w:hAnsi="Times New Roman" w:cs="Times New Roman"/>
          <w:b/>
          <w:bCs/>
          <w:kern w:val="24"/>
          <w:szCs w:val="21"/>
        </w:rPr>
        <w:t xml:space="preserve">     </w:t>
      </w:r>
      <w:r>
        <w:rPr>
          <w:noProof/>
        </w:rPr>
        <w:drawing>
          <wp:inline distT="0" distB="0" distL="0" distR="0">
            <wp:extent cx="3167380" cy="2708910"/>
            <wp:effectExtent l="0" t="0" r="0" b="0"/>
            <wp:docPr id="6004916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91618"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l="16348" t="4152" r="6949" b="3005"/>
                    <a:stretch>
                      <a:fillRect/>
                    </a:stretch>
                  </pic:blipFill>
                  <pic:spPr>
                    <a:xfrm>
                      <a:off x="0" y="0"/>
                      <a:ext cx="3168000" cy="2709517"/>
                    </a:xfrm>
                    <a:prstGeom prst="rect">
                      <a:avLst/>
                    </a:prstGeom>
                    <a:noFill/>
                    <a:ln>
                      <a:noFill/>
                    </a:ln>
                  </pic:spPr>
                </pic:pic>
              </a:graphicData>
            </a:graphic>
          </wp:inline>
        </w:drawing>
      </w:r>
    </w:p>
    <w:p w14:paraId="1F3A63F9" w14:textId="77777777" w:rsidR="00EA557E" w:rsidRDefault="00000000">
      <w:pPr>
        <w:widowControl/>
        <w:rPr>
          <w:rFonts w:ascii="Times New Roman" w:eastAsia="等线 Light" w:hAnsi="Times New Roman" w:cs="Times New Roman"/>
          <w:szCs w:val="21"/>
        </w:rPr>
      </w:pPr>
      <w:r>
        <w:rPr>
          <w:rStyle w:val="fontstyle01"/>
          <w:rFonts w:ascii="Times New Roman" w:eastAsia="等线 Light" w:hAnsi="Times New Roman" w:cs="Times New Roman"/>
          <w:b/>
          <w:bCs/>
          <w:sz w:val="21"/>
          <w:szCs w:val="21"/>
        </w:rPr>
        <w:t xml:space="preserve">Fig. S2 </w:t>
      </w:r>
      <w:r>
        <w:rPr>
          <w:rFonts w:ascii="Times New Roman" w:eastAsia="等线" w:hAnsi="Times New Roman" w:cs="Times New Roman"/>
          <w:kern w:val="24"/>
          <w:szCs w:val="21"/>
        </w:rPr>
        <w:t>DSC curves: (</w:t>
      </w:r>
      <w:r>
        <w:rPr>
          <w:rFonts w:ascii="Times New Roman" w:eastAsia="等线" w:hAnsi="Times New Roman" w:cs="Times New Roman"/>
          <w:b/>
          <w:bCs/>
          <w:kern w:val="24"/>
          <w:szCs w:val="21"/>
        </w:rPr>
        <w:t>a</w:t>
      </w:r>
      <w:r>
        <w:rPr>
          <w:rFonts w:ascii="Times New Roman" w:eastAsia="等线" w:hAnsi="Times New Roman" w:cs="Times New Roman"/>
          <w:kern w:val="24"/>
          <w:szCs w:val="21"/>
        </w:rPr>
        <w:t xml:space="preserve">) </w:t>
      </w:r>
      <w:r>
        <w:rPr>
          <w:rFonts w:ascii="Times New Roman" w:eastAsia="CharisSIL" w:hAnsi="Times New Roman" w:cs="Times New Roman"/>
          <w:kern w:val="0"/>
          <w:szCs w:val="21"/>
        </w:rPr>
        <w:t>AR21</w:t>
      </w:r>
      <w:r>
        <w:rPr>
          <w:rFonts w:ascii="Times New Roman" w:eastAsia="等线" w:hAnsi="Times New Roman" w:cs="Times New Roman"/>
          <w:kern w:val="24"/>
          <w:szCs w:val="21"/>
        </w:rPr>
        <w:t>, (</w:t>
      </w:r>
      <w:r>
        <w:rPr>
          <w:rFonts w:ascii="Times New Roman" w:eastAsia="等线" w:hAnsi="Times New Roman" w:cs="Times New Roman"/>
          <w:b/>
          <w:bCs/>
          <w:kern w:val="24"/>
          <w:szCs w:val="21"/>
        </w:rPr>
        <w:t>b</w:t>
      </w:r>
      <w:r>
        <w:rPr>
          <w:rFonts w:ascii="Times New Roman" w:eastAsia="等线" w:hAnsi="Times New Roman" w:cs="Times New Roman"/>
          <w:kern w:val="24"/>
          <w:szCs w:val="21"/>
        </w:rPr>
        <w:t xml:space="preserve">) </w:t>
      </w:r>
      <w:r>
        <w:rPr>
          <w:rFonts w:ascii="Times New Roman" w:hAnsi="Times New Roman" w:cs="Times New Roman"/>
          <w:kern w:val="0"/>
          <w:szCs w:val="21"/>
        </w:rPr>
        <w:t>α</w:t>
      </w:r>
      <w:r>
        <w:rPr>
          <w:rFonts w:ascii="Times New Roman" w:eastAsia="等线" w:hAnsi="Times New Roman" w:cs="Times New Roman"/>
          <w:kern w:val="24"/>
          <w:szCs w:val="21"/>
        </w:rPr>
        <w:t>-CD, (</w:t>
      </w:r>
      <w:r>
        <w:rPr>
          <w:rFonts w:ascii="Times New Roman" w:eastAsia="等线" w:hAnsi="Times New Roman" w:cs="Times New Roman"/>
          <w:b/>
          <w:bCs/>
          <w:kern w:val="24"/>
          <w:szCs w:val="21"/>
        </w:rPr>
        <w:t>c</w:t>
      </w:r>
      <w:r>
        <w:rPr>
          <w:rFonts w:ascii="Times New Roman" w:eastAsia="等线" w:hAnsi="Times New Roman" w:cs="Times New Roman"/>
          <w:kern w:val="24"/>
          <w:szCs w:val="21"/>
        </w:rPr>
        <w:t xml:space="preserve">) physical mixture of </w:t>
      </w:r>
      <w:r>
        <w:rPr>
          <w:rFonts w:ascii="Times New Roman" w:eastAsia="CharisSIL" w:hAnsi="Times New Roman" w:cs="Times New Roman"/>
          <w:kern w:val="0"/>
          <w:szCs w:val="21"/>
        </w:rPr>
        <w:t>AR21/</w:t>
      </w:r>
      <w:r>
        <w:rPr>
          <w:rFonts w:ascii="Times New Roman" w:hAnsi="Times New Roman" w:cs="Times New Roman"/>
          <w:kern w:val="0"/>
          <w:szCs w:val="21"/>
        </w:rPr>
        <w:t>α-</w:t>
      </w:r>
      <w:r>
        <w:rPr>
          <w:rFonts w:ascii="Times New Roman" w:eastAsia="等线" w:hAnsi="Times New Roman" w:cs="Times New Roman"/>
          <w:kern w:val="24"/>
          <w:szCs w:val="21"/>
        </w:rPr>
        <w:t>CD (1:4) and (</w:t>
      </w:r>
      <w:r>
        <w:rPr>
          <w:rFonts w:ascii="Times New Roman" w:eastAsia="等线" w:hAnsi="Times New Roman" w:cs="Times New Roman"/>
          <w:b/>
          <w:bCs/>
          <w:kern w:val="24"/>
          <w:szCs w:val="21"/>
        </w:rPr>
        <w:t>d</w:t>
      </w:r>
      <w:r>
        <w:rPr>
          <w:rFonts w:ascii="Times New Roman" w:eastAsia="等线" w:hAnsi="Times New Roman" w:cs="Times New Roman"/>
          <w:kern w:val="24"/>
          <w:szCs w:val="21"/>
        </w:rPr>
        <w:t xml:space="preserve">) </w:t>
      </w:r>
      <w:r>
        <w:rPr>
          <w:rFonts w:ascii="Times New Roman" w:hAnsi="Times New Roman" w:cs="Times New Roman"/>
          <w:color w:val="000000"/>
          <w:kern w:val="0"/>
          <w:szCs w:val="21"/>
        </w:rPr>
        <w:t>AR21/αCD</w:t>
      </w:r>
      <w:r>
        <w:rPr>
          <w:rFonts w:ascii="Times New Roman" w:eastAsia="等线" w:hAnsi="Times New Roman" w:cs="Times New Roman"/>
          <w:kern w:val="24"/>
          <w:szCs w:val="21"/>
        </w:rPr>
        <w:t xml:space="preserve"> complex.</w:t>
      </w:r>
    </w:p>
    <w:p w14:paraId="1E1A0A85" w14:textId="77777777" w:rsidR="00EA557E" w:rsidRDefault="00EA557E">
      <w:pPr>
        <w:adjustRightInd w:val="0"/>
        <w:snapToGrid w:val="0"/>
        <w:spacing w:line="360" w:lineRule="auto"/>
        <w:rPr>
          <w:rFonts w:ascii="Times New Roman" w:eastAsia="等线 Light" w:hAnsi="Times New Roman" w:cs="Times New Roman"/>
          <w:color w:val="000000"/>
          <w:szCs w:val="21"/>
        </w:rPr>
      </w:pPr>
    </w:p>
    <w:p w14:paraId="68125998" w14:textId="77777777" w:rsidR="00EA557E" w:rsidRDefault="00000000">
      <w:pPr>
        <w:adjustRightInd w:val="0"/>
        <w:snapToGrid w:val="0"/>
        <w:spacing w:line="360" w:lineRule="auto"/>
        <w:jc w:val="center"/>
        <w:rPr>
          <w:rFonts w:ascii="Times New Roman" w:eastAsia="等线 Light" w:hAnsi="Times New Roman" w:cs="Times New Roman"/>
          <w:color w:val="000000"/>
          <w:szCs w:val="21"/>
        </w:rPr>
      </w:pPr>
      <w:r>
        <w:rPr>
          <w:rFonts w:ascii="Times New Roman" w:eastAsia="等线 Light" w:hAnsi="Times New Roman" w:cs="Times New Roman"/>
          <w:noProof/>
          <w:color w:val="000000"/>
          <w:szCs w:val="21"/>
        </w:rPr>
        <w:lastRenderedPageBreak/>
        <w:drawing>
          <wp:inline distT="0" distB="0" distL="114300" distR="114300">
            <wp:extent cx="5255895" cy="2257425"/>
            <wp:effectExtent l="0" t="0" r="0" b="952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0"/>
                    <a:stretch>
                      <a:fillRect/>
                    </a:stretch>
                  </pic:blipFill>
                  <pic:spPr>
                    <a:xfrm>
                      <a:off x="0" y="0"/>
                      <a:ext cx="5256000" cy="2257997"/>
                    </a:xfrm>
                    <a:prstGeom prst="rect">
                      <a:avLst/>
                    </a:prstGeom>
                  </pic:spPr>
                </pic:pic>
              </a:graphicData>
            </a:graphic>
          </wp:inline>
        </w:drawing>
      </w:r>
    </w:p>
    <w:p w14:paraId="23040EC9" w14:textId="77777777" w:rsidR="00EA557E" w:rsidRDefault="00000000">
      <w:pPr>
        <w:adjustRightInd w:val="0"/>
        <w:snapToGrid w:val="0"/>
        <w:spacing w:line="360" w:lineRule="auto"/>
        <w:jc w:val="center"/>
        <w:rPr>
          <w:rFonts w:ascii="Times New Roman" w:eastAsia="等线 Light" w:hAnsi="Times New Roman" w:cs="Times New Roman"/>
          <w:color w:val="000000"/>
          <w:szCs w:val="21"/>
        </w:rPr>
      </w:pPr>
      <w:r>
        <w:rPr>
          <w:rFonts w:ascii="Times New Roman" w:eastAsia="等线 Light" w:hAnsi="Times New Roman" w:cs="Times New Roman"/>
          <w:b/>
          <w:bCs/>
          <w:color w:val="000000"/>
          <w:szCs w:val="21"/>
        </w:rPr>
        <w:t xml:space="preserve">Fig. S3 </w:t>
      </w:r>
      <w:r>
        <w:rPr>
          <w:rFonts w:ascii="Times New Roman" w:eastAsia="等线 Light" w:hAnsi="Times New Roman" w:cs="Times New Roman"/>
          <w:color w:val="000000"/>
          <w:szCs w:val="21"/>
        </w:rPr>
        <w:t xml:space="preserve">The </w:t>
      </w:r>
      <w:r>
        <w:rPr>
          <w:rFonts w:ascii="Times New Roman" w:eastAsia="等线 Light" w:hAnsi="Times New Roman" w:cs="Times New Roman"/>
          <w:color w:val="000000"/>
          <w:szCs w:val="21"/>
          <w:vertAlign w:val="superscript"/>
        </w:rPr>
        <w:t>1</w:t>
      </w:r>
      <w:r>
        <w:rPr>
          <w:rFonts w:ascii="Times New Roman" w:eastAsia="等线 Light" w:hAnsi="Times New Roman" w:cs="Times New Roman"/>
          <w:color w:val="000000"/>
          <w:szCs w:val="21"/>
        </w:rPr>
        <w:t>H NMR spectra of pure AR21 (</w:t>
      </w:r>
      <w:r>
        <w:rPr>
          <w:rFonts w:ascii="Times New Roman" w:eastAsia="等线 Light" w:hAnsi="Times New Roman" w:cs="Times New Roman"/>
          <w:b/>
          <w:bCs/>
          <w:color w:val="000000"/>
          <w:szCs w:val="21"/>
        </w:rPr>
        <w:t>A</w:t>
      </w:r>
      <w:r>
        <w:rPr>
          <w:rFonts w:ascii="Times New Roman" w:eastAsia="等线 Light" w:hAnsi="Times New Roman" w:cs="Times New Roman"/>
          <w:color w:val="000000"/>
          <w:szCs w:val="21"/>
        </w:rPr>
        <w:t>) and α-CD (</w:t>
      </w:r>
      <w:r>
        <w:rPr>
          <w:rFonts w:ascii="Times New Roman" w:eastAsia="等线 Light" w:hAnsi="Times New Roman" w:cs="Times New Roman"/>
          <w:b/>
          <w:bCs/>
          <w:color w:val="000000"/>
          <w:szCs w:val="21"/>
        </w:rPr>
        <w:t>B</w:t>
      </w:r>
      <w:r>
        <w:rPr>
          <w:rFonts w:ascii="Times New Roman" w:eastAsia="等线 Light" w:hAnsi="Times New Roman" w:cs="Times New Roman"/>
          <w:color w:val="000000"/>
          <w:szCs w:val="21"/>
        </w:rPr>
        <w:t>).</w:t>
      </w:r>
    </w:p>
    <w:p w14:paraId="6DB80471" w14:textId="77777777" w:rsidR="00EA557E" w:rsidRDefault="00EA557E">
      <w:pPr>
        <w:adjustRightInd w:val="0"/>
        <w:snapToGrid w:val="0"/>
        <w:spacing w:line="360" w:lineRule="auto"/>
        <w:jc w:val="center"/>
        <w:rPr>
          <w:rFonts w:ascii="Times New Roman" w:eastAsia="等线 Light" w:hAnsi="Times New Roman" w:cs="Times New Roman"/>
          <w:color w:val="000000"/>
          <w:szCs w:val="21"/>
        </w:rPr>
      </w:pPr>
    </w:p>
    <w:p w14:paraId="478F5192" w14:textId="77777777" w:rsidR="00EA557E" w:rsidRDefault="00000000">
      <w:pPr>
        <w:adjustRightInd w:val="0"/>
        <w:snapToGrid w:val="0"/>
        <w:spacing w:line="360" w:lineRule="auto"/>
        <w:jc w:val="center"/>
        <w:rPr>
          <w:rFonts w:ascii="Times New Roman" w:eastAsia="等线 Light" w:hAnsi="Times New Roman" w:cs="Times New Roman"/>
          <w:color w:val="000000"/>
          <w:szCs w:val="21"/>
        </w:rPr>
      </w:pPr>
      <w:r>
        <w:rPr>
          <w:rFonts w:ascii="Times New Roman" w:eastAsia="等线 Light" w:hAnsi="Times New Roman" w:cs="Times New Roman" w:hint="eastAsia"/>
          <w:noProof/>
          <w:color w:val="000000"/>
          <w:szCs w:val="21"/>
        </w:rPr>
        <w:drawing>
          <wp:inline distT="0" distB="0" distL="114300" distR="114300">
            <wp:extent cx="5273675" cy="2620010"/>
            <wp:effectExtent l="0" t="0" r="3175" b="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1"/>
                    <a:stretch>
                      <a:fillRect/>
                    </a:stretch>
                  </pic:blipFill>
                  <pic:spPr>
                    <a:xfrm>
                      <a:off x="0" y="0"/>
                      <a:ext cx="5273675" cy="2620010"/>
                    </a:xfrm>
                    <a:prstGeom prst="rect">
                      <a:avLst/>
                    </a:prstGeom>
                  </pic:spPr>
                </pic:pic>
              </a:graphicData>
            </a:graphic>
          </wp:inline>
        </w:drawing>
      </w:r>
    </w:p>
    <w:p w14:paraId="603924E1" w14:textId="77777777" w:rsidR="00EA557E" w:rsidRDefault="00000000">
      <w:pPr>
        <w:adjustRightInd w:val="0"/>
        <w:snapToGrid w:val="0"/>
        <w:spacing w:line="360" w:lineRule="auto"/>
        <w:rPr>
          <w:rFonts w:ascii="Times New Roman" w:eastAsia="等线 Light" w:hAnsi="Times New Roman" w:cs="Times New Roman"/>
          <w:color w:val="000000"/>
          <w:szCs w:val="21"/>
        </w:rPr>
      </w:pPr>
      <w:r>
        <w:rPr>
          <w:rFonts w:ascii="Times New Roman" w:eastAsia="等线 Light" w:hAnsi="Times New Roman" w:cs="Times New Roman"/>
          <w:b/>
          <w:bCs/>
          <w:color w:val="000000"/>
          <w:szCs w:val="21"/>
        </w:rPr>
        <w:t>Fig. S4</w:t>
      </w:r>
      <w:r>
        <w:rPr>
          <w:rFonts w:ascii="Times New Roman" w:eastAsia="等线 Light" w:hAnsi="Times New Roman" w:cs="Times New Roman"/>
          <w:color w:val="000000"/>
          <w:szCs w:val="21"/>
        </w:rPr>
        <w:t xml:space="preserve"> (</w:t>
      </w:r>
      <w:r>
        <w:rPr>
          <w:rFonts w:ascii="Times New Roman" w:eastAsia="等线 Light" w:hAnsi="Times New Roman" w:cs="Times New Roman"/>
          <w:b/>
          <w:bCs/>
          <w:color w:val="000000"/>
          <w:szCs w:val="21"/>
        </w:rPr>
        <w:t>A</w:t>
      </w:r>
      <w:r>
        <w:rPr>
          <w:rFonts w:ascii="Times New Roman" w:eastAsia="等线 Light" w:hAnsi="Times New Roman" w:cs="Times New Roman"/>
          <w:color w:val="000000"/>
          <w:szCs w:val="21"/>
        </w:rPr>
        <w:t xml:space="preserve">) </w:t>
      </w:r>
      <w:r>
        <w:rPr>
          <w:rFonts w:ascii="Times New Roman" w:eastAsia="等线 Light" w:hAnsi="Times New Roman" w:cs="Times New Roman"/>
          <w:color w:val="000000"/>
          <w:szCs w:val="21"/>
          <w:vertAlign w:val="superscript"/>
        </w:rPr>
        <w:t>1</w:t>
      </w:r>
      <w:r>
        <w:rPr>
          <w:rFonts w:ascii="Times New Roman" w:eastAsia="等线 Light" w:hAnsi="Times New Roman" w:cs="Times New Roman"/>
          <w:color w:val="000000"/>
          <w:szCs w:val="21"/>
        </w:rPr>
        <w:t>H NMR spectra of AR21, α-CD, AR21/αCD complex. (</w:t>
      </w:r>
      <w:r>
        <w:rPr>
          <w:rFonts w:ascii="Times New Roman" w:eastAsia="等线 Light" w:hAnsi="Times New Roman" w:cs="Times New Roman"/>
          <w:b/>
          <w:bCs/>
          <w:color w:val="000000"/>
          <w:szCs w:val="21"/>
        </w:rPr>
        <w:t>B-C</w:t>
      </w:r>
      <w:r>
        <w:rPr>
          <w:rFonts w:ascii="Times New Roman" w:eastAsia="等线 Light" w:hAnsi="Times New Roman" w:cs="Times New Roman"/>
          <w:color w:val="000000"/>
          <w:szCs w:val="21"/>
        </w:rPr>
        <w:t xml:space="preserve">) Enlarged </w:t>
      </w:r>
      <w:r>
        <w:rPr>
          <w:rFonts w:ascii="Times New Roman" w:eastAsia="等线 Light" w:hAnsi="Times New Roman" w:cs="Times New Roman"/>
          <w:color w:val="000000"/>
          <w:szCs w:val="21"/>
          <w:vertAlign w:val="superscript"/>
        </w:rPr>
        <w:t>1</w:t>
      </w:r>
      <w:r>
        <w:rPr>
          <w:rFonts w:ascii="Times New Roman" w:eastAsia="等线 Light" w:hAnsi="Times New Roman" w:cs="Times New Roman"/>
          <w:color w:val="000000"/>
          <w:szCs w:val="21"/>
        </w:rPr>
        <w:t xml:space="preserve">H NMR spectra of </w:t>
      </w:r>
      <w:r>
        <w:rPr>
          <w:rFonts w:ascii="Times New Roman" w:eastAsia="等线 Light" w:hAnsi="Times New Roman" w:cs="Times New Roman"/>
          <w:szCs w:val="21"/>
        </w:rPr>
        <w:t>α-CD and AR21/αCD.</w:t>
      </w:r>
      <w:r>
        <w:rPr>
          <w:rFonts w:ascii="Times New Roman" w:eastAsia="等线 Light" w:hAnsi="Times New Roman" w:cs="Times New Roman"/>
          <w:color w:val="000000"/>
          <w:szCs w:val="21"/>
        </w:rPr>
        <w:t xml:space="preserve"> </w:t>
      </w:r>
    </w:p>
    <w:p w14:paraId="0B48B996" w14:textId="77777777" w:rsidR="00EA557E" w:rsidRDefault="00EA557E">
      <w:pPr>
        <w:adjustRightInd w:val="0"/>
        <w:snapToGrid w:val="0"/>
        <w:spacing w:line="360" w:lineRule="auto"/>
        <w:rPr>
          <w:rFonts w:ascii="Times New Roman" w:hAnsi="Times New Roman" w:cs="Times New Roman"/>
          <w:kern w:val="0"/>
          <w:szCs w:val="21"/>
        </w:rPr>
      </w:pPr>
    </w:p>
    <w:p w14:paraId="00046DE9" w14:textId="77777777" w:rsidR="00EA557E" w:rsidRDefault="00000000">
      <w:pPr>
        <w:adjustRightInd w:val="0"/>
        <w:snapToGrid w:val="0"/>
        <w:spacing w:line="360" w:lineRule="auto"/>
        <w:rPr>
          <w:rFonts w:ascii="Times New Roman" w:hAnsi="Times New Roman" w:cs="Times New Roman"/>
          <w:kern w:val="0"/>
          <w:szCs w:val="21"/>
        </w:rPr>
      </w:pPr>
      <w:r>
        <w:rPr>
          <w:rFonts w:ascii="Times New Roman" w:hAnsi="Times New Roman" w:cs="Times New Roman"/>
          <w:kern w:val="0"/>
          <w:szCs w:val="21"/>
        </w:rPr>
        <w:t>To determine the molar ratio of α-CD to AR21 in the complex, we used the integral area of the TMS peak as a reference with an assigned value of 1. The molar ratio was calculated based on the integral area of the AR21 H2 peak at 1.197 ppm and the integral area of the α-CD H4 peak at 4.439 ppm (</w:t>
      </w:r>
      <w:r>
        <w:rPr>
          <w:rFonts w:ascii="Times New Roman" w:hAnsi="Times New Roman" w:cs="Times New Roman"/>
          <w:b/>
          <w:bCs/>
          <w:kern w:val="0"/>
          <w:szCs w:val="21"/>
        </w:rPr>
        <w:t>Fig S4A</w:t>
      </w:r>
      <w:r>
        <w:rPr>
          <w:rFonts w:ascii="Times New Roman" w:hAnsi="Times New Roman" w:cs="Times New Roman"/>
          <w:kern w:val="0"/>
          <w:szCs w:val="21"/>
        </w:rPr>
        <w:t>) using the following equation:</w:t>
      </w:r>
    </w:p>
    <w:p w14:paraId="44F942E2" w14:textId="77777777" w:rsidR="00EA557E" w:rsidRDefault="00000000">
      <w:pPr>
        <w:adjustRightInd w:val="0"/>
        <w:snapToGrid w:val="0"/>
        <w:spacing w:line="360" w:lineRule="auto"/>
        <w:rPr>
          <w:rFonts w:ascii="Times New Roman" w:hAnsi="Times New Roman" w:cs="Times New Roman"/>
          <w:kern w:val="0"/>
          <w:szCs w:val="21"/>
        </w:rPr>
      </w:pPr>
      <w:r>
        <w:rPr>
          <w:rFonts w:ascii="Times New Roman" w:hAnsi="Times New Roman" w:cs="Times New Roman"/>
          <w:kern w:val="0"/>
          <w:szCs w:val="21"/>
        </w:rPr>
        <w:t>Molar ratio =</w:t>
      </w:r>
      <w:r>
        <w:rPr>
          <w:rFonts w:ascii="Times New Roman" w:hAnsi="Times New Roman" w:cs="Times New Roman"/>
          <w:kern w:val="0"/>
          <w:position w:val="-30"/>
          <w:szCs w:val="21"/>
        </w:rPr>
        <w:object w:dxaOrig="2445" w:dyaOrig="703" w14:anchorId="020315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1pt;height:35.05pt" o:ole="">
            <v:imagedata r:id="rId12" o:title=""/>
          </v:shape>
          <o:OLEObject Type="Embed" ProgID="Equation.KSEE3" ShapeID="_x0000_i1025" DrawAspect="Content" ObjectID="_1758286361" r:id="rId13"/>
        </w:object>
      </w:r>
    </w:p>
    <w:p w14:paraId="630761C1" w14:textId="77777777" w:rsidR="00EA557E" w:rsidRDefault="00000000">
      <w:pPr>
        <w:adjustRightInd w:val="0"/>
        <w:snapToGrid w:val="0"/>
        <w:spacing w:line="360" w:lineRule="auto"/>
        <w:rPr>
          <w:rFonts w:ascii="Times New Roman" w:hAnsi="Times New Roman" w:cs="Times New Roman"/>
          <w:kern w:val="0"/>
          <w:szCs w:val="21"/>
        </w:rPr>
      </w:pPr>
      <w:r>
        <w:rPr>
          <w:rFonts w:ascii="Times New Roman" w:hAnsi="Times New Roman" w:cs="Times New Roman"/>
          <w:kern w:val="0"/>
          <w:szCs w:val="21"/>
        </w:rPr>
        <w:t>Where S</w:t>
      </w:r>
      <w:r>
        <w:rPr>
          <w:rFonts w:ascii="Times New Roman" w:eastAsia="等线 Light" w:hAnsi="Times New Roman" w:cs="Times New Roman"/>
          <w:szCs w:val="21"/>
          <w:vertAlign w:val="subscript"/>
        </w:rPr>
        <w:t>AR21/αCD:</w:t>
      </w:r>
      <w:r>
        <w:rPr>
          <w:rFonts w:ascii="Times New Roman" w:eastAsia="等线 Light" w:hAnsi="Times New Roman" w:cs="Times New Roman"/>
          <w:kern w:val="0"/>
          <w:szCs w:val="21"/>
          <w:vertAlign w:val="subscript"/>
        </w:rPr>
        <w:t>H4</w:t>
      </w:r>
      <w:r>
        <w:rPr>
          <w:rFonts w:ascii="Times New Roman" w:hAnsi="Times New Roman" w:cs="Times New Roman"/>
          <w:kern w:val="0"/>
          <w:szCs w:val="21"/>
        </w:rPr>
        <w:t xml:space="preserve"> represents the integral area of the AR21</w:t>
      </w:r>
      <w:r>
        <w:rPr>
          <w:rFonts w:ascii="Times New Roman" w:eastAsia="等线 Light" w:hAnsi="Times New Roman" w:cs="Times New Roman"/>
          <w:szCs w:val="21"/>
        </w:rPr>
        <w:t>/αCD</w:t>
      </w:r>
      <w:r>
        <w:rPr>
          <w:rFonts w:ascii="Times New Roman" w:hAnsi="Times New Roman" w:cs="Times New Roman"/>
          <w:kern w:val="0"/>
          <w:szCs w:val="21"/>
        </w:rPr>
        <w:t xml:space="preserve"> peak at 4.439 ppm, S</w:t>
      </w:r>
      <w:r>
        <w:rPr>
          <w:rFonts w:ascii="Times New Roman" w:eastAsia="等线 Light" w:hAnsi="Times New Roman" w:cs="Times New Roman"/>
          <w:szCs w:val="21"/>
          <w:vertAlign w:val="subscript"/>
        </w:rPr>
        <w:t>AR21/αCD:H2</w:t>
      </w:r>
      <w:r>
        <w:rPr>
          <w:rFonts w:ascii="Times New Roman" w:hAnsi="Times New Roman" w:cs="Times New Roman"/>
          <w:kern w:val="0"/>
          <w:szCs w:val="21"/>
        </w:rPr>
        <w:t xml:space="preserve"> indexes to the integral area of the AR21</w:t>
      </w:r>
      <w:r>
        <w:rPr>
          <w:rFonts w:ascii="Times New Roman" w:eastAsia="等线 Light" w:hAnsi="Times New Roman" w:cs="Times New Roman"/>
          <w:szCs w:val="21"/>
        </w:rPr>
        <w:t>/αCD</w:t>
      </w:r>
      <w:r>
        <w:rPr>
          <w:rFonts w:ascii="Times New Roman" w:hAnsi="Times New Roman" w:cs="Times New Roman"/>
          <w:kern w:val="0"/>
          <w:szCs w:val="21"/>
        </w:rPr>
        <w:t xml:space="preserve"> peak at 1.197 ppm, S</w:t>
      </w:r>
      <w:r>
        <w:rPr>
          <w:rFonts w:ascii="Times New Roman" w:eastAsia="等线 Light" w:hAnsi="Times New Roman" w:cs="Times New Roman"/>
          <w:szCs w:val="21"/>
          <w:vertAlign w:val="subscript"/>
        </w:rPr>
        <w:t>α</w:t>
      </w:r>
      <w:r>
        <w:rPr>
          <w:rFonts w:ascii="Times New Roman" w:eastAsia="微软雅黑" w:hAnsi="Times New Roman" w:cs="Times New Roman"/>
          <w:szCs w:val="21"/>
          <w:vertAlign w:val="subscript"/>
        </w:rPr>
        <w:t>−</w:t>
      </w:r>
      <w:r>
        <w:rPr>
          <w:rFonts w:ascii="Times New Roman" w:eastAsia="等线 Light" w:hAnsi="Times New Roman" w:cs="Times New Roman"/>
          <w:szCs w:val="21"/>
          <w:vertAlign w:val="subscript"/>
        </w:rPr>
        <w:t>CD:</w:t>
      </w:r>
      <w:r>
        <w:rPr>
          <w:rFonts w:ascii="Times New Roman" w:eastAsia="等线 Light" w:hAnsi="Times New Roman" w:cs="Times New Roman"/>
          <w:kern w:val="0"/>
          <w:szCs w:val="21"/>
          <w:vertAlign w:val="subscript"/>
        </w:rPr>
        <w:t>H4</w:t>
      </w:r>
      <w:r>
        <w:rPr>
          <w:rFonts w:ascii="Times New Roman" w:hAnsi="Times New Roman" w:cs="Times New Roman"/>
          <w:kern w:val="0"/>
          <w:szCs w:val="21"/>
        </w:rPr>
        <w:t xml:space="preserve"> represents the integral area of the α-CD H2 peak at 4.439 ppm, and S</w:t>
      </w:r>
      <w:r>
        <w:rPr>
          <w:rFonts w:ascii="Times New Roman" w:eastAsia="等线 Light" w:hAnsi="Times New Roman" w:cs="Times New Roman"/>
          <w:szCs w:val="21"/>
          <w:vertAlign w:val="subscript"/>
        </w:rPr>
        <w:t>AR21:</w:t>
      </w:r>
      <w:r>
        <w:rPr>
          <w:rFonts w:ascii="Times New Roman" w:eastAsia="等线 Light" w:hAnsi="Times New Roman" w:cs="Times New Roman"/>
          <w:kern w:val="0"/>
          <w:szCs w:val="21"/>
          <w:vertAlign w:val="subscript"/>
        </w:rPr>
        <w:t>H2</w:t>
      </w:r>
      <w:r>
        <w:rPr>
          <w:rFonts w:ascii="Times New Roman" w:hAnsi="Times New Roman" w:cs="Times New Roman"/>
          <w:kern w:val="0"/>
          <w:szCs w:val="21"/>
        </w:rPr>
        <w:t xml:space="preserve"> denotes the integral area of AR21 H2 peak at 1.197 ppm.</w:t>
      </w:r>
    </w:p>
    <w:p w14:paraId="2D3E1B3B" w14:textId="77777777" w:rsidR="00EA557E" w:rsidRDefault="00EA557E">
      <w:pPr>
        <w:widowControl/>
        <w:rPr>
          <w:rFonts w:ascii="Times New Roman" w:eastAsia="等线" w:hAnsi="Times New Roman" w:cs="Times New Roman"/>
          <w:kern w:val="24"/>
          <w:szCs w:val="21"/>
        </w:rPr>
      </w:pPr>
      <w:bookmarkStart w:id="4" w:name="_Hlk144475491"/>
    </w:p>
    <w:p w14:paraId="42A77269" w14:textId="77777777" w:rsidR="00EA557E" w:rsidRDefault="00000000">
      <w:pPr>
        <w:widowControl/>
        <w:jc w:val="center"/>
        <w:rPr>
          <w:rFonts w:ascii="Times New Roman" w:eastAsia="等线" w:hAnsi="Times New Roman" w:cs="Times New Roman"/>
          <w:kern w:val="24"/>
          <w:szCs w:val="21"/>
        </w:rPr>
      </w:pPr>
      <w:r>
        <w:rPr>
          <w:rFonts w:ascii="Times New Roman" w:eastAsia="等线" w:hAnsi="Times New Roman" w:cs="Times New Roman"/>
          <w:noProof/>
          <w:kern w:val="24"/>
          <w:szCs w:val="21"/>
        </w:rPr>
        <w:lastRenderedPageBreak/>
        <w:drawing>
          <wp:inline distT="0" distB="0" distL="0" distR="0" wp14:editId="2E8373FF">
            <wp:extent cx="5327650" cy="1398905"/>
            <wp:effectExtent l="0" t="0" r="6350" b="0"/>
            <wp:docPr id="1934882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274" name="图片 2"/>
                    <pic:cNvPicPr>
                      <a:picLocks noChangeAspect="1" noChangeArrowheads="1"/>
                    </pic:cNvPicPr>
                  </pic:nvPicPr>
                  <pic:blipFill>
                    <a:blip r:embed="rId14" cstate="print">
                      <a:extLst>
                        <a:ext uri="{28A0092B-C50C-407E-A947-70E740481C1C}">
                          <a14:useLocalDpi xmlns:a14="http://schemas.microsoft.com/office/drawing/2010/main" val="0"/>
                        </a:ext>
                      </a:extLst>
                    </a:blip>
                    <a:srcRect l="2181" t="3770"/>
                    <a:stretch>
                      <a:fillRect/>
                    </a:stretch>
                  </pic:blipFill>
                  <pic:spPr>
                    <a:xfrm>
                      <a:off x="0" y="0"/>
                      <a:ext cx="5328000" cy="1399114"/>
                    </a:xfrm>
                    <a:prstGeom prst="rect">
                      <a:avLst/>
                    </a:prstGeom>
                    <a:noFill/>
                    <a:ln>
                      <a:noFill/>
                    </a:ln>
                  </pic:spPr>
                </pic:pic>
              </a:graphicData>
            </a:graphic>
          </wp:inline>
        </w:drawing>
      </w:r>
    </w:p>
    <w:bookmarkEnd w:id="4"/>
    <w:p w14:paraId="2CDD0707" w14:textId="77777777" w:rsidR="00EA557E" w:rsidRDefault="00000000">
      <w:pPr>
        <w:widowControl/>
        <w:jc w:val="center"/>
        <w:rPr>
          <w:rFonts w:ascii="Times New Roman" w:eastAsia="等线" w:hAnsi="Times New Roman" w:cs="Times New Roman"/>
          <w:kern w:val="24"/>
          <w:szCs w:val="21"/>
        </w:rPr>
      </w:pPr>
      <w:r>
        <w:rPr>
          <w:rStyle w:val="fontstyle01"/>
          <w:rFonts w:ascii="Times New Roman" w:eastAsia="等线 Light" w:hAnsi="Times New Roman" w:cs="Times New Roman"/>
          <w:b/>
          <w:bCs/>
          <w:color w:val="auto"/>
          <w:sz w:val="21"/>
          <w:szCs w:val="21"/>
        </w:rPr>
        <w:t xml:space="preserve">Fig. S5 </w:t>
      </w:r>
      <w:r>
        <w:rPr>
          <w:rStyle w:val="fontstyle01"/>
          <w:rFonts w:ascii="Times New Roman" w:eastAsia="等线 Light" w:hAnsi="Times New Roman" w:cs="Times New Roman"/>
          <w:color w:val="auto"/>
          <w:sz w:val="21"/>
          <w:szCs w:val="21"/>
        </w:rPr>
        <w:t>EDS</w:t>
      </w:r>
      <w:r>
        <w:rPr>
          <w:rFonts w:ascii="Times New Roman" w:eastAsia="等线" w:hAnsi="Times New Roman" w:cs="Times New Roman"/>
          <w:kern w:val="24"/>
          <w:szCs w:val="21"/>
        </w:rPr>
        <w:t xml:space="preserve"> profiles of (</w:t>
      </w:r>
      <w:r>
        <w:rPr>
          <w:rFonts w:ascii="Times New Roman" w:eastAsia="等线" w:hAnsi="Times New Roman" w:cs="Times New Roman"/>
          <w:b/>
          <w:bCs/>
          <w:kern w:val="24"/>
          <w:szCs w:val="21"/>
        </w:rPr>
        <w:t>A</w:t>
      </w:r>
      <w:r>
        <w:rPr>
          <w:rFonts w:ascii="Times New Roman" w:eastAsia="等线" w:hAnsi="Times New Roman" w:cs="Times New Roman"/>
          <w:kern w:val="24"/>
          <w:szCs w:val="21"/>
        </w:rPr>
        <w:t xml:space="preserve">) </w:t>
      </w:r>
      <w:r>
        <w:rPr>
          <w:rFonts w:ascii="Times New Roman" w:eastAsia="CharisSIL" w:hAnsi="Times New Roman" w:cs="Times New Roman"/>
          <w:kern w:val="0"/>
          <w:szCs w:val="21"/>
        </w:rPr>
        <w:t>DMIP</w:t>
      </w:r>
      <w:r>
        <w:rPr>
          <w:rFonts w:ascii="Times New Roman" w:eastAsia="等线" w:hAnsi="Times New Roman" w:cs="Times New Roman"/>
          <w:kern w:val="24"/>
          <w:szCs w:val="21"/>
        </w:rPr>
        <w:t xml:space="preserve">, (B) </w:t>
      </w:r>
      <w:r>
        <w:rPr>
          <w:rFonts w:ascii="Times New Roman" w:hAnsi="Times New Roman" w:cs="Times New Roman"/>
          <w:kern w:val="0"/>
          <w:szCs w:val="21"/>
        </w:rPr>
        <w:t>SMIP</w:t>
      </w:r>
      <w:r>
        <w:rPr>
          <w:rFonts w:ascii="Times New Roman" w:eastAsia="等线" w:hAnsi="Times New Roman" w:cs="Times New Roman"/>
          <w:kern w:val="24"/>
          <w:szCs w:val="21"/>
        </w:rPr>
        <w:t>, and (</w:t>
      </w:r>
      <w:r>
        <w:rPr>
          <w:rFonts w:ascii="Times New Roman" w:eastAsia="等线" w:hAnsi="Times New Roman" w:cs="Times New Roman"/>
          <w:b/>
          <w:bCs/>
          <w:kern w:val="24"/>
          <w:szCs w:val="21"/>
        </w:rPr>
        <w:t>C</w:t>
      </w:r>
      <w:r>
        <w:rPr>
          <w:rFonts w:ascii="Times New Roman" w:eastAsia="等线" w:hAnsi="Times New Roman" w:cs="Times New Roman"/>
          <w:kern w:val="24"/>
          <w:szCs w:val="21"/>
        </w:rPr>
        <w:t>) NIP.</w:t>
      </w:r>
    </w:p>
    <w:p w14:paraId="36636C10" w14:textId="77777777" w:rsidR="00EA557E" w:rsidRDefault="00EA557E">
      <w:pPr>
        <w:widowControl/>
        <w:jc w:val="center"/>
        <w:rPr>
          <w:rFonts w:ascii="Times New Roman" w:eastAsia="等线" w:hAnsi="Times New Roman" w:cs="Times New Roman"/>
          <w:kern w:val="24"/>
          <w:szCs w:val="21"/>
        </w:rPr>
      </w:pPr>
    </w:p>
    <w:p w14:paraId="1F357775" w14:textId="77777777" w:rsidR="00EA557E" w:rsidRDefault="00000000">
      <w:pPr>
        <w:widowControl/>
        <w:jc w:val="center"/>
        <w:rPr>
          <w:rFonts w:ascii="Times New Roman" w:eastAsia="等线" w:hAnsi="Times New Roman" w:cs="Times New Roman"/>
          <w:b/>
          <w:bCs/>
          <w:kern w:val="24"/>
          <w:szCs w:val="21"/>
        </w:rPr>
      </w:pPr>
      <w:r>
        <w:rPr>
          <w:rFonts w:ascii="Times New Roman" w:eastAsia="等线" w:hAnsi="Times New Roman" w:cs="Times New Roman" w:hint="eastAsia"/>
          <w:b/>
          <w:bCs/>
          <w:noProof/>
          <w:kern w:val="24"/>
          <w:szCs w:val="21"/>
        </w:rPr>
        <w:drawing>
          <wp:inline distT="0" distB="0" distL="114300" distR="114300">
            <wp:extent cx="2303780" cy="1269365"/>
            <wp:effectExtent l="0" t="0" r="1270" b="6985"/>
            <wp:docPr id="2" name="图片 2"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4"/>
                    <pic:cNvPicPr>
                      <a:picLocks noChangeAspect="1"/>
                    </pic:cNvPicPr>
                  </pic:nvPicPr>
                  <pic:blipFill>
                    <a:blip r:embed="rId15"/>
                    <a:stretch>
                      <a:fillRect/>
                    </a:stretch>
                  </pic:blipFill>
                  <pic:spPr>
                    <a:xfrm>
                      <a:off x="0" y="0"/>
                      <a:ext cx="2304000" cy="1269890"/>
                    </a:xfrm>
                    <a:prstGeom prst="rect">
                      <a:avLst/>
                    </a:prstGeom>
                  </pic:spPr>
                </pic:pic>
              </a:graphicData>
            </a:graphic>
          </wp:inline>
        </w:drawing>
      </w:r>
    </w:p>
    <w:p w14:paraId="61348E95" w14:textId="77777777" w:rsidR="00EA557E" w:rsidRDefault="00000000">
      <w:pPr>
        <w:widowControl/>
        <w:rPr>
          <w:rFonts w:ascii="Times New Roman" w:eastAsia="等线" w:hAnsi="Times New Roman" w:cs="Times New Roman"/>
          <w:kern w:val="24"/>
          <w:szCs w:val="21"/>
        </w:rPr>
      </w:pPr>
      <w:r>
        <w:rPr>
          <w:rStyle w:val="fontstyle01"/>
          <w:rFonts w:ascii="Times New Roman" w:eastAsia="等线 Light" w:hAnsi="Times New Roman" w:cs="Times New Roman"/>
          <w:b/>
          <w:bCs/>
          <w:color w:val="auto"/>
          <w:sz w:val="21"/>
          <w:szCs w:val="21"/>
        </w:rPr>
        <w:t>Fig. S6</w:t>
      </w:r>
      <w:r>
        <w:rPr>
          <w:rFonts w:ascii="Times New Roman" w:hAnsi="Times New Roman" w:cs="Times New Roman"/>
          <w:szCs w:val="21"/>
        </w:rPr>
        <w:t xml:space="preserve"> </w:t>
      </w:r>
      <w:r>
        <w:rPr>
          <w:rFonts w:ascii="Times New Roman" w:eastAsia="等线" w:hAnsi="Times New Roman" w:cs="Times New Roman"/>
          <w:kern w:val="24"/>
          <w:szCs w:val="21"/>
        </w:rPr>
        <w:t>The equivalent circuit diagram fitted from Nyquist plots, which consists of a charge transfer resistance (</w:t>
      </w:r>
      <w:proofErr w:type="spellStart"/>
      <w:r>
        <w:rPr>
          <w:rFonts w:ascii="Times New Roman" w:eastAsia="等线" w:hAnsi="Times New Roman" w:cs="Times New Roman"/>
          <w:kern w:val="24"/>
          <w:szCs w:val="21"/>
        </w:rPr>
        <w:t>R</w:t>
      </w:r>
      <w:r>
        <w:rPr>
          <w:rFonts w:ascii="Times New Roman" w:eastAsia="等线" w:hAnsi="Times New Roman" w:cs="Times New Roman"/>
          <w:kern w:val="24"/>
          <w:szCs w:val="21"/>
          <w:vertAlign w:val="subscript"/>
        </w:rPr>
        <w:t>ct</w:t>
      </w:r>
      <w:proofErr w:type="spellEnd"/>
      <w:r>
        <w:rPr>
          <w:rFonts w:ascii="Times New Roman" w:eastAsia="等线" w:hAnsi="Times New Roman" w:cs="Times New Roman"/>
          <w:kern w:val="24"/>
          <w:szCs w:val="21"/>
        </w:rPr>
        <w:t xml:space="preserve">), and a </w:t>
      </w:r>
      <w:proofErr w:type="spellStart"/>
      <w:r>
        <w:rPr>
          <w:rFonts w:ascii="Times New Roman" w:eastAsia="等线" w:hAnsi="Times New Roman" w:cs="Times New Roman"/>
          <w:kern w:val="24"/>
          <w:szCs w:val="21"/>
        </w:rPr>
        <w:t>Warburgh</w:t>
      </w:r>
      <w:proofErr w:type="spellEnd"/>
      <w:r>
        <w:rPr>
          <w:rFonts w:ascii="Times New Roman" w:eastAsia="等线" w:hAnsi="Times New Roman" w:cs="Times New Roman"/>
          <w:kern w:val="24"/>
          <w:szCs w:val="21"/>
        </w:rPr>
        <w:t xml:space="preserve"> impedance (W), a constant phase element (CPE) and an active electrolyte resistance (R</w:t>
      </w:r>
      <w:r>
        <w:rPr>
          <w:rFonts w:ascii="Times New Roman" w:eastAsia="等线" w:hAnsi="Times New Roman" w:cs="Times New Roman"/>
          <w:kern w:val="24"/>
          <w:szCs w:val="21"/>
          <w:vertAlign w:val="subscript"/>
        </w:rPr>
        <w:t>s</w:t>
      </w:r>
      <w:r>
        <w:rPr>
          <w:rFonts w:ascii="Times New Roman" w:eastAsia="等线" w:hAnsi="Times New Roman" w:cs="Times New Roman"/>
          <w:kern w:val="24"/>
          <w:szCs w:val="21"/>
        </w:rPr>
        <w:t>).</w:t>
      </w:r>
    </w:p>
    <w:p w14:paraId="384EC41E" w14:textId="77777777" w:rsidR="00EA557E" w:rsidRDefault="00EA557E">
      <w:pPr>
        <w:widowControl/>
        <w:rPr>
          <w:rFonts w:ascii="Times New Roman" w:eastAsia="等线" w:hAnsi="Times New Roman" w:cs="Times New Roman"/>
          <w:color w:val="000000" w:themeColor="text1"/>
          <w:kern w:val="24"/>
          <w:szCs w:val="21"/>
        </w:rPr>
      </w:pPr>
    </w:p>
    <w:p w14:paraId="40C69282" w14:textId="77777777" w:rsidR="00EA557E" w:rsidRDefault="00000000">
      <w:pPr>
        <w:widowControl/>
        <w:rPr>
          <w:rFonts w:ascii="Times New Roman" w:eastAsia="等线" w:hAnsi="Times New Roman" w:cs="Times New Roman"/>
          <w:color w:val="000000" w:themeColor="text1"/>
          <w:kern w:val="24"/>
          <w:szCs w:val="21"/>
        </w:rPr>
      </w:pPr>
      <w:r>
        <w:rPr>
          <w:rFonts w:ascii="Times New Roman" w:eastAsia="等线" w:hAnsi="Times New Roman" w:cs="Times New Roman"/>
          <w:noProof/>
          <w:color w:val="000000" w:themeColor="text1"/>
          <w:kern w:val="24"/>
          <w:szCs w:val="21"/>
        </w:rPr>
        <w:drawing>
          <wp:inline distT="0" distB="0" distL="114300" distR="114300">
            <wp:extent cx="5271135" cy="2228850"/>
            <wp:effectExtent l="0" t="0" r="5715" b="0"/>
            <wp:docPr id="3" name="图片 3"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7"/>
                    <pic:cNvPicPr>
                      <a:picLocks noChangeAspect="1"/>
                    </pic:cNvPicPr>
                  </pic:nvPicPr>
                  <pic:blipFill>
                    <a:blip r:embed="rId16"/>
                    <a:stretch>
                      <a:fillRect/>
                    </a:stretch>
                  </pic:blipFill>
                  <pic:spPr>
                    <a:xfrm>
                      <a:off x="0" y="0"/>
                      <a:ext cx="5271135" cy="2228850"/>
                    </a:xfrm>
                    <a:prstGeom prst="rect">
                      <a:avLst/>
                    </a:prstGeom>
                  </pic:spPr>
                </pic:pic>
              </a:graphicData>
            </a:graphic>
          </wp:inline>
        </w:drawing>
      </w:r>
    </w:p>
    <w:p w14:paraId="1CEF5660" w14:textId="77777777" w:rsidR="00EA557E" w:rsidRDefault="00000000">
      <w:pPr>
        <w:widowControl/>
        <w:rPr>
          <w:rFonts w:ascii="Times New Roman" w:eastAsia="等线" w:hAnsi="Times New Roman" w:cs="Times New Roman"/>
          <w:kern w:val="24"/>
          <w:szCs w:val="21"/>
        </w:rPr>
      </w:pPr>
      <w:r>
        <w:rPr>
          <w:rStyle w:val="fontstyle01"/>
          <w:rFonts w:ascii="Times New Roman" w:eastAsia="等线 Light" w:hAnsi="Times New Roman" w:cs="Times New Roman"/>
          <w:b/>
          <w:bCs/>
          <w:color w:val="000000" w:themeColor="text1"/>
          <w:sz w:val="21"/>
          <w:szCs w:val="21"/>
        </w:rPr>
        <w:t xml:space="preserve">Fig. S7 </w:t>
      </w:r>
      <w:r>
        <w:rPr>
          <w:rFonts w:ascii="Times New Roman" w:eastAsia="等线" w:hAnsi="Times New Roman" w:cs="Times New Roman"/>
          <w:kern w:val="24"/>
          <w:szCs w:val="21"/>
        </w:rPr>
        <w:t>CV curves at different scan rates (from 2 to 150 mV·s</w:t>
      </w:r>
      <w:r>
        <w:rPr>
          <w:rFonts w:ascii="Times New Roman" w:eastAsia="等线" w:hAnsi="Times New Roman" w:cs="Times New Roman"/>
          <w:kern w:val="24"/>
          <w:szCs w:val="21"/>
          <w:vertAlign w:val="superscript"/>
        </w:rPr>
        <w:t>−1</w:t>
      </w:r>
      <w:r>
        <w:rPr>
          <w:rFonts w:ascii="Times New Roman" w:eastAsia="等线" w:hAnsi="Times New Roman" w:cs="Times New Roman"/>
          <w:kern w:val="24"/>
          <w:szCs w:val="21"/>
        </w:rPr>
        <w:t>) of (</w:t>
      </w:r>
      <w:r>
        <w:rPr>
          <w:rFonts w:ascii="Times New Roman" w:eastAsia="等线" w:hAnsi="Times New Roman" w:cs="Times New Roman"/>
          <w:b/>
          <w:bCs/>
          <w:kern w:val="24"/>
          <w:szCs w:val="21"/>
        </w:rPr>
        <w:t>A</w:t>
      </w:r>
      <w:r>
        <w:rPr>
          <w:rFonts w:ascii="Times New Roman" w:eastAsia="等线" w:hAnsi="Times New Roman" w:cs="Times New Roman"/>
          <w:kern w:val="24"/>
          <w:szCs w:val="21"/>
        </w:rPr>
        <w:t>) GE and (</w:t>
      </w:r>
      <w:r>
        <w:rPr>
          <w:rFonts w:ascii="Times New Roman" w:eastAsia="等线" w:hAnsi="Times New Roman" w:cs="Times New Roman"/>
          <w:b/>
          <w:bCs/>
          <w:kern w:val="24"/>
          <w:szCs w:val="21"/>
        </w:rPr>
        <w:t>B</w:t>
      </w:r>
      <w:r>
        <w:rPr>
          <w:rFonts w:ascii="Times New Roman" w:eastAsia="等线" w:hAnsi="Times New Roman" w:cs="Times New Roman"/>
          <w:kern w:val="24"/>
          <w:szCs w:val="21"/>
        </w:rPr>
        <w:t xml:space="preserve">) MXene/GE. Inset: linear relationship of peak current and square root of scan rate (ν½). </w:t>
      </w:r>
    </w:p>
    <w:p w14:paraId="24D16FDA" w14:textId="77777777" w:rsidR="00EA557E" w:rsidRDefault="00EA557E">
      <w:pPr>
        <w:widowControl/>
        <w:jc w:val="center"/>
        <w:rPr>
          <w:rFonts w:ascii="Times New Roman" w:eastAsia="等线" w:hAnsi="Times New Roman" w:cs="Times New Roman"/>
          <w:b/>
          <w:bCs/>
          <w:kern w:val="24"/>
          <w:szCs w:val="21"/>
        </w:rPr>
      </w:pPr>
    </w:p>
    <w:p w14:paraId="11BCC2E8" w14:textId="77777777" w:rsidR="00EA557E" w:rsidRDefault="00000000">
      <w:pPr>
        <w:widowControl/>
        <w:adjustRightInd w:val="0"/>
        <w:snapToGrid w:val="0"/>
        <w:spacing w:line="360" w:lineRule="auto"/>
        <w:jc w:val="center"/>
        <w:rPr>
          <w:rFonts w:ascii="Times New Roman" w:eastAsia="等线 Light" w:hAnsi="Times New Roman" w:cs="Times New Roman"/>
          <w:szCs w:val="21"/>
        </w:rPr>
      </w:pPr>
      <w:r>
        <w:rPr>
          <w:rFonts w:ascii="Times New Roman" w:eastAsia="等线 Light" w:hAnsi="Times New Roman" w:cs="Times New Roman"/>
          <w:noProof/>
          <w:szCs w:val="21"/>
        </w:rPr>
        <w:lastRenderedPageBreak/>
        <w:drawing>
          <wp:inline distT="0" distB="0" distL="114300" distR="114300">
            <wp:extent cx="5111750" cy="2147570"/>
            <wp:effectExtent l="0" t="0" r="0" b="5080"/>
            <wp:docPr id="9" name="图片 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3"/>
                    <pic:cNvPicPr>
                      <a:picLocks noChangeAspect="1"/>
                    </pic:cNvPicPr>
                  </pic:nvPicPr>
                  <pic:blipFill>
                    <a:blip r:embed="rId17"/>
                    <a:stretch>
                      <a:fillRect/>
                    </a:stretch>
                  </pic:blipFill>
                  <pic:spPr>
                    <a:xfrm>
                      <a:off x="0" y="0"/>
                      <a:ext cx="5112000" cy="2148112"/>
                    </a:xfrm>
                    <a:prstGeom prst="rect">
                      <a:avLst/>
                    </a:prstGeom>
                  </pic:spPr>
                </pic:pic>
              </a:graphicData>
            </a:graphic>
          </wp:inline>
        </w:drawing>
      </w:r>
    </w:p>
    <w:p w14:paraId="118E076A" w14:textId="77777777" w:rsidR="00EA557E" w:rsidRDefault="00000000">
      <w:pPr>
        <w:widowControl/>
        <w:adjustRightInd w:val="0"/>
        <w:snapToGrid w:val="0"/>
        <w:spacing w:line="360" w:lineRule="auto"/>
        <w:rPr>
          <w:rFonts w:ascii="Times New Roman" w:hAnsi="Times New Roman" w:cs="Times New Roman"/>
          <w:kern w:val="0"/>
          <w:szCs w:val="21"/>
        </w:rPr>
      </w:pPr>
      <w:r>
        <w:rPr>
          <w:rStyle w:val="fontstyle01"/>
          <w:rFonts w:ascii="Times New Roman" w:eastAsia="等线 Light" w:hAnsi="Times New Roman" w:cs="Times New Roman"/>
          <w:b/>
          <w:bCs/>
          <w:color w:val="auto"/>
          <w:sz w:val="21"/>
          <w:szCs w:val="21"/>
        </w:rPr>
        <w:t xml:space="preserve">Fig. S8 </w:t>
      </w:r>
      <w:r>
        <w:rPr>
          <w:rFonts w:ascii="Times New Roman" w:eastAsia="CharisSIL" w:hAnsi="Times New Roman" w:cs="Times New Roman"/>
          <w:kern w:val="0"/>
          <w:szCs w:val="21"/>
        </w:rPr>
        <w:t>(</w:t>
      </w:r>
      <w:r>
        <w:rPr>
          <w:rFonts w:ascii="Times New Roman" w:eastAsia="CharisSIL" w:hAnsi="Times New Roman" w:cs="Times New Roman"/>
          <w:b/>
          <w:bCs/>
          <w:kern w:val="0"/>
          <w:szCs w:val="21"/>
        </w:rPr>
        <w:t>A</w:t>
      </w:r>
      <w:r>
        <w:rPr>
          <w:rFonts w:ascii="Times New Roman" w:eastAsia="CharisSIL" w:hAnsi="Times New Roman" w:cs="Times New Roman"/>
          <w:kern w:val="0"/>
          <w:szCs w:val="21"/>
        </w:rPr>
        <w:t>)</w:t>
      </w:r>
      <w:r>
        <w:rPr>
          <w:rFonts w:ascii="Times New Roman" w:eastAsia="宋体" w:hAnsi="Times New Roman" w:cs="Times New Roman"/>
          <w:kern w:val="0"/>
          <w:szCs w:val="21"/>
        </w:rPr>
        <w:t xml:space="preserve"> </w:t>
      </w:r>
      <w:r>
        <w:rPr>
          <w:rStyle w:val="fontstyle01"/>
          <w:rFonts w:ascii="Times New Roman" w:eastAsia="等线 Light" w:hAnsi="Times New Roman" w:cs="Times New Roman"/>
          <w:color w:val="auto"/>
          <w:sz w:val="21"/>
          <w:szCs w:val="21"/>
        </w:rPr>
        <w:t xml:space="preserve">Optimization of MXene dosage, with the MXene concentration of </w:t>
      </w:r>
      <w:r>
        <w:rPr>
          <w:rFonts w:ascii="Times New Roman" w:eastAsia="CharisSIL" w:hAnsi="Times New Roman" w:cs="Times New Roman"/>
          <w:kern w:val="0"/>
          <w:szCs w:val="21"/>
        </w:rPr>
        <w:t>4 mg·mL</w:t>
      </w:r>
      <w:r>
        <w:rPr>
          <w:rFonts w:ascii="Times New Roman" w:eastAsia="CharisSIL" w:hAnsi="Times New Roman" w:cs="Times New Roman"/>
          <w:kern w:val="0"/>
          <w:szCs w:val="21"/>
          <w:vertAlign w:val="superscript"/>
        </w:rPr>
        <w:t>−1</w:t>
      </w:r>
      <w:r>
        <w:rPr>
          <w:rFonts w:ascii="Times New Roman" w:eastAsia="宋体" w:hAnsi="Times New Roman" w:cs="Times New Roman"/>
          <w:kern w:val="0"/>
          <w:szCs w:val="21"/>
        </w:rPr>
        <w:t xml:space="preserve">. </w:t>
      </w:r>
      <w:r>
        <w:rPr>
          <w:rFonts w:ascii="Times New Roman" w:eastAsia="CharisSIL" w:hAnsi="Times New Roman" w:cs="Times New Roman"/>
          <w:kern w:val="0"/>
          <w:szCs w:val="21"/>
        </w:rPr>
        <w:t>(</w:t>
      </w:r>
      <w:r>
        <w:rPr>
          <w:rFonts w:ascii="Times New Roman" w:eastAsia="宋体" w:hAnsi="Times New Roman" w:cs="Times New Roman"/>
          <w:b/>
          <w:bCs/>
          <w:kern w:val="0"/>
          <w:szCs w:val="21"/>
        </w:rPr>
        <w:t>B</w:t>
      </w:r>
      <w:r>
        <w:rPr>
          <w:rFonts w:ascii="Times New Roman" w:eastAsia="CharisSIL" w:hAnsi="Times New Roman" w:cs="Times New Roman"/>
          <w:kern w:val="0"/>
          <w:szCs w:val="21"/>
        </w:rPr>
        <w:t>)</w:t>
      </w:r>
      <w:r>
        <w:rPr>
          <w:rFonts w:ascii="Times New Roman" w:eastAsia="宋体" w:hAnsi="Times New Roman" w:cs="Times New Roman"/>
          <w:kern w:val="0"/>
          <w:szCs w:val="21"/>
        </w:rPr>
        <w:t xml:space="preserve"> C</w:t>
      </w:r>
      <w:r>
        <w:rPr>
          <w:rFonts w:ascii="Times New Roman" w:hAnsi="Times New Roman" w:cs="Times New Roman"/>
          <w:kern w:val="0"/>
          <w:szCs w:val="21"/>
        </w:rPr>
        <w:t>urrent responses (</w:t>
      </w:r>
      <w:r>
        <w:rPr>
          <w:rFonts w:ascii="宋体" w:eastAsia="宋体" w:hAnsi="宋体" w:cs="宋体" w:hint="eastAsia"/>
          <w:kern w:val="0"/>
          <w:szCs w:val="21"/>
        </w:rPr>
        <w:t>△</w:t>
      </w:r>
      <w:r>
        <w:rPr>
          <w:rFonts w:ascii="Times New Roman" w:hAnsi="Times New Roman" w:cs="Times New Roman"/>
          <w:kern w:val="0"/>
          <w:szCs w:val="21"/>
        </w:rPr>
        <w:t xml:space="preserve">I) </w:t>
      </w:r>
      <w:r>
        <w:rPr>
          <w:rFonts w:ascii="Times New Roman" w:eastAsia="CharisSIL" w:hAnsi="Times New Roman" w:cs="Times New Roman"/>
          <w:kern w:val="0"/>
          <w:szCs w:val="21"/>
        </w:rPr>
        <w:t xml:space="preserve">of the </w:t>
      </w:r>
      <w:r>
        <w:rPr>
          <w:rFonts w:ascii="Times New Roman" w:eastAsia="宋体" w:hAnsi="Times New Roman" w:cs="Times New Roman"/>
          <w:kern w:val="0"/>
          <w:szCs w:val="21"/>
        </w:rPr>
        <w:t>DMIP/</w:t>
      </w:r>
      <w:r>
        <w:rPr>
          <w:rFonts w:ascii="Times New Roman" w:eastAsia="等线" w:hAnsi="Times New Roman" w:cs="Times New Roman"/>
          <w:kern w:val="24"/>
          <w:szCs w:val="21"/>
        </w:rPr>
        <w:t>MXene/GE</w:t>
      </w:r>
      <w:r>
        <w:rPr>
          <w:rFonts w:ascii="Times New Roman" w:eastAsia="CharisSIL" w:hAnsi="Times New Roman" w:cs="Times New Roman"/>
          <w:kern w:val="0"/>
          <w:szCs w:val="21"/>
        </w:rPr>
        <w:t xml:space="preserve"> electrodes</w:t>
      </w:r>
      <w:r>
        <w:rPr>
          <w:rFonts w:ascii="Times New Roman" w:hAnsi="Times New Roman" w:cs="Times New Roman"/>
          <w:kern w:val="0"/>
          <w:szCs w:val="21"/>
        </w:rPr>
        <w:t xml:space="preserve"> modified with different volumes of DMIP solution (</w:t>
      </w:r>
      <w:r>
        <w:rPr>
          <w:rFonts w:ascii="Times New Roman" w:eastAsia="CharisSIL" w:hAnsi="Times New Roman" w:cs="Times New Roman"/>
          <w:kern w:val="0"/>
          <w:szCs w:val="21"/>
        </w:rPr>
        <w:t>4 mg·mL</w:t>
      </w:r>
      <w:r>
        <w:rPr>
          <w:rFonts w:ascii="Times New Roman" w:eastAsia="CharisSIL" w:hAnsi="Times New Roman" w:cs="Times New Roman"/>
          <w:kern w:val="0"/>
          <w:szCs w:val="21"/>
          <w:vertAlign w:val="superscript"/>
        </w:rPr>
        <w:t>−1</w:t>
      </w:r>
      <w:r>
        <w:rPr>
          <w:rFonts w:ascii="Times New Roman" w:hAnsi="Times New Roman" w:cs="Times New Roman"/>
          <w:kern w:val="0"/>
          <w:szCs w:val="21"/>
        </w:rPr>
        <w:t xml:space="preserve">), where </w:t>
      </w:r>
      <w:r>
        <w:rPr>
          <w:rFonts w:ascii="宋体" w:eastAsia="宋体" w:hAnsi="宋体" w:cs="宋体" w:hint="eastAsia"/>
          <w:kern w:val="0"/>
          <w:szCs w:val="21"/>
        </w:rPr>
        <w:t>△</w:t>
      </w:r>
      <w:r>
        <w:rPr>
          <w:rFonts w:ascii="Times New Roman" w:hAnsi="Times New Roman" w:cs="Times New Roman"/>
          <w:kern w:val="0"/>
          <w:szCs w:val="21"/>
        </w:rPr>
        <w:t>I was collected before and after the incubation of AR21 solution (100 μg·mL</w:t>
      </w:r>
      <w:r>
        <w:rPr>
          <w:rFonts w:ascii="Times New Roman" w:hAnsi="Times New Roman" w:cs="Times New Roman"/>
          <w:kern w:val="0"/>
          <w:szCs w:val="21"/>
          <w:vertAlign w:val="superscript"/>
        </w:rPr>
        <w:t>−1</w:t>
      </w:r>
      <w:r>
        <w:rPr>
          <w:rFonts w:ascii="Times New Roman" w:hAnsi="Times New Roman" w:cs="Times New Roman"/>
          <w:kern w:val="0"/>
          <w:szCs w:val="21"/>
        </w:rPr>
        <w:t>).</w:t>
      </w:r>
    </w:p>
    <w:p w14:paraId="10BF2BC7" w14:textId="77777777" w:rsidR="00EA557E" w:rsidRDefault="00EA557E">
      <w:pPr>
        <w:widowControl/>
        <w:adjustRightInd w:val="0"/>
        <w:snapToGrid w:val="0"/>
        <w:spacing w:line="360" w:lineRule="auto"/>
        <w:jc w:val="center"/>
        <w:rPr>
          <w:rStyle w:val="fontstyle01"/>
          <w:rFonts w:ascii="Times New Roman" w:eastAsia="等线 Light" w:hAnsi="Times New Roman" w:cs="Times New Roman"/>
          <w:sz w:val="21"/>
          <w:szCs w:val="21"/>
        </w:rPr>
      </w:pPr>
    </w:p>
    <w:p w14:paraId="10FF2299" w14:textId="77777777" w:rsidR="00EA557E" w:rsidRDefault="00000000">
      <w:pPr>
        <w:widowControl/>
        <w:adjustRightInd w:val="0"/>
        <w:snapToGrid w:val="0"/>
        <w:spacing w:line="360" w:lineRule="auto"/>
        <w:jc w:val="center"/>
        <w:rPr>
          <w:rFonts w:ascii="Times New Roman" w:eastAsia="等线 Light" w:hAnsi="Times New Roman" w:cs="Times New Roman"/>
          <w:szCs w:val="21"/>
        </w:rPr>
      </w:pPr>
      <w:r>
        <w:rPr>
          <w:rFonts w:ascii="Times New Roman" w:eastAsia="等线 Light" w:hAnsi="Times New Roman" w:cs="Times New Roman"/>
          <w:noProof/>
          <w:szCs w:val="21"/>
        </w:rPr>
        <w:drawing>
          <wp:inline distT="0" distB="0" distL="114300" distR="114300">
            <wp:extent cx="5219700" cy="4082415"/>
            <wp:effectExtent l="0" t="0" r="0" b="0"/>
            <wp:docPr id="12" name="图片 12"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5"/>
                    <pic:cNvPicPr>
                      <a:picLocks noChangeAspect="1"/>
                    </pic:cNvPicPr>
                  </pic:nvPicPr>
                  <pic:blipFill>
                    <a:blip r:embed="rId18"/>
                    <a:stretch>
                      <a:fillRect/>
                    </a:stretch>
                  </pic:blipFill>
                  <pic:spPr>
                    <a:xfrm>
                      <a:off x="0" y="0"/>
                      <a:ext cx="5220000" cy="4082485"/>
                    </a:xfrm>
                    <a:prstGeom prst="rect">
                      <a:avLst/>
                    </a:prstGeom>
                  </pic:spPr>
                </pic:pic>
              </a:graphicData>
            </a:graphic>
          </wp:inline>
        </w:drawing>
      </w:r>
    </w:p>
    <w:p w14:paraId="26DF0EFE" w14:textId="77777777" w:rsidR="00EA557E" w:rsidRDefault="00000000">
      <w:pPr>
        <w:widowControl/>
        <w:adjustRightInd w:val="0"/>
        <w:snapToGrid w:val="0"/>
        <w:spacing w:line="360" w:lineRule="auto"/>
        <w:rPr>
          <w:rFonts w:ascii="Times New Roman" w:eastAsia="CharisSIL" w:hAnsi="Times New Roman" w:cs="Times New Roman"/>
          <w:kern w:val="0"/>
          <w:szCs w:val="21"/>
        </w:rPr>
      </w:pPr>
      <w:r>
        <w:rPr>
          <w:rFonts w:ascii="Times New Roman" w:eastAsia="等线" w:hAnsi="Times New Roman" w:cs="Times New Roman"/>
          <w:b/>
          <w:bCs/>
          <w:szCs w:val="21"/>
        </w:rPr>
        <w:t>Fig. S9</w:t>
      </w:r>
      <w:r>
        <w:rPr>
          <w:rFonts w:ascii="Times New Roman" w:eastAsia="CharisSIL" w:hAnsi="Times New Roman" w:cs="Times New Roman"/>
          <w:color w:val="000000"/>
          <w:kern w:val="0"/>
          <w:szCs w:val="21"/>
        </w:rPr>
        <w:t xml:space="preserve"> CV profiles (scan rate: 50 mV·s</w:t>
      </w:r>
      <w:r>
        <w:rPr>
          <w:rFonts w:ascii="Times New Roman" w:eastAsia="CharisSIL" w:hAnsi="Times New Roman" w:cs="Times New Roman"/>
          <w:color w:val="000000"/>
          <w:kern w:val="0"/>
          <w:szCs w:val="21"/>
          <w:vertAlign w:val="superscript"/>
        </w:rPr>
        <w:t>−1</w:t>
      </w:r>
      <w:r>
        <w:rPr>
          <w:rFonts w:ascii="Times New Roman" w:eastAsia="CharisSIL" w:hAnsi="Times New Roman" w:cs="Times New Roman"/>
          <w:color w:val="000000"/>
          <w:kern w:val="0"/>
          <w:szCs w:val="21"/>
        </w:rPr>
        <w:t>) of different modified electrodes (</w:t>
      </w:r>
      <w:r>
        <w:rPr>
          <w:rFonts w:ascii="Times New Roman" w:eastAsia="CharisSIL" w:hAnsi="Times New Roman" w:cs="Times New Roman"/>
          <w:b/>
          <w:bCs/>
          <w:color w:val="000000"/>
          <w:kern w:val="0"/>
          <w:szCs w:val="21"/>
        </w:rPr>
        <w:t>A</w:t>
      </w:r>
      <w:r>
        <w:rPr>
          <w:rFonts w:ascii="Times New Roman" w:eastAsia="CharisSIL" w:hAnsi="Times New Roman" w:cs="Times New Roman"/>
          <w:color w:val="000000"/>
          <w:kern w:val="0"/>
          <w:szCs w:val="21"/>
        </w:rPr>
        <w:t>)</w:t>
      </w:r>
      <w:r>
        <w:rPr>
          <w:rFonts w:ascii="Times New Roman" w:hAnsi="Times New Roman" w:cs="Times New Roman"/>
          <w:color w:val="000000"/>
          <w:kern w:val="0"/>
          <w:szCs w:val="21"/>
        </w:rPr>
        <w:t xml:space="preserve"> DMIP/MXene/GC, (</w:t>
      </w:r>
      <w:r>
        <w:rPr>
          <w:rFonts w:ascii="Times New Roman" w:hAnsi="Times New Roman" w:cs="Times New Roman"/>
          <w:b/>
          <w:bCs/>
          <w:color w:val="000000"/>
          <w:kern w:val="0"/>
          <w:szCs w:val="21"/>
        </w:rPr>
        <w:t>B</w:t>
      </w:r>
      <w:r>
        <w:rPr>
          <w:rFonts w:ascii="Times New Roman" w:hAnsi="Times New Roman" w:cs="Times New Roman"/>
          <w:color w:val="000000"/>
          <w:kern w:val="0"/>
          <w:szCs w:val="21"/>
        </w:rPr>
        <w:t>) SMIP/MXene/GC, (</w:t>
      </w:r>
      <w:r>
        <w:rPr>
          <w:rFonts w:ascii="Times New Roman" w:hAnsi="Times New Roman" w:cs="Times New Roman"/>
          <w:b/>
          <w:bCs/>
          <w:color w:val="000000"/>
          <w:kern w:val="0"/>
          <w:szCs w:val="21"/>
        </w:rPr>
        <w:t>C</w:t>
      </w:r>
      <w:r>
        <w:rPr>
          <w:rFonts w:ascii="Times New Roman" w:hAnsi="Times New Roman" w:cs="Times New Roman"/>
          <w:color w:val="000000"/>
          <w:kern w:val="0"/>
          <w:szCs w:val="21"/>
        </w:rPr>
        <w:t>) NIP/MXene/GC in an</w:t>
      </w:r>
      <w:r>
        <w:rPr>
          <w:rFonts w:ascii="Times New Roman" w:eastAsia="CharisSIL" w:hAnsi="Times New Roman" w:cs="Times New Roman"/>
          <w:color w:val="000000"/>
          <w:kern w:val="0"/>
          <w:szCs w:val="21"/>
        </w:rPr>
        <w:t xml:space="preserve"> electrolyte solution of 5 mM [</w:t>
      </w:r>
      <w:proofErr w:type="gramStart"/>
      <w:r>
        <w:rPr>
          <w:rFonts w:ascii="Times New Roman" w:eastAsia="CharisSIL" w:hAnsi="Times New Roman" w:cs="Times New Roman"/>
          <w:color w:val="000000"/>
          <w:kern w:val="0"/>
          <w:szCs w:val="21"/>
        </w:rPr>
        <w:t>Fe(</w:t>
      </w:r>
      <w:proofErr w:type="gramEnd"/>
      <w:r>
        <w:rPr>
          <w:rFonts w:ascii="Times New Roman" w:eastAsia="CharisSIL" w:hAnsi="Times New Roman" w:cs="Times New Roman"/>
          <w:color w:val="000000"/>
          <w:kern w:val="0"/>
          <w:szCs w:val="21"/>
        </w:rPr>
        <w:t>CN)</w:t>
      </w:r>
      <w:r>
        <w:rPr>
          <w:rFonts w:ascii="Times New Roman" w:eastAsia="CharisSIL" w:hAnsi="Times New Roman" w:cs="Times New Roman"/>
          <w:color w:val="000000"/>
          <w:kern w:val="0"/>
          <w:szCs w:val="21"/>
          <w:vertAlign w:val="subscript"/>
        </w:rPr>
        <w:t>6</w:t>
      </w:r>
      <w:r>
        <w:rPr>
          <w:rFonts w:ascii="Times New Roman" w:eastAsia="CharisSIL" w:hAnsi="Times New Roman" w:cs="Times New Roman"/>
          <w:color w:val="000000"/>
          <w:kern w:val="0"/>
          <w:szCs w:val="21"/>
        </w:rPr>
        <w:t>]</w:t>
      </w:r>
      <w:r>
        <w:rPr>
          <w:rFonts w:ascii="Times New Roman" w:eastAsia="CharisSIL" w:hAnsi="Times New Roman" w:cs="Times New Roman"/>
          <w:color w:val="000000"/>
          <w:kern w:val="0"/>
          <w:szCs w:val="21"/>
          <w:vertAlign w:val="superscript"/>
        </w:rPr>
        <w:t xml:space="preserve">3−/4− </w:t>
      </w:r>
      <w:r>
        <w:rPr>
          <w:rFonts w:ascii="Times New Roman" w:eastAsia="CharisSIL" w:hAnsi="Times New Roman" w:cs="Times New Roman"/>
          <w:color w:val="000000"/>
          <w:kern w:val="0"/>
          <w:szCs w:val="21"/>
        </w:rPr>
        <w:t xml:space="preserve">containing 0.1 M </w:t>
      </w:r>
      <w:proofErr w:type="spellStart"/>
      <w:r>
        <w:rPr>
          <w:rFonts w:ascii="Times New Roman" w:eastAsia="CharisSIL" w:hAnsi="Times New Roman" w:cs="Times New Roman"/>
          <w:color w:val="000000"/>
          <w:kern w:val="0"/>
          <w:szCs w:val="21"/>
        </w:rPr>
        <w:t>KCl</w:t>
      </w:r>
      <w:proofErr w:type="spellEnd"/>
      <w:r>
        <w:rPr>
          <w:rFonts w:ascii="Times New Roman" w:hAnsi="Times New Roman" w:cs="Times New Roman"/>
          <w:color w:val="000000"/>
          <w:kern w:val="0"/>
          <w:szCs w:val="21"/>
        </w:rPr>
        <w:t xml:space="preserve"> without (a) and with (b) the</w:t>
      </w:r>
      <w:r>
        <w:rPr>
          <w:rFonts w:ascii="Times New Roman" w:hAnsi="Times New Roman" w:cs="Times New Roman"/>
          <w:kern w:val="0"/>
          <w:szCs w:val="21"/>
        </w:rPr>
        <w:t xml:space="preserve"> incubation of </w:t>
      </w:r>
      <w:r>
        <w:rPr>
          <w:rFonts w:ascii="Times New Roman" w:eastAsia="CharisSIL" w:hAnsi="Times New Roman" w:cs="Times New Roman"/>
          <w:kern w:val="0"/>
          <w:szCs w:val="21"/>
        </w:rPr>
        <w:t>1</w:t>
      </w:r>
      <w:r>
        <w:rPr>
          <w:rFonts w:ascii="Times New Roman" w:eastAsia="宋体" w:hAnsi="Times New Roman" w:cs="Times New Roman"/>
          <w:kern w:val="0"/>
          <w:szCs w:val="21"/>
        </w:rPr>
        <w:t>00</w:t>
      </w:r>
      <w:r>
        <w:rPr>
          <w:rFonts w:ascii="Times New Roman" w:eastAsia="CharisSIL" w:hAnsi="Times New Roman" w:cs="Times New Roman"/>
          <w:kern w:val="0"/>
          <w:szCs w:val="21"/>
        </w:rPr>
        <w:t xml:space="preserve"> μg·mL</w:t>
      </w:r>
      <w:r>
        <w:rPr>
          <w:rFonts w:ascii="Times New Roman" w:eastAsia="CharisSIL" w:hAnsi="Times New Roman" w:cs="Times New Roman"/>
          <w:kern w:val="0"/>
          <w:szCs w:val="21"/>
          <w:vertAlign w:val="superscript"/>
        </w:rPr>
        <w:t>−1</w:t>
      </w:r>
      <w:r>
        <w:rPr>
          <w:rFonts w:ascii="Times New Roman" w:eastAsia="CharisSIL" w:hAnsi="Times New Roman" w:cs="Times New Roman"/>
          <w:kern w:val="0"/>
          <w:szCs w:val="21"/>
        </w:rPr>
        <w:t xml:space="preserve"> AR</w:t>
      </w:r>
      <w:r>
        <w:rPr>
          <w:rFonts w:ascii="Times New Roman" w:eastAsia="宋体" w:hAnsi="Times New Roman" w:cs="Times New Roman"/>
          <w:kern w:val="0"/>
          <w:szCs w:val="21"/>
        </w:rPr>
        <w:t>21</w:t>
      </w:r>
      <w:r>
        <w:rPr>
          <w:rFonts w:ascii="Times New Roman" w:eastAsia="CharisSIL" w:hAnsi="Times New Roman" w:cs="Times New Roman"/>
          <w:kern w:val="0"/>
          <w:szCs w:val="21"/>
        </w:rPr>
        <w:t>.</w:t>
      </w:r>
      <w:r>
        <w:rPr>
          <w:rFonts w:ascii="Times New Roman" w:hAnsi="Times New Roman" w:cs="Times New Roman"/>
          <w:kern w:val="0"/>
          <w:szCs w:val="21"/>
        </w:rPr>
        <w:t xml:space="preserve"> (</w:t>
      </w:r>
      <w:r>
        <w:rPr>
          <w:rFonts w:ascii="Times New Roman" w:hAnsi="Times New Roman" w:cs="Times New Roman"/>
          <w:b/>
          <w:bCs/>
          <w:kern w:val="0"/>
          <w:szCs w:val="21"/>
        </w:rPr>
        <w:t>D</w:t>
      </w:r>
      <w:r>
        <w:rPr>
          <w:rFonts w:ascii="Times New Roman" w:hAnsi="Times New Roman" w:cs="Times New Roman"/>
          <w:kern w:val="0"/>
          <w:szCs w:val="21"/>
        </w:rPr>
        <w:t>) Current responses (</w:t>
      </w:r>
      <w:r>
        <w:rPr>
          <w:rFonts w:ascii="宋体" w:eastAsia="宋体" w:hAnsi="宋体" w:cs="宋体" w:hint="eastAsia"/>
          <w:kern w:val="0"/>
          <w:szCs w:val="21"/>
        </w:rPr>
        <w:t>△</w:t>
      </w:r>
      <w:r>
        <w:rPr>
          <w:rFonts w:ascii="Times New Roman" w:hAnsi="Times New Roman" w:cs="Times New Roman"/>
          <w:kern w:val="0"/>
          <w:szCs w:val="21"/>
        </w:rPr>
        <w:t xml:space="preserve">I) </w:t>
      </w:r>
      <w:r>
        <w:rPr>
          <w:rFonts w:ascii="Times New Roman" w:eastAsia="CharisSIL" w:hAnsi="Times New Roman" w:cs="Times New Roman"/>
          <w:kern w:val="0"/>
          <w:szCs w:val="21"/>
        </w:rPr>
        <w:t>of different electrodes</w:t>
      </w:r>
      <w:r>
        <w:rPr>
          <w:rFonts w:ascii="Times New Roman" w:hAnsi="Times New Roman" w:cs="Times New Roman"/>
          <w:kern w:val="0"/>
          <w:szCs w:val="21"/>
        </w:rPr>
        <w:t xml:space="preserve"> before and after the incubation of </w:t>
      </w:r>
      <w:r>
        <w:rPr>
          <w:rFonts w:ascii="Times New Roman" w:eastAsia="CharisSIL" w:hAnsi="Times New Roman" w:cs="Times New Roman"/>
          <w:kern w:val="0"/>
          <w:szCs w:val="21"/>
        </w:rPr>
        <w:t>100 μg·mL</w:t>
      </w:r>
      <w:r>
        <w:rPr>
          <w:rFonts w:ascii="Times New Roman" w:eastAsia="CharisSIL" w:hAnsi="Times New Roman" w:cs="Times New Roman"/>
          <w:kern w:val="0"/>
          <w:szCs w:val="21"/>
          <w:vertAlign w:val="superscript"/>
        </w:rPr>
        <w:t>−1</w:t>
      </w:r>
      <w:r>
        <w:rPr>
          <w:rFonts w:ascii="Times New Roman" w:eastAsia="CharisSIL" w:hAnsi="Times New Roman" w:cs="Times New Roman"/>
          <w:kern w:val="0"/>
          <w:szCs w:val="21"/>
        </w:rPr>
        <w:t xml:space="preserve"> AR21.</w:t>
      </w:r>
    </w:p>
    <w:p w14:paraId="564EDDB8" w14:textId="77777777" w:rsidR="00EA557E" w:rsidRDefault="00000000">
      <w:pPr>
        <w:widowControl/>
        <w:adjustRightInd w:val="0"/>
        <w:snapToGrid w:val="0"/>
        <w:spacing w:line="36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114300" distR="114300">
            <wp:extent cx="5111750" cy="2046605"/>
            <wp:effectExtent l="0" t="0" r="0" b="0"/>
            <wp:docPr id="743722602" name="图片 743722602" descr="S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22602" name="图片 743722602" descr="SI2"/>
                    <pic:cNvPicPr>
                      <a:picLocks noChangeAspect="1"/>
                    </pic:cNvPicPr>
                  </pic:nvPicPr>
                  <pic:blipFill>
                    <a:blip r:embed="rId19"/>
                    <a:srcRect l="6808" t="8245" b="7483"/>
                    <a:stretch>
                      <a:fillRect/>
                    </a:stretch>
                  </pic:blipFill>
                  <pic:spPr>
                    <a:xfrm>
                      <a:off x="0" y="0"/>
                      <a:ext cx="5112000" cy="2047048"/>
                    </a:xfrm>
                    <a:prstGeom prst="rect">
                      <a:avLst/>
                    </a:prstGeom>
                  </pic:spPr>
                </pic:pic>
              </a:graphicData>
            </a:graphic>
          </wp:inline>
        </w:drawing>
      </w:r>
    </w:p>
    <w:p w14:paraId="2A9CC592" w14:textId="77777777" w:rsidR="00EA557E" w:rsidRDefault="00000000">
      <w:pPr>
        <w:adjustRightInd w:val="0"/>
        <w:snapToGrid w:val="0"/>
        <w:spacing w:line="360" w:lineRule="auto"/>
        <w:rPr>
          <w:rFonts w:ascii="Times New Roman" w:eastAsia="等线 Light" w:hAnsi="Times New Roman" w:cs="Times New Roman"/>
          <w:szCs w:val="21"/>
        </w:rPr>
      </w:pPr>
      <w:r>
        <w:rPr>
          <w:rFonts w:ascii="Times New Roman" w:eastAsia="等线" w:hAnsi="Times New Roman" w:cs="Times New Roman"/>
          <w:b/>
          <w:bCs/>
          <w:szCs w:val="21"/>
        </w:rPr>
        <w:t>Fig. S10</w:t>
      </w:r>
      <w:r>
        <w:rPr>
          <w:rFonts w:ascii="Times New Roman" w:eastAsia="等线" w:hAnsi="Times New Roman" w:cs="Times New Roman"/>
          <w:szCs w:val="21"/>
        </w:rPr>
        <w:t xml:space="preserve"> (</w:t>
      </w:r>
      <w:r>
        <w:rPr>
          <w:rFonts w:ascii="Times New Roman" w:eastAsia="等线" w:hAnsi="Times New Roman" w:cs="Times New Roman"/>
          <w:b/>
          <w:bCs/>
          <w:szCs w:val="21"/>
        </w:rPr>
        <w:t>A</w:t>
      </w:r>
      <w:r>
        <w:rPr>
          <w:rFonts w:ascii="Times New Roman" w:eastAsia="等线" w:hAnsi="Times New Roman" w:cs="Times New Roman"/>
          <w:szCs w:val="21"/>
        </w:rPr>
        <w:t xml:space="preserve">) </w:t>
      </w:r>
      <w:r>
        <w:rPr>
          <w:rStyle w:val="fontstyle01"/>
          <w:rFonts w:ascii="Times New Roman" w:eastAsia="等线 Light" w:hAnsi="Times New Roman" w:cs="Times New Roman"/>
          <w:sz w:val="21"/>
          <w:szCs w:val="21"/>
        </w:rPr>
        <w:t>Reproductivity of the D</w:t>
      </w:r>
      <w:r>
        <w:rPr>
          <w:rFonts w:ascii="Times New Roman" w:eastAsia="CharisSIL" w:hAnsi="Times New Roman" w:cs="Times New Roman"/>
          <w:color w:val="000000"/>
          <w:kern w:val="0"/>
          <w:szCs w:val="21"/>
        </w:rPr>
        <w:t>MIP/MXene/GE</w:t>
      </w:r>
      <w:r>
        <w:rPr>
          <w:rStyle w:val="fontstyle01"/>
          <w:rFonts w:ascii="Times New Roman" w:eastAsia="等线 Light" w:hAnsi="Times New Roman" w:cs="Times New Roman"/>
          <w:sz w:val="21"/>
          <w:szCs w:val="21"/>
        </w:rPr>
        <w:t xml:space="preserve"> based sensor</w:t>
      </w:r>
      <w:r>
        <w:rPr>
          <w:rFonts w:ascii="Times New Roman" w:eastAsia="等线 Light" w:hAnsi="Times New Roman" w:cs="Times New Roman"/>
          <w:szCs w:val="21"/>
        </w:rPr>
        <w:t>. (</w:t>
      </w:r>
      <w:r>
        <w:rPr>
          <w:rFonts w:ascii="Times New Roman" w:eastAsia="等线 Light" w:hAnsi="Times New Roman" w:cs="Times New Roman"/>
          <w:b/>
          <w:bCs/>
          <w:szCs w:val="21"/>
        </w:rPr>
        <w:t>B</w:t>
      </w:r>
      <w:r>
        <w:rPr>
          <w:rFonts w:ascii="Times New Roman" w:eastAsia="等线 Light" w:hAnsi="Times New Roman" w:cs="Times New Roman"/>
          <w:szCs w:val="21"/>
        </w:rPr>
        <w:t xml:space="preserve">) Long−term stability of the </w:t>
      </w:r>
      <w:r>
        <w:rPr>
          <w:rStyle w:val="fontstyle01"/>
          <w:rFonts w:ascii="Times New Roman" w:eastAsia="等线 Light" w:hAnsi="Times New Roman" w:cs="Times New Roman"/>
          <w:sz w:val="21"/>
          <w:szCs w:val="21"/>
        </w:rPr>
        <w:t>D</w:t>
      </w:r>
      <w:r>
        <w:rPr>
          <w:rFonts w:ascii="Times New Roman" w:eastAsia="CharisSIL" w:hAnsi="Times New Roman" w:cs="Times New Roman"/>
          <w:color w:val="000000"/>
          <w:kern w:val="0"/>
          <w:szCs w:val="21"/>
        </w:rPr>
        <w:t>MIP/MXene/GE</w:t>
      </w:r>
      <w:r>
        <w:rPr>
          <w:rFonts w:ascii="Times New Roman" w:eastAsia="等线 Light" w:hAnsi="Times New Roman" w:cs="Times New Roman"/>
          <w:szCs w:val="21"/>
        </w:rPr>
        <w:t xml:space="preserve"> at 4</w:t>
      </w:r>
      <w:r>
        <w:rPr>
          <w:rStyle w:val="fontstyle01"/>
          <w:rFonts w:ascii="Times New Roman" w:eastAsia="等线 Light" w:hAnsi="Times New Roman" w:cs="Times New Roman"/>
          <w:sz w:val="21"/>
          <w:szCs w:val="21"/>
        </w:rPr>
        <w:t xml:space="preserve"> ℃</w:t>
      </w:r>
      <w:r>
        <w:rPr>
          <w:rFonts w:ascii="Times New Roman" w:eastAsia="等线 Light" w:hAnsi="Times New Roman" w:cs="Times New Roman"/>
          <w:szCs w:val="21"/>
        </w:rPr>
        <w:t xml:space="preserve"> over a 30−day period.</w:t>
      </w:r>
    </w:p>
    <w:p w14:paraId="5B5430D4" w14:textId="77777777" w:rsidR="00EA557E" w:rsidRDefault="00EA557E">
      <w:pPr>
        <w:adjustRightInd w:val="0"/>
        <w:snapToGrid w:val="0"/>
        <w:spacing w:line="360" w:lineRule="auto"/>
        <w:rPr>
          <w:rFonts w:ascii="Times New Roman" w:eastAsia="等线 Light" w:hAnsi="Times New Roman" w:cs="Times New Roman"/>
          <w:szCs w:val="21"/>
        </w:rPr>
      </w:pPr>
    </w:p>
    <w:p w14:paraId="47E21719" w14:textId="77777777" w:rsidR="00EA557E" w:rsidRDefault="00000000">
      <w:pPr>
        <w:adjustRightInd w:val="0"/>
        <w:snapToGrid w:val="0"/>
        <w:spacing w:line="360" w:lineRule="auto"/>
        <w:jc w:val="center"/>
        <w:rPr>
          <w:rFonts w:ascii="Times New Roman" w:eastAsia="等线 Light" w:hAnsi="Times New Roman" w:cs="Times New Roman"/>
          <w:szCs w:val="21"/>
        </w:rPr>
      </w:pPr>
      <w:r>
        <w:rPr>
          <w:rFonts w:ascii="Times New Roman" w:eastAsia="等线 Light" w:hAnsi="Times New Roman" w:cs="Times New Roman"/>
          <w:noProof/>
          <w:szCs w:val="21"/>
        </w:rPr>
        <w:drawing>
          <wp:inline distT="0" distB="0" distL="114300" distR="114300">
            <wp:extent cx="5255895" cy="1794510"/>
            <wp:effectExtent l="0" t="0" r="1905" b="0"/>
            <wp:docPr id="10" name="图片 10" descr="S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I3"/>
                    <pic:cNvPicPr>
                      <a:picLocks noChangeAspect="1"/>
                    </pic:cNvPicPr>
                  </pic:nvPicPr>
                  <pic:blipFill>
                    <a:blip r:embed="rId20"/>
                    <a:stretch>
                      <a:fillRect/>
                    </a:stretch>
                  </pic:blipFill>
                  <pic:spPr>
                    <a:xfrm>
                      <a:off x="0" y="0"/>
                      <a:ext cx="5256000" cy="1794824"/>
                    </a:xfrm>
                    <a:prstGeom prst="rect">
                      <a:avLst/>
                    </a:prstGeom>
                  </pic:spPr>
                </pic:pic>
              </a:graphicData>
            </a:graphic>
          </wp:inline>
        </w:drawing>
      </w:r>
    </w:p>
    <w:p w14:paraId="479CEB01" w14:textId="77777777" w:rsidR="00EA557E" w:rsidRDefault="00000000">
      <w:pPr>
        <w:adjustRightInd w:val="0"/>
        <w:snapToGrid w:val="0"/>
        <w:spacing w:line="360" w:lineRule="auto"/>
        <w:rPr>
          <w:rFonts w:ascii="Times New Roman" w:eastAsia="等线 Light" w:hAnsi="Times New Roman" w:cs="Times New Roman"/>
          <w:color w:val="000000"/>
          <w:szCs w:val="21"/>
        </w:rPr>
      </w:pPr>
      <w:r>
        <w:rPr>
          <w:rFonts w:ascii="Times New Roman" w:eastAsia="等线 Light" w:hAnsi="Times New Roman" w:cs="Times New Roman"/>
          <w:b/>
          <w:bCs/>
          <w:color w:val="000000"/>
          <w:szCs w:val="21"/>
        </w:rPr>
        <w:t>Fig. S11</w:t>
      </w:r>
      <w:r>
        <w:rPr>
          <w:rFonts w:ascii="Times New Roman" w:eastAsia="等线 Light" w:hAnsi="Times New Roman" w:cs="Times New Roman"/>
          <w:color w:val="000000"/>
          <w:szCs w:val="21"/>
        </w:rPr>
        <w:t xml:space="preserve"> (</w:t>
      </w:r>
      <w:r>
        <w:rPr>
          <w:rFonts w:ascii="Times New Roman" w:eastAsia="等线 Light" w:hAnsi="Times New Roman" w:cs="Times New Roman"/>
          <w:b/>
          <w:bCs/>
          <w:color w:val="000000"/>
          <w:szCs w:val="21"/>
        </w:rPr>
        <w:t>A</w:t>
      </w:r>
      <w:r>
        <w:rPr>
          <w:rFonts w:ascii="Times New Roman" w:eastAsia="等线 Light" w:hAnsi="Times New Roman" w:cs="Times New Roman"/>
          <w:color w:val="000000"/>
          <w:szCs w:val="21"/>
        </w:rPr>
        <w:t>) A standard HPLC chromatogram of AR21 (</w:t>
      </w:r>
      <w:bookmarkStart w:id="5" w:name="_Hlk146623263"/>
      <w:r>
        <w:rPr>
          <w:rFonts w:ascii="Times New Roman" w:eastAsia="等线 Light" w:hAnsi="Times New Roman" w:cs="Times New Roman"/>
          <w:color w:val="000000"/>
          <w:szCs w:val="21"/>
        </w:rPr>
        <w:t>2 ~ 45 ug</w:t>
      </w:r>
      <w:r>
        <w:rPr>
          <w:rFonts w:ascii="Times New Roman" w:eastAsia="等线" w:hAnsi="Times New Roman" w:cs="Times New Roman"/>
          <w:szCs w:val="21"/>
        </w:rPr>
        <w:t>·mL</w:t>
      </w:r>
      <w:r>
        <w:rPr>
          <w:rFonts w:ascii="Times New Roman" w:eastAsia="等线" w:hAnsi="Times New Roman" w:cs="Times New Roman"/>
          <w:szCs w:val="21"/>
          <w:vertAlign w:val="superscript"/>
        </w:rPr>
        <w:t>−1</w:t>
      </w:r>
      <w:bookmarkEnd w:id="5"/>
      <w:r>
        <w:rPr>
          <w:rFonts w:ascii="Times New Roman" w:eastAsia="等线 Light" w:hAnsi="Times New Roman" w:cs="Times New Roman"/>
          <w:color w:val="000000"/>
          <w:szCs w:val="21"/>
        </w:rPr>
        <w:t>). (</w:t>
      </w:r>
      <w:r>
        <w:rPr>
          <w:rFonts w:ascii="Times New Roman" w:eastAsia="等线 Light" w:hAnsi="Times New Roman" w:cs="Times New Roman"/>
          <w:b/>
          <w:bCs/>
          <w:color w:val="000000"/>
          <w:szCs w:val="21"/>
        </w:rPr>
        <w:t>B</w:t>
      </w:r>
      <w:r>
        <w:rPr>
          <w:rFonts w:ascii="Times New Roman" w:eastAsia="等线 Light" w:hAnsi="Times New Roman" w:cs="Times New Roman"/>
          <w:color w:val="000000"/>
          <w:szCs w:val="21"/>
        </w:rPr>
        <w:t>) The calibration curve of peak areas derived from HPLC spectrum and AR21 concentrations.</w:t>
      </w:r>
    </w:p>
    <w:p w14:paraId="69F065CB" w14:textId="77777777" w:rsidR="00EA557E" w:rsidRDefault="00EA557E">
      <w:pPr>
        <w:adjustRightInd w:val="0"/>
        <w:snapToGrid w:val="0"/>
        <w:spacing w:line="360" w:lineRule="auto"/>
        <w:rPr>
          <w:rFonts w:ascii="Times New Roman" w:hAnsi="Times New Roman" w:cs="Times New Roman"/>
          <w:szCs w:val="21"/>
        </w:rPr>
      </w:pPr>
    </w:p>
    <w:p w14:paraId="467E142F" w14:textId="77777777" w:rsidR="00EA557E" w:rsidRDefault="00EA557E">
      <w:pPr>
        <w:widowControl/>
        <w:jc w:val="left"/>
        <w:rPr>
          <w:rFonts w:ascii="Times New Roman" w:eastAsia="CharisSIL" w:hAnsi="Times New Roman" w:cs="Times New Roman"/>
          <w:b/>
          <w:bCs/>
          <w:color w:val="000000"/>
          <w:kern w:val="0"/>
          <w:szCs w:val="21"/>
        </w:rPr>
      </w:pPr>
    </w:p>
    <w:p w14:paraId="6DD91714" w14:textId="77777777" w:rsidR="00EA557E" w:rsidRDefault="00000000">
      <w:pPr>
        <w:widowControl/>
        <w:jc w:val="left"/>
        <w:rPr>
          <w:rFonts w:ascii="Times New Roman" w:eastAsia="CharisSIL" w:hAnsi="Times New Roman" w:cs="Times New Roman"/>
          <w:b/>
          <w:bCs/>
          <w:color w:val="000000"/>
          <w:kern w:val="0"/>
          <w:szCs w:val="21"/>
        </w:rPr>
      </w:pPr>
      <w:r>
        <w:rPr>
          <w:rFonts w:ascii="Times New Roman" w:eastAsia="CharisSIL" w:hAnsi="Times New Roman" w:cs="Times New Roman"/>
          <w:b/>
          <w:bCs/>
          <w:color w:val="000000"/>
          <w:kern w:val="0"/>
          <w:szCs w:val="21"/>
        </w:rPr>
        <w:br w:type="page"/>
      </w:r>
    </w:p>
    <w:p w14:paraId="3C574976" w14:textId="77777777" w:rsidR="00EA557E" w:rsidRDefault="00000000">
      <w:pPr>
        <w:widowControl/>
        <w:adjustRightInd w:val="0"/>
        <w:snapToGrid w:val="0"/>
        <w:spacing w:line="360" w:lineRule="auto"/>
        <w:rPr>
          <w:rFonts w:ascii="Times New Roman" w:eastAsia="宋体" w:hAnsi="Times New Roman" w:cs="Times New Roman"/>
          <w:kern w:val="0"/>
          <w:sz w:val="28"/>
          <w:szCs w:val="28"/>
        </w:rPr>
      </w:pPr>
      <w:r>
        <w:rPr>
          <w:rFonts w:ascii="Times New Roman" w:eastAsia="CharisSIL" w:hAnsi="Times New Roman" w:cs="Times New Roman"/>
          <w:b/>
          <w:bCs/>
          <w:color w:val="000000"/>
          <w:kern w:val="0"/>
          <w:sz w:val="28"/>
          <w:szCs w:val="28"/>
        </w:rPr>
        <w:lastRenderedPageBreak/>
        <w:t>Reference</w:t>
      </w:r>
    </w:p>
    <w:p w14:paraId="06CCA212" w14:textId="77777777" w:rsidR="00EA557E" w:rsidRDefault="00EA557E">
      <w:pPr>
        <w:pStyle w:val="EndNoteBibliography"/>
        <w:framePr w:hSpace="181" w:wrap="notBeside" w:vAnchor="page" w:hAnchor="page" w:x="2076" w:y="302"/>
        <w:widowControl/>
        <w:adjustRightInd w:val="0"/>
        <w:snapToGrid w:val="0"/>
        <w:spacing w:line="360" w:lineRule="auto"/>
        <w:rPr>
          <w:rFonts w:ascii="Times New Roman" w:hAnsi="Times New Roman"/>
          <w:sz w:val="21"/>
          <w:szCs w:val="21"/>
        </w:rPr>
      </w:pPr>
    </w:p>
    <w:p w14:paraId="737239A5"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ADDIN EN.REFLIST </w:instrText>
      </w:r>
      <w:r>
        <w:rPr>
          <w:rFonts w:ascii="Times New Roman" w:hAnsi="Times New Roman"/>
          <w:sz w:val="21"/>
          <w:szCs w:val="21"/>
        </w:rPr>
        <w:fldChar w:fldCharType="separate"/>
      </w:r>
      <w:r>
        <w:rPr>
          <w:rFonts w:ascii="Times New Roman" w:hAnsi="Times New Roman"/>
          <w:sz w:val="21"/>
          <w:szCs w:val="21"/>
        </w:rPr>
        <w:t>1.</w:t>
      </w:r>
      <w:r>
        <w:rPr>
          <w:rFonts w:ascii="Times New Roman" w:hAnsi="Times New Roman"/>
          <w:sz w:val="21"/>
          <w:szCs w:val="21"/>
        </w:rPr>
        <w:tab/>
        <w:t>Yanrui L, Lili Z, Yue H, Xinsheng P, Jiangyan D (2017) A novel electrochemical sensor based on a molecularly imprinted polymer for the determination of epigallocatechin gallate. Food Chemistry</w:t>
      </w:r>
      <w:r>
        <w:rPr>
          <w:rFonts w:ascii="Times New Roman" w:hAnsi="Times New Roman"/>
          <w:i/>
          <w:sz w:val="21"/>
          <w:szCs w:val="21"/>
        </w:rPr>
        <w:t xml:space="preserve"> </w:t>
      </w:r>
      <w:r>
        <w:rPr>
          <w:rFonts w:ascii="Times New Roman" w:hAnsi="Times New Roman"/>
          <w:sz w:val="21"/>
          <w:szCs w:val="21"/>
        </w:rPr>
        <w:t>221:1128-1134.</w:t>
      </w:r>
    </w:p>
    <w:p w14:paraId="001A561F"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2.</w:t>
      </w:r>
      <w:r>
        <w:rPr>
          <w:rFonts w:ascii="Times New Roman" w:hAnsi="Times New Roman"/>
          <w:sz w:val="21"/>
          <w:szCs w:val="21"/>
        </w:rPr>
        <w:tab/>
        <w:t>Dongyang W, Jia W, Junjie Z, Yangguang L, Yang Z, Yingchun L, Bang-Ce Y (2019) Novel electrochemical sensing platform based on integration of molecularly imprinted polymer with Au@Ag hollow nanoshell for determination of resveratrol. Talanta</w:t>
      </w:r>
      <w:r>
        <w:rPr>
          <w:rFonts w:ascii="Times New Roman" w:hAnsi="Times New Roman"/>
          <w:i/>
          <w:sz w:val="21"/>
          <w:szCs w:val="21"/>
        </w:rPr>
        <w:t xml:space="preserve"> </w:t>
      </w:r>
      <w:r>
        <w:rPr>
          <w:rFonts w:ascii="Times New Roman" w:hAnsi="Times New Roman"/>
          <w:sz w:val="21"/>
          <w:szCs w:val="21"/>
        </w:rPr>
        <w:t>196:479-485.</w:t>
      </w:r>
    </w:p>
    <w:p w14:paraId="0D669B63"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3</w:t>
      </w:r>
      <w:r w:rsidRPr="009F2AD5">
        <w:rPr>
          <w:rFonts w:ascii="Times New Roman" w:hAnsi="Times New Roman"/>
          <w:sz w:val="21"/>
          <w:szCs w:val="21"/>
        </w:rPr>
        <w:t>.</w:t>
      </w:r>
      <w:r w:rsidRPr="009F2AD5">
        <w:rPr>
          <w:rFonts w:ascii="Times New Roman" w:hAnsi="Times New Roman"/>
          <w:sz w:val="21"/>
          <w:szCs w:val="21"/>
        </w:rPr>
        <w:tab/>
        <w:t>Lu H, An J, Huang Y, Cui H, Yang J, Li L, Ding Y (2022) Molecularly Imprinted Electrochemical Sensor Based on Nitrogen-doped Molybdenum Carbide Nanosphere for Trace Analysis of Resveratrol. Chemistry-an Asian Journal.</w:t>
      </w:r>
    </w:p>
    <w:p w14:paraId="3463DA51"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4.</w:t>
      </w:r>
      <w:r>
        <w:rPr>
          <w:rFonts w:ascii="Times New Roman" w:hAnsi="Times New Roman"/>
          <w:sz w:val="21"/>
          <w:szCs w:val="21"/>
        </w:rPr>
        <w:tab/>
        <w:t>Lu B, Xia J, Wang Z, Zhang F, Yang M, Li Y, Xia Y (2015) Molecularly imprinted electrochemical sensor based on an electrode modified with an imprinted pyrrole film immobilized on a beta-cyclodextrin/gold nanoparticles/graphene layer. Rsc Advances</w:t>
      </w:r>
      <w:r>
        <w:rPr>
          <w:rFonts w:ascii="Times New Roman" w:hAnsi="Times New Roman"/>
          <w:i/>
          <w:sz w:val="21"/>
          <w:szCs w:val="21"/>
        </w:rPr>
        <w:t xml:space="preserve"> </w:t>
      </w:r>
      <w:r>
        <w:rPr>
          <w:rFonts w:ascii="Times New Roman" w:hAnsi="Times New Roman"/>
          <w:sz w:val="21"/>
          <w:szCs w:val="21"/>
        </w:rPr>
        <w:t>5(101):82930-82935.</w:t>
      </w:r>
    </w:p>
    <w:p w14:paraId="75BB23DB"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5.</w:t>
      </w:r>
      <w:r>
        <w:rPr>
          <w:rFonts w:ascii="Times New Roman" w:hAnsi="Times New Roman"/>
          <w:sz w:val="21"/>
          <w:szCs w:val="21"/>
        </w:rPr>
        <w:tab/>
        <w:t>Zhou Q, Zhai HY, Pan YF, Li K (2017) A simple and sensitive sensor based on a molecularly imprinted polymer-modified carbon paste electrode for the determination of curcumin in foods. Rsc Advances</w:t>
      </w:r>
      <w:r>
        <w:rPr>
          <w:rFonts w:ascii="Times New Roman" w:hAnsi="Times New Roman"/>
          <w:i/>
          <w:sz w:val="21"/>
          <w:szCs w:val="21"/>
        </w:rPr>
        <w:t xml:space="preserve"> </w:t>
      </w:r>
      <w:r>
        <w:rPr>
          <w:rFonts w:ascii="Times New Roman" w:hAnsi="Times New Roman"/>
          <w:sz w:val="21"/>
          <w:szCs w:val="21"/>
        </w:rPr>
        <w:t>7(37):22913-22918.</w:t>
      </w:r>
    </w:p>
    <w:p w14:paraId="275B7116"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6.</w:t>
      </w:r>
      <w:r>
        <w:rPr>
          <w:rFonts w:ascii="Times New Roman" w:hAnsi="Times New Roman"/>
          <w:sz w:val="21"/>
          <w:szCs w:val="21"/>
        </w:rPr>
        <w:tab/>
        <w:t>Wang C, Wang Q, Zhong M, Kan X (2016) Boronic acid based imprinted electrochemical sensor for rutin recognition and detection. Analyst</w:t>
      </w:r>
      <w:r>
        <w:rPr>
          <w:rFonts w:ascii="Times New Roman" w:hAnsi="Times New Roman"/>
          <w:i/>
          <w:sz w:val="21"/>
          <w:szCs w:val="21"/>
        </w:rPr>
        <w:t xml:space="preserve"> </w:t>
      </w:r>
      <w:r>
        <w:rPr>
          <w:rFonts w:ascii="Times New Roman" w:hAnsi="Times New Roman"/>
          <w:sz w:val="21"/>
          <w:szCs w:val="21"/>
        </w:rPr>
        <w:t>141(20):5792-5798.</w:t>
      </w:r>
    </w:p>
    <w:p w14:paraId="7A0E1B73"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7.</w:t>
      </w:r>
      <w:r>
        <w:rPr>
          <w:rFonts w:ascii="Times New Roman" w:hAnsi="Times New Roman"/>
          <w:sz w:val="21"/>
          <w:szCs w:val="21"/>
        </w:rPr>
        <w:tab/>
        <w:t>Das D, Biswas D, Hazarika AK, Sabhapondit S, Roy RB, Tudu B, Bandyopadhyay R (2021) CuO Nanoparticles Decorated MIP-Based Electrode for Sensitive Determination of Gallic Acid in Green Tea. Ieee Sensors Journal</w:t>
      </w:r>
      <w:r>
        <w:rPr>
          <w:rFonts w:ascii="Times New Roman" w:hAnsi="Times New Roman"/>
          <w:i/>
          <w:sz w:val="21"/>
          <w:szCs w:val="21"/>
        </w:rPr>
        <w:t xml:space="preserve"> </w:t>
      </w:r>
      <w:r>
        <w:rPr>
          <w:rFonts w:ascii="Times New Roman" w:hAnsi="Times New Roman"/>
          <w:sz w:val="21"/>
          <w:szCs w:val="21"/>
        </w:rPr>
        <w:t>21(5):5687-5694.</w:t>
      </w:r>
    </w:p>
    <w:p w14:paraId="0A400F67"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8.</w:t>
      </w:r>
      <w:r>
        <w:rPr>
          <w:rFonts w:ascii="Times New Roman" w:hAnsi="Times New Roman"/>
          <w:sz w:val="21"/>
          <w:szCs w:val="21"/>
        </w:rPr>
        <w:tab/>
        <w:t>Bai H, Wang C, Chen J, Peng J, Cao Q (2015) A novel sensitive electrochemical sensor based on in-situ polymerized molecularly imprinted membranes at graphene modified electrode for artemisinin determination. Biosensors &amp; Bioelectronics</w:t>
      </w:r>
      <w:r>
        <w:rPr>
          <w:rFonts w:ascii="Times New Roman" w:hAnsi="Times New Roman"/>
          <w:i/>
          <w:sz w:val="21"/>
          <w:szCs w:val="21"/>
        </w:rPr>
        <w:t xml:space="preserve"> </w:t>
      </w:r>
      <w:r>
        <w:rPr>
          <w:rFonts w:ascii="Times New Roman" w:hAnsi="Times New Roman"/>
          <w:sz w:val="21"/>
          <w:szCs w:val="21"/>
        </w:rPr>
        <w:t>64:352-358.</w:t>
      </w:r>
    </w:p>
    <w:p w14:paraId="569BA960"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9.</w:t>
      </w:r>
      <w:r>
        <w:rPr>
          <w:rFonts w:ascii="Times New Roman" w:hAnsi="Times New Roman"/>
          <w:sz w:val="21"/>
          <w:szCs w:val="21"/>
        </w:rPr>
        <w:tab/>
        <w:t>Roy AK, Nisha VS, Dhand C, Malhotra BD (2011) Molecularly imprinted polyaniline film for ascorbic acid detection. Journal of Molecular Recognition</w:t>
      </w:r>
      <w:r>
        <w:rPr>
          <w:rFonts w:ascii="Times New Roman" w:hAnsi="Times New Roman"/>
          <w:i/>
          <w:sz w:val="21"/>
          <w:szCs w:val="21"/>
        </w:rPr>
        <w:t xml:space="preserve"> </w:t>
      </w:r>
      <w:r>
        <w:rPr>
          <w:rFonts w:ascii="Times New Roman" w:hAnsi="Times New Roman"/>
          <w:sz w:val="21"/>
          <w:szCs w:val="21"/>
        </w:rPr>
        <w:t>24(4):700-706.</w:t>
      </w:r>
    </w:p>
    <w:p w14:paraId="2CBDA23D"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10.</w:t>
      </w:r>
      <w:r>
        <w:rPr>
          <w:rFonts w:ascii="Times New Roman" w:hAnsi="Times New Roman"/>
          <w:sz w:val="21"/>
          <w:szCs w:val="21"/>
        </w:rPr>
        <w:tab/>
        <w:t>YanYu Z, Yong F, Peng L, QinQin H, Ji X, Qin L, MinHao X, QiuHui H (2020) Comparative analysis of alkylresorcinols homologue composition in whole wheat flour and refined wheat flour. Scientia Agricultura Sinica</w:t>
      </w:r>
      <w:r>
        <w:rPr>
          <w:rFonts w:ascii="Times New Roman" w:hAnsi="Times New Roman"/>
          <w:i/>
          <w:sz w:val="21"/>
          <w:szCs w:val="21"/>
        </w:rPr>
        <w:t xml:space="preserve"> </w:t>
      </w:r>
      <w:r>
        <w:rPr>
          <w:rFonts w:ascii="Times New Roman" w:hAnsi="Times New Roman"/>
          <w:sz w:val="21"/>
          <w:szCs w:val="21"/>
        </w:rPr>
        <w:t>53(10):2055-2065.</w:t>
      </w:r>
    </w:p>
    <w:p w14:paraId="0205DA40"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11.</w:t>
      </w:r>
      <w:r>
        <w:rPr>
          <w:rFonts w:ascii="Times New Roman" w:hAnsi="Times New Roman"/>
          <w:sz w:val="21"/>
          <w:szCs w:val="21"/>
        </w:rPr>
        <w:tab/>
        <w:t>Yu-fei W, Xue-song Z, Xue-song X, Chao G, Zhu W (2018) Establishment of the liquid fluorometric method for determination of alkylresorcinols in whole wheat. Acta Nutrimenta Sinica</w:t>
      </w:r>
      <w:r>
        <w:rPr>
          <w:rFonts w:ascii="Times New Roman" w:hAnsi="Times New Roman"/>
          <w:i/>
          <w:sz w:val="21"/>
          <w:szCs w:val="21"/>
        </w:rPr>
        <w:t xml:space="preserve"> </w:t>
      </w:r>
      <w:r>
        <w:rPr>
          <w:rFonts w:ascii="Times New Roman" w:hAnsi="Times New Roman"/>
          <w:sz w:val="21"/>
          <w:szCs w:val="21"/>
        </w:rPr>
        <w:t>40(4):392-397.</w:t>
      </w:r>
    </w:p>
    <w:p w14:paraId="359285CB"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12.</w:t>
      </w:r>
      <w:r>
        <w:rPr>
          <w:rFonts w:ascii="Times New Roman" w:hAnsi="Times New Roman"/>
          <w:sz w:val="21"/>
          <w:szCs w:val="21"/>
        </w:rPr>
        <w:tab/>
        <w:t>Wierzbicka R, Wu H, Franek M, Kamal-Eldin A, Landberg R (2015) Determination of alkylresorcinols and their metabolites in biological samples by gas chromatography-mass spectrometry. Journal of Chromatography B-Analytical Technologies in the Biomedical and Life Sciences</w:t>
      </w:r>
      <w:r>
        <w:rPr>
          <w:rFonts w:ascii="Times New Roman" w:hAnsi="Times New Roman"/>
          <w:i/>
          <w:sz w:val="21"/>
          <w:szCs w:val="21"/>
        </w:rPr>
        <w:t xml:space="preserve"> </w:t>
      </w:r>
      <w:r>
        <w:rPr>
          <w:rFonts w:ascii="Times New Roman" w:hAnsi="Times New Roman"/>
          <w:sz w:val="21"/>
          <w:szCs w:val="21"/>
        </w:rPr>
        <w:t>1000:120-129.</w:t>
      </w:r>
    </w:p>
    <w:p w14:paraId="51238D98"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13.</w:t>
      </w:r>
      <w:r>
        <w:rPr>
          <w:rFonts w:ascii="Times New Roman" w:hAnsi="Times New Roman"/>
          <w:sz w:val="21"/>
          <w:szCs w:val="21"/>
        </w:rPr>
        <w:tab/>
        <w:t>Ross AB, Redeuil K, Vigo M, Rezzi S, Nagy K (2010) Quantification of alkylresorcinols in human plasma by liquid chromatography/tandem mass spectrometry. Rapid Communications in Mass Spectrometry</w:t>
      </w:r>
      <w:r>
        <w:rPr>
          <w:rFonts w:ascii="Times New Roman" w:hAnsi="Times New Roman"/>
          <w:i/>
          <w:sz w:val="21"/>
          <w:szCs w:val="21"/>
        </w:rPr>
        <w:t xml:space="preserve"> </w:t>
      </w:r>
      <w:r>
        <w:rPr>
          <w:rFonts w:ascii="Times New Roman" w:hAnsi="Times New Roman"/>
          <w:sz w:val="21"/>
          <w:szCs w:val="21"/>
        </w:rPr>
        <w:t>24(5):554-560.</w:t>
      </w:r>
    </w:p>
    <w:p w14:paraId="5BFBF0AF"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t>14.</w:t>
      </w:r>
      <w:r>
        <w:rPr>
          <w:rFonts w:ascii="Times New Roman" w:hAnsi="Times New Roman"/>
          <w:sz w:val="21"/>
          <w:szCs w:val="21"/>
        </w:rPr>
        <w:tab/>
        <w:t>Bernal FA, Orduz-Diaz LL, Guerrero-Perilla C, Coy-Barrera ED (2016) Diazo Coupling Reaction of Catechins and Alkylresorcinols with Diazotized Sulfanilic Acid for Quantitative Purposes in Edible Sources: Method Development and Validation. Food Analytical Methods</w:t>
      </w:r>
      <w:r>
        <w:rPr>
          <w:rFonts w:ascii="Times New Roman" w:hAnsi="Times New Roman"/>
          <w:i/>
          <w:sz w:val="21"/>
          <w:szCs w:val="21"/>
        </w:rPr>
        <w:t xml:space="preserve"> </w:t>
      </w:r>
      <w:r>
        <w:rPr>
          <w:rFonts w:ascii="Times New Roman" w:hAnsi="Times New Roman"/>
          <w:sz w:val="21"/>
          <w:szCs w:val="21"/>
        </w:rPr>
        <w:t>9(2):411-418.</w:t>
      </w:r>
    </w:p>
    <w:p w14:paraId="6B4D5C10" w14:textId="77777777" w:rsidR="00EA557E" w:rsidRDefault="00000000">
      <w:pPr>
        <w:pStyle w:val="EndNoteBibliography"/>
        <w:ind w:left="720" w:hanging="720"/>
        <w:rPr>
          <w:rFonts w:ascii="Times New Roman" w:hAnsi="Times New Roman"/>
          <w:sz w:val="21"/>
          <w:szCs w:val="21"/>
        </w:rPr>
      </w:pPr>
      <w:r>
        <w:rPr>
          <w:rFonts w:ascii="Times New Roman" w:hAnsi="Times New Roman"/>
          <w:sz w:val="21"/>
          <w:szCs w:val="21"/>
        </w:rPr>
        <w:lastRenderedPageBreak/>
        <w:t>15.</w:t>
      </w:r>
      <w:r>
        <w:rPr>
          <w:rFonts w:ascii="Times New Roman" w:hAnsi="Times New Roman"/>
          <w:sz w:val="21"/>
          <w:szCs w:val="21"/>
        </w:rPr>
        <w:tab/>
        <w:t>Qinqin H, Fengjiao F, Peng L, Yan F, Yanyu Z, Yong F (2021) Analysis of alkylresorcinol homologues in wheat flour by GC-MS and LC-MS/MS. Food Science, China</w:t>
      </w:r>
      <w:r>
        <w:rPr>
          <w:rFonts w:ascii="Times New Roman" w:hAnsi="Times New Roman"/>
          <w:i/>
          <w:sz w:val="21"/>
          <w:szCs w:val="21"/>
        </w:rPr>
        <w:t xml:space="preserve"> </w:t>
      </w:r>
      <w:r>
        <w:rPr>
          <w:rFonts w:ascii="Times New Roman" w:hAnsi="Times New Roman"/>
          <w:sz w:val="21"/>
          <w:szCs w:val="21"/>
        </w:rPr>
        <w:t>42(14):187-194.</w:t>
      </w:r>
    </w:p>
    <w:p w14:paraId="11D1C0A2" w14:textId="77777777" w:rsidR="00EA557E" w:rsidRDefault="00000000">
      <w:pPr>
        <w:pStyle w:val="EndNoteBibliography"/>
        <w:ind w:left="720" w:hanging="720"/>
        <w:rPr>
          <w:rFonts w:cs="Calibri"/>
          <w:sz w:val="21"/>
          <w:szCs w:val="21"/>
        </w:rPr>
      </w:pPr>
      <w:r>
        <w:rPr>
          <w:rFonts w:ascii="Times New Roman" w:hAnsi="Times New Roman"/>
          <w:sz w:val="21"/>
          <w:szCs w:val="21"/>
        </w:rPr>
        <w:t>16.</w:t>
      </w:r>
      <w:r>
        <w:rPr>
          <w:rFonts w:ascii="Times New Roman" w:hAnsi="Times New Roman"/>
          <w:sz w:val="21"/>
          <w:szCs w:val="21"/>
        </w:rPr>
        <w:tab/>
        <w:t>Wen Y, Li J, Zhao S, Fan H, Li H, Wang J, Sun B (2023) A highly efficient molecularly imprinted fluorescence sensor for assessing whole wheat grains by the rapid and sensitive detection of alkylresorcinols. Biosensors &amp; Bioelectronics</w:t>
      </w:r>
      <w:r>
        <w:rPr>
          <w:rFonts w:ascii="Times New Roman" w:hAnsi="Times New Roman"/>
          <w:i/>
          <w:sz w:val="21"/>
          <w:szCs w:val="21"/>
        </w:rPr>
        <w:t xml:space="preserve"> </w:t>
      </w:r>
      <w:r>
        <w:rPr>
          <w:rFonts w:ascii="Times New Roman" w:hAnsi="Times New Roman"/>
          <w:sz w:val="21"/>
          <w:szCs w:val="21"/>
        </w:rPr>
        <w:t>223.</w:t>
      </w:r>
    </w:p>
    <w:p w14:paraId="36D7D334" w14:textId="77777777" w:rsidR="00EA557E" w:rsidRDefault="00EA557E">
      <w:pPr>
        <w:pStyle w:val="EndNoteBibliography"/>
        <w:rPr>
          <w:rFonts w:ascii="Times New Roman" w:hAnsi="Times New Roman"/>
          <w:sz w:val="21"/>
          <w:szCs w:val="21"/>
        </w:rPr>
      </w:pPr>
    </w:p>
    <w:p w14:paraId="10CE4F41" w14:textId="77777777" w:rsidR="00EA557E" w:rsidRDefault="00000000">
      <w:pPr>
        <w:pStyle w:val="EndNoteBibliography"/>
        <w:framePr w:hSpace="181" w:wrap="notBeside" w:vAnchor="page" w:hAnchor="page" w:x="2076" w:y="302"/>
        <w:adjustRightInd w:val="0"/>
        <w:snapToGrid w:val="0"/>
        <w:spacing w:line="360" w:lineRule="auto"/>
        <w:ind w:left="720" w:hanging="720"/>
        <w:rPr>
          <w:rFonts w:ascii="Times New Roman" w:eastAsia="等线" w:hAnsi="Times New Roman"/>
          <w:sz w:val="22"/>
          <w:szCs w:val="22"/>
        </w:rPr>
      </w:pPr>
      <w:r>
        <w:rPr>
          <w:rFonts w:ascii="Times New Roman" w:hAnsi="Times New Roman"/>
          <w:sz w:val="21"/>
          <w:szCs w:val="21"/>
        </w:rPr>
        <w:fldChar w:fldCharType="end"/>
      </w:r>
    </w:p>
    <w:p w14:paraId="55C33087" w14:textId="77777777" w:rsidR="00EA557E" w:rsidRDefault="00EA557E">
      <w:pPr>
        <w:adjustRightInd w:val="0"/>
        <w:snapToGrid w:val="0"/>
        <w:spacing w:line="360" w:lineRule="auto"/>
        <w:rPr>
          <w:rFonts w:ascii="Times New Roman" w:hAnsi="Times New Roman" w:cs="Times New Roman"/>
        </w:rPr>
      </w:pPr>
    </w:p>
    <w:sectPr w:rsidR="00EA55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9B09E" w14:textId="77777777" w:rsidR="00830FF6" w:rsidRDefault="00830FF6" w:rsidP="009F2AD5">
      <w:r>
        <w:separator/>
      </w:r>
    </w:p>
  </w:endnote>
  <w:endnote w:type="continuationSeparator" w:id="0">
    <w:p w14:paraId="2C227DB2" w14:textId="77777777" w:rsidR="00830FF6" w:rsidRDefault="00830FF6" w:rsidP="009F2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dvGulliv-R">
    <w:altName w:val="Cambria"/>
    <w:charset w:val="00"/>
    <w:family w:val="roman"/>
    <w:pitch w:val="default"/>
  </w:font>
  <w:font w:name="CharisSIL">
    <w:altName w:val="Segoe Print"/>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CDE37" w14:textId="77777777" w:rsidR="00830FF6" w:rsidRDefault="00830FF6" w:rsidP="009F2AD5">
      <w:r>
        <w:separator/>
      </w:r>
    </w:p>
  </w:footnote>
  <w:footnote w:type="continuationSeparator" w:id="0">
    <w:p w14:paraId="5B62864A" w14:textId="77777777" w:rsidR="00830FF6" w:rsidRDefault="00830FF6" w:rsidP="009F2A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RhZjNlM2RhNTE4MzBkYmI0NTZlZjViMDVjNzZlOTQifQ=="/>
    <w:docVar w:name="EN.InstantFormat" w:val="&lt;ENInstantFormat&gt;&lt;Enabled&gt;1&lt;/Enabled&gt;&lt;ScanUnformatted&gt;1&lt;/ScanUnformatted&gt;&lt;ScanChanges&gt;1&lt;/ScanChanges&gt;&lt;Suspended&gt;1&lt;/Suspended&gt;&lt;/ENInstantFormat&gt;"/>
    <w:docVar w:name="EN.Layout" w:val="&lt;ENLayout&gt;&lt;Style&gt;Microchimica Act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Layout&gt;"/>
    <w:docVar w:name="EN.Libraries" w:val="&lt;Libraries&gt;&lt;/Libraries&gt;"/>
  </w:docVars>
  <w:rsids>
    <w:rsidRoot w:val="16035278"/>
    <w:rsid w:val="000201E4"/>
    <w:rsid w:val="0002216F"/>
    <w:rsid w:val="00024C4C"/>
    <w:rsid w:val="00037F30"/>
    <w:rsid w:val="00046FD1"/>
    <w:rsid w:val="0005229E"/>
    <w:rsid w:val="00073B31"/>
    <w:rsid w:val="0008149E"/>
    <w:rsid w:val="00085532"/>
    <w:rsid w:val="0009271D"/>
    <w:rsid w:val="000A6759"/>
    <w:rsid w:val="000B1EC9"/>
    <w:rsid w:val="000B3003"/>
    <w:rsid w:val="000C0135"/>
    <w:rsid w:val="000D6DAD"/>
    <w:rsid w:val="000F3391"/>
    <w:rsid w:val="000F5B5F"/>
    <w:rsid w:val="001030AC"/>
    <w:rsid w:val="00104181"/>
    <w:rsid w:val="001051CC"/>
    <w:rsid w:val="00111D6E"/>
    <w:rsid w:val="00141887"/>
    <w:rsid w:val="00156C21"/>
    <w:rsid w:val="00162029"/>
    <w:rsid w:val="001620B0"/>
    <w:rsid w:val="001728A0"/>
    <w:rsid w:val="00177156"/>
    <w:rsid w:val="00185D14"/>
    <w:rsid w:val="00190B10"/>
    <w:rsid w:val="001A4B68"/>
    <w:rsid w:val="001A775E"/>
    <w:rsid w:val="001C4AAD"/>
    <w:rsid w:val="001C51ED"/>
    <w:rsid w:val="001D19D1"/>
    <w:rsid w:val="001D431F"/>
    <w:rsid w:val="001E62CA"/>
    <w:rsid w:val="001F507C"/>
    <w:rsid w:val="001F61B0"/>
    <w:rsid w:val="0020406F"/>
    <w:rsid w:val="00204606"/>
    <w:rsid w:val="0022151C"/>
    <w:rsid w:val="0022385E"/>
    <w:rsid w:val="00240D32"/>
    <w:rsid w:val="00251816"/>
    <w:rsid w:val="002728D5"/>
    <w:rsid w:val="00277DEE"/>
    <w:rsid w:val="00284AD2"/>
    <w:rsid w:val="00285F74"/>
    <w:rsid w:val="002910D5"/>
    <w:rsid w:val="0029260B"/>
    <w:rsid w:val="00296CAC"/>
    <w:rsid w:val="00297E85"/>
    <w:rsid w:val="002A4381"/>
    <w:rsid w:val="002A619F"/>
    <w:rsid w:val="002B196C"/>
    <w:rsid w:val="002B494C"/>
    <w:rsid w:val="002B7295"/>
    <w:rsid w:val="002C3DA0"/>
    <w:rsid w:val="002C60EB"/>
    <w:rsid w:val="002D31E2"/>
    <w:rsid w:val="002E4DDE"/>
    <w:rsid w:val="002F7AB9"/>
    <w:rsid w:val="0031085B"/>
    <w:rsid w:val="0031211C"/>
    <w:rsid w:val="00317236"/>
    <w:rsid w:val="00323824"/>
    <w:rsid w:val="00343109"/>
    <w:rsid w:val="0038542A"/>
    <w:rsid w:val="00386722"/>
    <w:rsid w:val="003935EF"/>
    <w:rsid w:val="00393AFD"/>
    <w:rsid w:val="003A2936"/>
    <w:rsid w:val="003B1EC7"/>
    <w:rsid w:val="003C274D"/>
    <w:rsid w:val="003D1239"/>
    <w:rsid w:val="003D66AD"/>
    <w:rsid w:val="003D781A"/>
    <w:rsid w:val="003E122B"/>
    <w:rsid w:val="003E2837"/>
    <w:rsid w:val="003E69DC"/>
    <w:rsid w:val="003F550A"/>
    <w:rsid w:val="00404519"/>
    <w:rsid w:val="00410174"/>
    <w:rsid w:val="0041109A"/>
    <w:rsid w:val="0041658D"/>
    <w:rsid w:val="00417B76"/>
    <w:rsid w:val="00430534"/>
    <w:rsid w:val="00444442"/>
    <w:rsid w:val="004478BF"/>
    <w:rsid w:val="00447DEF"/>
    <w:rsid w:val="004504C0"/>
    <w:rsid w:val="004510B0"/>
    <w:rsid w:val="00451562"/>
    <w:rsid w:val="004528F0"/>
    <w:rsid w:val="0045570F"/>
    <w:rsid w:val="0045578A"/>
    <w:rsid w:val="00460634"/>
    <w:rsid w:val="00474203"/>
    <w:rsid w:val="00482BED"/>
    <w:rsid w:val="00485FB0"/>
    <w:rsid w:val="00486ECB"/>
    <w:rsid w:val="00490B19"/>
    <w:rsid w:val="00491A26"/>
    <w:rsid w:val="00496653"/>
    <w:rsid w:val="004B13D9"/>
    <w:rsid w:val="004B43A6"/>
    <w:rsid w:val="004C54CF"/>
    <w:rsid w:val="004F07E7"/>
    <w:rsid w:val="004F6261"/>
    <w:rsid w:val="00504D4F"/>
    <w:rsid w:val="005100D5"/>
    <w:rsid w:val="00517A3B"/>
    <w:rsid w:val="00523AB9"/>
    <w:rsid w:val="00535A74"/>
    <w:rsid w:val="0054483D"/>
    <w:rsid w:val="0054637E"/>
    <w:rsid w:val="00547339"/>
    <w:rsid w:val="00555096"/>
    <w:rsid w:val="005564FE"/>
    <w:rsid w:val="00561402"/>
    <w:rsid w:val="00562787"/>
    <w:rsid w:val="00585A6B"/>
    <w:rsid w:val="00586A4C"/>
    <w:rsid w:val="005A2D64"/>
    <w:rsid w:val="005B709B"/>
    <w:rsid w:val="005C35DA"/>
    <w:rsid w:val="005C5F3F"/>
    <w:rsid w:val="005C62F6"/>
    <w:rsid w:val="005D0386"/>
    <w:rsid w:val="005D1D39"/>
    <w:rsid w:val="005D478C"/>
    <w:rsid w:val="005D4792"/>
    <w:rsid w:val="005E569D"/>
    <w:rsid w:val="005F5567"/>
    <w:rsid w:val="006007FC"/>
    <w:rsid w:val="00603111"/>
    <w:rsid w:val="006039C2"/>
    <w:rsid w:val="00607095"/>
    <w:rsid w:val="0062254D"/>
    <w:rsid w:val="00626829"/>
    <w:rsid w:val="00630BD3"/>
    <w:rsid w:val="00630BF2"/>
    <w:rsid w:val="00667703"/>
    <w:rsid w:val="00672C30"/>
    <w:rsid w:val="00675328"/>
    <w:rsid w:val="0067798A"/>
    <w:rsid w:val="006920BC"/>
    <w:rsid w:val="006B2BFB"/>
    <w:rsid w:val="006B3344"/>
    <w:rsid w:val="006B3EE2"/>
    <w:rsid w:val="006B7D5B"/>
    <w:rsid w:val="006D0492"/>
    <w:rsid w:val="006E5E48"/>
    <w:rsid w:val="00704772"/>
    <w:rsid w:val="00706723"/>
    <w:rsid w:val="00724F43"/>
    <w:rsid w:val="0073242F"/>
    <w:rsid w:val="007341A7"/>
    <w:rsid w:val="00737F8A"/>
    <w:rsid w:val="00750752"/>
    <w:rsid w:val="007626BC"/>
    <w:rsid w:val="00766D9B"/>
    <w:rsid w:val="00771065"/>
    <w:rsid w:val="00775FC5"/>
    <w:rsid w:val="00786793"/>
    <w:rsid w:val="00796882"/>
    <w:rsid w:val="007A0806"/>
    <w:rsid w:val="007A13C8"/>
    <w:rsid w:val="007A6078"/>
    <w:rsid w:val="007A63FA"/>
    <w:rsid w:val="007B0E69"/>
    <w:rsid w:val="007B2FC9"/>
    <w:rsid w:val="007C4E08"/>
    <w:rsid w:val="007C59F6"/>
    <w:rsid w:val="007E2024"/>
    <w:rsid w:val="007F1204"/>
    <w:rsid w:val="007F26F8"/>
    <w:rsid w:val="007F2C91"/>
    <w:rsid w:val="007F601B"/>
    <w:rsid w:val="008012FC"/>
    <w:rsid w:val="00807955"/>
    <w:rsid w:val="00816CBE"/>
    <w:rsid w:val="00817B32"/>
    <w:rsid w:val="00820BED"/>
    <w:rsid w:val="00824412"/>
    <w:rsid w:val="00824E06"/>
    <w:rsid w:val="00830FF6"/>
    <w:rsid w:val="00835AFA"/>
    <w:rsid w:val="00845083"/>
    <w:rsid w:val="00876BA5"/>
    <w:rsid w:val="008B4645"/>
    <w:rsid w:val="008C1740"/>
    <w:rsid w:val="008C5A11"/>
    <w:rsid w:val="008C6083"/>
    <w:rsid w:val="008C7658"/>
    <w:rsid w:val="008D7255"/>
    <w:rsid w:val="008E0EB2"/>
    <w:rsid w:val="008F13D8"/>
    <w:rsid w:val="008F418E"/>
    <w:rsid w:val="00904716"/>
    <w:rsid w:val="00922D70"/>
    <w:rsid w:val="009258FC"/>
    <w:rsid w:val="00935AEF"/>
    <w:rsid w:val="00940B5F"/>
    <w:rsid w:val="00947494"/>
    <w:rsid w:val="00952ED8"/>
    <w:rsid w:val="00966B16"/>
    <w:rsid w:val="00970D35"/>
    <w:rsid w:val="00971E8C"/>
    <w:rsid w:val="009726B5"/>
    <w:rsid w:val="00977971"/>
    <w:rsid w:val="009853B2"/>
    <w:rsid w:val="0098792F"/>
    <w:rsid w:val="009A04CA"/>
    <w:rsid w:val="009B603A"/>
    <w:rsid w:val="009C61D1"/>
    <w:rsid w:val="009D21F1"/>
    <w:rsid w:val="009D5C21"/>
    <w:rsid w:val="009E2E9A"/>
    <w:rsid w:val="009F2AD5"/>
    <w:rsid w:val="00A220F0"/>
    <w:rsid w:val="00A259ED"/>
    <w:rsid w:val="00A30E94"/>
    <w:rsid w:val="00A31425"/>
    <w:rsid w:val="00A36D9A"/>
    <w:rsid w:val="00A41D2A"/>
    <w:rsid w:val="00A4266B"/>
    <w:rsid w:val="00A43B74"/>
    <w:rsid w:val="00A601B4"/>
    <w:rsid w:val="00A63031"/>
    <w:rsid w:val="00A6369C"/>
    <w:rsid w:val="00A65EB4"/>
    <w:rsid w:val="00A74264"/>
    <w:rsid w:val="00A93AC8"/>
    <w:rsid w:val="00A94AD3"/>
    <w:rsid w:val="00AA0E22"/>
    <w:rsid w:val="00AA0EF0"/>
    <w:rsid w:val="00AB3CD8"/>
    <w:rsid w:val="00AC4DB9"/>
    <w:rsid w:val="00AD0512"/>
    <w:rsid w:val="00AD1663"/>
    <w:rsid w:val="00AD5117"/>
    <w:rsid w:val="00AE12EE"/>
    <w:rsid w:val="00AE2017"/>
    <w:rsid w:val="00AE2FD3"/>
    <w:rsid w:val="00AF0184"/>
    <w:rsid w:val="00AF74E1"/>
    <w:rsid w:val="00B05A51"/>
    <w:rsid w:val="00B12B7D"/>
    <w:rsid w:val="00B16630"/>
    <w:rsid w:val="00B339E1"/>
    <w:rsid w:val="00B40E97"/>
    <w:rsid w:val="00B56C1E"/>
    <w:rsid w:val="00B61454"/>
    <w:rsid w:val="00B62499"/>
    <w:rsid w:val="00B77655"/>
    <w:rsid w:val="00B87B56"/>
    <w:rsid w:val="00BB1120"/>
    <w:rsid w:val="00BB51CF"/>
    <w:rsid w:val="00BB5610"/>
    <w:rsid w:val="00BC248E"/>
    <w:rsid w:val="00BC5BA7"/>
    <w:rsid w:val="00BE69E2"/>
    <w:rsid w:val="00BF1EDD"/>
    <w:rsid w:val="00C02198"/>
    <w:rsid w:val="00C06028"/>
    <w:rsid w:val="00C14061"/>
    <w:rsid w:val="00C17073"/>
    <w:rsid w:val="00C2406D"/>
    <w:rsid w:val="00C24E22"/>
    <w:rsid w:val="00C2612D"/>
    <w:rsid w:val="00C26B42"/>
    <w:rsid w:val="00C32515"/>
    <w:rsid w:val="00C40E8D"/>
    <w:rsid w:val="00C51DC1"/>
    <w:rsid w:val="00C60B2D"/>
    <w:rsid w:val="00C7293F"/>
    <w:rsid w:val="00C7460E"/>
    <w:rsid w:val="00CA768D"/>
    <w:rsid w:val="00CB29DA"/>
    <w:rsid w:val="00CB43D7"/>
    <w:rsid w:val="00CB5C3C"/>
    <w:rsid w:val="00CC50B9"/>
    <w:rsid w:val="00CD0A5D"/>
    <w:rsid w:val="00CD7E91"/>
    <w:rsid w:val="00CE0AEE"/>
    <w:rsid w:val="00CE136F"/>
    <w:rsid w:val="00CF148D"/>
    <w:rsid w:val="00CF7158"/>
    <w:rsid w:val="00D03649"/>
    <w:rsid w:val="00D04275"/>
    <w:rsid w:val="00D06029"/>
    <w:rsid w:val="00D25D07"/>
    <w:rsid w:val="00D30ED7"/>
    <w:rsid w:val="00D33304"/>
    <w:rsid w:val="00D53385"/>
    <w:rsid w:val="00D63373"/>
    <w:rsid w:val="00D63481"/>
    <w:rsid w:val="00D72FB7"/>
    <w:rsid w:val="00D842EE"/>
    <w:rsid w:val="00D90206"/>
    <w:rsid w:val="00DA21E5"/>
    <w:rsid w:val="00DB0088"/>
    <w:rsid w:val="00DB0202"/>
    <w:rsid w:val="00DB59E3"/>
    <w:rsid w:val="00DB5E31"/>
    <w:rsid w:val="00DD648B"/>
    <w:rsid w:val="00DF0BAD"/>
    <w:rsid w:val="00DF3367"/>
    <w:rsid w:val="00DF3672"/>
    <w:rsid w:val="00DF4932"/>
    <w:rsid w:val="00DF695B"/>
    <w:rsid w:val="00DF6B72"/>
    <w:rsid w:val="00E0544C"/>
    <w:rsid w:val="00E13044"/>
    <w:rsid w:val="00E15096"/>
    <w:rsid w:val="00E15302"/>
    <w:rsid w:val="00E17D38"/>
    <w:rsid w:val="00E21D73"/>
    <w:rsid w:val="00E21FFA"/>
    <w:rsid w:val="00E42FA0"/>
    <w:rsid w:val="00E505DF"/>
    <w:rsid w:val="00E5092F"/>
    <w:rsid w:val="00E557E2"/>
    <w:rsid w:val="00E55A35"/>
    <w:rsid w:val="00E6634F"/>
    <w:rsid w:val="00E70AAB"/>
    <w:rsid w:val="00E71CD8"/>
    <w:rsid w:val="00E82085"/>
    <w:rsid w:val="00E90D85"/>
    <w:rsid w:val="00EA1B41"/>
    <w:rsid w:val="00EA1F6B"/>
    <w:rsid w:val="00EA557E"/>
    <w:rsid w:val="00EA574C"/>
    <w:rsid w:val="00EA62CA"/>
    <w:rsid w:val="00EC0270"/>
    <w:rsid w:val="00ED433F"/>
    <w:rsid w:val="00EE6D75"/>
    <w:rsid w:val="00F0262E"/>
    <w:rsid w:val="00F1111E"/>
    <w:rsid w:val="00F24A47"/>
    <w:rsid w:val="00F43DA2"/>
    <w:rsid w:val="00F5174D"/>
    <w:rsid w:val="00F55E16"/>
    <w:rsid w:val="00F62363"/>
    <w:rsid w:val="00F62588"/>
    <w:rsid w:val="00F85BFF"/>
    <w:rsid w:val="00F85DB9"/>
    <w:rsid w:val="00F86DBA"/>
    <w:rsid w:val="00FA5F6E"/>
    <w:rsid w:val="00FA6EB0"/>
    <w:rsid w:val="00FB04FE"/>
    <w:rsid w:val="00FB2D2A"/>
    <w:rsid w:val="00FB3F99"/>
    <w:rsid w:val="00FC1475"/>
    <w:rsid w:val="00FC1509"/>
    <w:rsid w:val="00FC2573"/>
    <w:rsid w:val="00FE0E07"/>
    <w:rsid w:val="00FF456B"/>
    <w:rsid w:val="011533D3"/>
    <w:rsid w:val="03DB0660"/>
    <w:rsid w:val="0D9C676A"/>
    <w:rsid w:val="0F044B07"/>
    <w:rsid w:val="144824BF"/>
    <w:rsid w:val="16035278"/>
    <w:rsid w:val="16573B76"/>
    <w:rsid w:val="18A46E1B"/>
    <w:rsid w:val="192D6E10"/>
    <w:rsid w:val="19EA2F53"/>
    <w:rsid w:val="1BBE1FA1"/>
    <w:rsid w:val="1D813BCE"/>
    <w:rsid w:val="1FB97650"/>
    <w:rsid w:val="21244F9D"/>
    <w:rsid w:val="21937A2C"/>
    <w:rsid w:val="21B7196D"/>
    <w:rsid w:val="222523B8"/>
    <w:rsid w:val="267C13D7"/>
    <w:rsid w:val="290F6532"/>
    <w:rsid w:val="2EF824ED"/>
    <w:rsid w:val="301937F3"/>
    <w:rsid w:val="31FD161E"/>
    <w:rsid w:val="36080591"/>
    <w:rsid w:val="36A200DA"/>
    <w:rsid w:val="37BC1633"/>
    <w:rsid w:val="3AD9074E"/>
    <w:rsid w:val="3B247C1B"/>
    <w:rsid w:val="3BF13876"/>
    <w:rsid w:val="3CB925E5"/>
    <w:rsid w:val="42254279"/>
    <w:rsid w:val="45D73ADC"/>
    <w:rsid w:val="489256B9"/>
    <w:rsid w:val="4944592C"/>
    <w:rsid w:val="4BBE3774"/>
    <w:rsid w:val="4C7622A1"/>
    <w:rsid w:val="4C934C01"/>
    <w:rsid w:val="4FB37150"/>
    <w:rsid w:val="4FB56C3C"/>
    <w:rsid w:val="53345ED2"/>
    <w:rsid w:val="53C27B7A"/>
    <w:rsid w:val="53CC6C4A"/>
    <w:rsid w:val="543A742B"/>
    <w:rsid w:val="5479292E"/>
    <w:rsid w:val="553B5E36"/>
    <w:rsid w:val="559E225F"/>
    <w:rsid w:val="563A7E9B"/>
    <w:rsid w:val="56E83D9B"/>
    <w:rsid w:val="58332D23"/>
    <w:rsid w:val="58CE0D6F"/>
    <w:rsid w:val="5A601E9A"/>
    <w:rsid w:val="5B3550D5"/>
    <w:rsid w:val="5B44356A"/>
    <w:rsid w:val="5B8147BE"/>
    <w:rsid w:val="5BB93F58"/>
    <w:rsid w:val="6065020A"/>
    <w:rsid w:val="60F65306"/>
    <w:rsid w:val="636649C5"/>
    <w:rsid w:val="644A1BF1"/>
    <w:rsid w:val="64A84B6A"/>
    <w:rsid w:val="66FB71D3"/>
    <w:rsid w:val="693E5A9D"/>
    <w:rsid w:val="694E3F32"/>
    <w:rsid w:val="6A372C18"/>
    <w:rsid w:val="6CD23598"/>
    <w:rsid w:val="6D266F73"/>
    <w:rsid w:val="6E7A12D6"/>
    <w:rsid w:val="6EE36ECA"/>
    <w:rsid w:val="6F4F4560"/>
    <w:rsid w:val="6FA36659"/>
    <w:rsid w:val="6FCC795E"/>
    <w:rsid w:val="71706A0F"/>
    <w:rsid w:val="734463A5"/>
    <w:rsid w:val="734D7008"/>
    <w:rsid w:val="737F73DD"/>
    <w:rsid w:val="77C96E79"/>
    <w:rsid w:val="79CD2C51"/>
    <w:rsid w:val="7AB45BBF"/>
    <w:rsid w:val="7C1508DF"/>
    <w:rsid w:val="7CDD764F"/>
    <w:rsid w:val="7EBB576E"/>
    <w:rsid w:val="7F5B2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F38ED80-910F-487C-AA93-0A912DD09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Pr>
      <w:rFonts w:ascii="Calibri" w:eastAsia="宋体" w:hAnsi="Calibri" w:cs="Times New Roman"/>
      <w:sz w:val="24"/>
    </w:rPr>
  </w:style>
  <w:style w:type="paragraph" w:styleId="ac">
    <w:name w:val="annotation subject"/>
    <w:basedOn w:val="a3"/>
    <w:next w:val="a3"/>
    <w:link w:val="ad"/>
    <w:qFormat/>
    <w:rPr>
      <w:b/>
      <w:bCs/>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f">
    <w:name w:val="Hyperlink"/>
    <w:basedOn w:val="a0"/>
    <w:uiPriority w:val="99"/>
    <w:qFormat/>
    <w:rPr>
      <w:color w:val="0563C1" w:themeColor="hyperlink"/>
      <w:u w:val="single"/>
    </w:rPr>
  </w:style>
  <w:style w:type="character" w:styleId="af0">
    <w:name w:val="annotation reference"/>
    <w:basedOn w:val="a0"/>
    <w:qFormat/>
    <w:rPr>
      <w:sz w:val="21"/>
      <w:szCs w:val="21"/>
    </w:rPr>
  </w:style>
  <w:style w:type="paragraph" w:customStyle="1" w:styleId="EndNoteBibliography">
    <w:name w:val="EndNote Bibliography"/>
    <w:basedOn w:val="a"/>
    <w:link w:val="EndNoteBibliographyChar"/>
    <w:qFormat/>
    <w:rPr>
      <w:rFonts w:ascii="Calibri" w:eastAsia="宋体" w:hAnsi="Calibri" w:cs="Times New Roman"/>
      <w:sz w:val="20"/>
    </w:rPr>
  </w:style>
  <w:style w:type="character" w:customStyle="1" w:styleId="fontstyle01">
    <w:name w:val="fontstyle01"/>
    <w:basedOn w:val="a0"/>
    <w:qFormat/>
    <w:rPr>
      <w:rFonts w:ascii="AdvGulliv-R" w:eastAsia="AdvGulliv-R" w:hAnsi="AdvGulliv-R" w:cs="AdvGulliv-R" w:hint="default"/>
      <w:color w:val="000000"/>
      <w:sz w:val="14"/>
      <w:szCs w:val="14"/>
    </w:rPr>
  </w:style>
  <w:style w:type="character" w:customStyle="1" w:styleId="EndNoteBibliographyChar">
    <w:name w:val="EndNote Bibliography Char"/>
    <w:basedOn w:val="a0"/>
    <w:link w:val="EndNoteBibliography"/>
    <w:qFormat/>
    <w:rPr>
      <w:rFonts w:ascii="Calibri" w:hAnsi="Calibri"/>
      <w:kern w:val="2"/>
      <w:szCs w:val="24"/>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paragraph" w:customStyle="1" w:styleId="EndNoteBibliographyTitle">
    <w:name w:val="EndNote Bibliography Title"/>
    <w:basedOn w:val="a"/>
    <w:link w:val="EndNoteBibliographyTitleChar"/>
    <w:qFormat/>
    <w:pPr>
      <w:jc w:val="center"/>
    </w:pPr>
    <w:rPr>
      <w:rFonts w:ascii="Calibri" w:hAnsi="Calibri"/>
      <w:sz w:val="20"/>
    </w:rPr>
  </w:style>
  <w:style w:type="character" w:customStyle="1" w:styleId="EndNoteBibliographyTitleChar">
    <w:name w:val="EndNote Bibliography Title Char"/>
    <w:basedOn w:val="a0"/>
    <w:link w:val="EndNoteBibliographyTitle"/>
    <w:qFormat/>
    <w:rPr>
      <w:rFonts w:ascii="Calibri" w:eastAsiaTheme="minorEastAsia" w:hAnsi="Calibri" w:cstheme="minorBidi"/>
      <w:kern w:val="2"/>
      <w:szCs w:val="24"/>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d">
    <w:name w:val="批注主题 字符"/>
    <w:basedOn w:val="a4"/>
    <w:link w:val="ac"/>
    <w:qFormat/>
    <w:rPr>
      <w:rFonts w:asciiTheme="minorHAnsi" w:eastAsiaTheme="minorEastAsia" w:hAnsiTheme="minorHAnsi" w:cstheme="minorBidi"/>
      <w:b/>
      <w:bCs/>
      <w:kern w:val="2"/>
      <w:sz w:val="21"/>
      <w:szCs w:val="24"/>
    </w:rPr>
  </w:style>
  <w:style w:type="paragraph" w:customStyle="1" w:styleId="2">
    <w:name w:val="修订2"/>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wangjing@th.btbu.edu.cn" TargetMode="External"/><Relationship Id="rId12" Type="http://schemas.openxmlformats.org/officeDocument/2006/relationships/image" Target="media/image5.wmf"/><Relationship Id="rId17"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hyperlink" Target="mailto:hongyan.li@btbu.edu.cn"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4468</Words>
  <Characters>25470</Characters>
  <Application>Microsoft Office Word</Application>
  <DocSecurity>0</DocSecurity>
  <Lines>212</Lines>
  <Paragraphs>59</Paragraphs>
  <ScaleCrop>false</ScaleCrop>
  <Company/>
  <LinksUpToDate>false</LinksUpToDate>
  <CharactersWithSpaces>29879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王梦瑶</dc:creator>
  <cp:lastModifiedBy>Yangyang Wen</cp:lastModifiedBy>
  <cp:revision>6</cp:revision>
  <dcterms:created xsi:type="dcterms:W3CDTF">2023-10-04T16:39:00Z</dcterms:created>
  <dcterms:modified xsi:type="dcterms:W3CDTF">2023-10-08T08:06:00Z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069E00B0099F4C01A78FE0BEC9A50055_13</vt:lpwstr>
  </property>
</Properties>
</file>