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BDD478" w14:textId="691799EA" w:rsidR="00D30765" w:rsidRDefault="00D30765" w:rsidP="007C2EB3">
      <w:pPr>
        <w:rPr>
          <w:sz w:val="48"/>
          <w:szCs w:val="48"/>
        </w:rPr>
      </w:pPr>
      <w:r>
        <w:rPr>
          <w:noProof/>
        </w:rPr>
        <w:drawing>
          <wp:inline distT="0" distB="0" distL="0" distR="0" wp14:anchorId="5F85AF9E" wp14:editId="3329658E">
            <wp:extent cx="5274310" cy="5036185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036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874EC6" w14:textId="4D195DC7" w:rsidR="00A0225F" w:rsidRPr="00A0225F" w:rsidRDefault="00A0225F" w:rsidP="00A0225F">
      <w:pPr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</w:pPr>
      <w:bookmarkStart w:id="0" w:name="_Hlk147041746"/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Supplementary material Figure 1</w:t>
      </w:r>
      <w:r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:</w:t>
      </w:r>
      <w:bookmarkEnd w:id="0"/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 Identification of bone marrow mesenchymal cells. A.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Morphological map of bone marrow mesenchymal cells in the third generation. 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B.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Flow cytometry analysis of negative (CD11b, CD34, CD45) </w:t>
      </w:r>
      <w:r w:rsidRPr="00A0225F">
        <w:rPr>
          <w:rFonts w:ascii="Times New Roman" w:eastAsiaTheme="minorEastAsia" w:hAnsi="Times New Roman" w:cstheme="minorBidi" w:hint="eastAsia"/>
          <w:color w:val="000000" w:themeColor="text1"/>
          <w:sz w:val="28"/>
          <w:szCs w:val="22"/>
        </w:rPr>
        <w:t>and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positive (CD29, CD90, CD105, CD44) markers of bone marrow mesenchymal cells (n = 3). 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C–E.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Representative images of bone marrow mesenchymal cell differentiation potential: C, osteogenic differentiation; D, lipogenic differentiation, E, chondrogenic differentiation (n = 3). Scale bars: 200 μm, 20 μm.</w:t>
      </w:r>
    </w:p>
    <w:p w14:paraId="24E5C5BE" w14:textId="77777777" w:rsidR="00A0225F" w:rsidRP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</w:p>
    <w:p w14:paraId="1DDFCC43" w14:textId="55768585" w:rsidR="00A0225F" w:rsidRPr="00A0225F" w:rsidRDefault="00C50D76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r>
        <w:rPr>
          <w:noProof/>
        </w:rPr>
        <w:lastRenderedPageBreak/>
        <w:drawing>
          <wp:inline distT="0" distB="0" distL="0" distR="0" wp14:anchorId="0DD4AACF" wp14:editId="2EE8A6B9">
            <wp:extent cx="5274310" cy="3466465"/>
            <wp:effectExtent l="0" t="0" r="2540" b="63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664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BEFB2" w14:textId="5800B741" w:rsidR="00A0225F" w:rsidRP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Supplementary material Figure </w:t>
      </w:r>
      <w:r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2: 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Effect of IFNγ on BMSCs. 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A. Morphological map of BMSCs after the addition of </w:t>
      </w:r>
      <w:bookmarkStart w:id="1" w:name="_Hlk146501593"/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>IFNγ</w:t>
      </w:r>
      <w:bookmarkEnd w:id="1"/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. 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B.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Comparison of cell viability between </w:t>
      </w:r>
      <w:r w:rsidRPr="00A0225F">
        <w:rPr>
          <w:rFonts w:ascii="Times New Roman" w:eastAsiaTheme="minorEastAsia" w:hAnsi="Times New Roman"/>
          <w:color w:val="000000" w:themeColor="text1"/>
          <w:sz w:val="28"/>
          <w:szCs w:val="28"/>
        </w:rPr>
        <w:t>the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</w:t>
      </w:r>
      <w:r w:rsidRPr="00A0225F">
        <w:rPr>
          <w:rFonts w:ascii="Times New Roman" w:eastAsiaTheme="minorEastAsia" w:hAnsi="Times New Roman"/>
          <w:color w:val="000000" w:themeColor="text1"/>
          <w:sz w:val="28"/>
          <w:szCs w:val="28"/>
        </w:rPr>
        <w:t>BMSC and BMSC+IFNγ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groups as determined by CCK8 assay (n = 5). 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C.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Representative flow cytometry diagram of the effect of IFNγ on </w:t>
      </w:r>
      <w:r w:rsidRPr="00A0225F">
        <w:rPr>
          <w:rFonts w:ascii="Times New Roman" w:eastAsiaTheme="minorEastAsia" w:hAnsi="Times New Roman"/>
          <w:color w:val="000000" w:themeColor="text1"/>
          <w:sz w:val="28"/>
          <w:szCs w:val="28"/>
        </w:rPr>
        <w:t>BMSCs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apoptosis. 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D.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Comparison of the apoptosis ratio between the two groups of cells (n = 5). Scale bars: 100 μm. ns: No significant difference.</w:t>
      </w:r>
    </w:p>
    <w:p w14:paraId="381752D6" w14:textId="2E50C58C" w:rsid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</w:p>
    <w:p w14:paraId="6BB76A7E" w14:textId="6DDD04B8" w:rsidR="00C50D76" w:rsidRPr="00A0225F" w:rsidRDefault="00C50D76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r>
        <w:rPr>
          <w:noProof/>
        </w:rPr>
        <w:lastRenderedPageBreak/>
        <w:drawing>
          <wp:inline distT="0" distB="0" distL="0" distR="0" wp14:anchorId="379EE61A" wp14:editId="530502C0">
            <wp:extent cx="5274310" cy="7882255"/>
            <wp:effectExtent l="0" t="0" r="254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8822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1D1A70B" w14:textId="04EDB26E" w:rsidR="00A0225F" w:rsidRP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Supplementary material Figure </w:t>
      </w:r>
      <w:r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3: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 Quality of tRF and tiRNA sequencing.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A–F.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</w:t>
      </w:r>
      <w:r w:rsidRPr="00A0225F">
        <w:rPr>
          <w:rFonts w:ascii="Times New Roman" w:eastAsiaTheme="minorEastAsia" w:hAnsi="Times New Roman"/>
          <w:color w:val="000000" w:themeColor="text1"/>
          <w:sz w:val="28"/>
          <w:szCs w:val="28"/>
        </w:rPr>
        <w:t>tRF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and </w:t>
      </w:r>
      <w:r w:rsidRPr="00A0225F">
        <w:rPr>
          <w:rFonts w:ascii="Times New Roman" w:eastAsiaTheme="minorEastAsia" w:hAnsi="Times New Roman"/>
          <w:color w:val="000000" w:themeColor="text1"/>
          <w:sz w:val="28"/>
          <w:szCs w:val="28"/>
        </w:rPr>
        <w:t>tiRNA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-seq quality score plot. The position in 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lastRenderedPageBreak/>
        <w:t xml:space="preserve">the read is plotted on the X-axis, and the Q value is plotted on the Y-axis. The red line represents the median Q score, and the blue line represents the mean Q score. The complot represents the interquartile range, and the whiskers represent the 10% and 90% points. A Q score greater than 30 (&gt; 99.9% correct) is considered high-quality data. G. Heatmap of the correlation coefficient from all samples. The color in the panel represents the correlation coefficient of the two samples. Blue represents the two samples with a high correlation coefficient, and white represents the low similarity of the two samples. The presented plot was generated with the R gplots package. H. Venn diagram based on several known and detected </w:t>
      </w:r>
      <w:r w:rsidRPr="00A0225F">
        <w:rPr>
          <w:rFonts w:ascii="Times New Roman" w:eastAsiaTheme="minorEastAsia" w:hAnsi="Times New Roman"/>
          <w:color w:val="000000" w:themeColor="text1"/>
          <w:sz w:val="28"/>
          <w:szCs w:val="28"/>
        </w:rPr>
        <w:t>tRFs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and </w:t>
      </w:r>
      <w:r w:rsidRPr="00A0225F">
        <w:rPr>
          <w:rFonts w:ascii="Times New Roman" w:eastAsiaTheme="minorEastAsia" w:hAnsi="Times New Roman"/>
          <w:color w:val="000000" w:themeColor="text1"/>
          <w:sz w:val="28"/>
          <w:szCs w:val="28"/>
        </w:rPr>
        <w:t>tiRNAs.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This diagram shows the number of tRFs and tiRNAs detected in this project and collected in the tRFdb.</w:t>
      </w:r>
    </w:p>
    <w:p w14:paraId="13023FE5" w14:textId="02474FDA" w:rsid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</w:p>
    <w:p w14:paraId="04CF1858" w14:textId="763E1F16" w:rsidR="00C50D76" w:rsidRPr="00A0225F" w:rsidRDefault="00C50D76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r>
        <w:rPr>
          <w:noProof/>
        </w:rPr>
        <w:lastRenderedPageBreak/>
        <w:drawing>
          <wp:inline distT="0" distB="0" distL="0" distR="0" wp14:anchorId="07915B2F" wp14:editId="5D7A8F78">
            <wp:extent cx="5274310" cy="8507730"/>
            <wp:effectExtent l="0" t="0" r="254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50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59E113" w14:textId="5A04BF98" w:rsidR="00A0225F" w:rsidRP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Supplementary material Figure </w:t>
      </w:r>
      <w:r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4: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 Scatter plot between Native-Exo 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lastRenderedPageBreak/>
        <w:t>and IFNγ-Exo groups for tRF and tiRNA.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The CPM values of all tRFs and tiRNAs are plotted. The values of the X and Y axes in the scatter plot are the averaged CPM values of each group (log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  <w:vertAlign w:val="subscript"/>
        </w:rPr>
        <w:t>2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scaled). tRFs and tiRNAs higher than the top line (red dots, up-regulation) or lower than the bottom line (green dots, down-regulation) indicate a fold-change of &gt; 1.5 between the two compared groups. Gray dots indicate non-differentially expressed tRFs and tiRNAs.</w:t>
      </w:r>
    </w:p>
    <w:p w14:paraId="0B1C682D" w14:textId="41DEE44E" w:rsid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bookmarkStart w:id="2" w:name="_GoBack"/>
      <w:bookmarkEnd w:id="2"/>
    </w:p>
    <w:p w14:paraId="1EE96BE4" w14:textId="44F40C11" w:rsidR="00C50D76" w:rsidRPr="00A0225F" w:rsidRDefault="00C50D76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r>
        <w:rPr>
          <w:noProof/>
        </w:rPr>
        <w:drawing>
          <wp:inline distT="0" distB="0" distL="0" distR="0" wp14:anchorId="12D840F7" wp14:editId="3FA8B573">
            <wp:extent cx="5274310" cy="5353050"/>
            <wp:effectExtent l="0" t="0" r="254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35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54AC1" w14:textId="2237B0D1" w:rsidR="00A0225F" w:rsidRP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lastRenderedPageBreak/>
        <w:t xml:space="preserve">Supplementary material Figure </w:t>
      </w:r>
      <w:r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5: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 A–F. </w:t>
      </w:r>
      <w:r w:rsidRPr="00A0225F">
        <w:rPr>
          <w:rFonts w:ascii="Times New Roman" w:eastAsiaTheme="minorEastAsia" w:hAnsi="Times New Roman"/>
          <w:b/>
          <w:bCs/>
          <w:color w:val="000000" w:themeColor="text1"/>
          <w:sz w:val="28"/>
          <w:szCs w:val="28"/>
        </w:rPr>
        <w:t>Read length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 distribution.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Bar chart showing the total read counts against the lengths of the trimmed reads.</w:t>
      </w:r>
    </w:p>
    <w:p w14:paraId="20A1C819" w14:textId="4645D7F7" w:rsid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</w:p>
    <w:p w14:paraId="007AFABF" w14:textId="0937589C" w:rsidR="00C50D76" w:rsidRPr="00A0225F" w:rsidRDefault="00C50D76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r>
        <w:rPr>
          <w:noProof/>
        </w:rPr>
        <w:drawing>
          <wp:inline distT="0" distB="0" distL="0" distR="0" wp14:anchorId="1BC54DE2" wp14:editId="1C924C3F">
            <wp:extent cx="5274310" cy="7459980"/>
            <wp:effectExtent l="0" t="0" r="254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459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8635D4" w14:textId="6DD34ED9" w:rsidR="00A0225F" w:rsidRP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lastRenderedPageBreak/>
        <w:t xml:space="preserve">Supplementary material Figure </w:t>
      </w:r>
      <w:r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>6:</w:t>
      </w:r>
      <w:r w:rsidRPr="00A0225F">
        <w:rPr>
          <w:rFonts w:ascii="Times New Roman" w:eastAsiaTheme="minorEastAsia" w:hAnsi="Times New Roman" w:cstheme="minorBidi"/>
          <w:b/>
          <w:color w:val="000000" w:themeColor="text1"/>
          <w:sz w:val="28"/>
          <w:szCs w:val="22"/>
        </w:rPr>
        <w:t xml:space="preserve"> Top 17 GO (A) and KEGG (B) enrichment items.</w:t>
      </w:r>
      <w:r w:rsidRPr="00A0225F"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  <w:t xml:space="preserve"> The left panel represents the GO or KEGG pathway, the right panel represents enrichment, and the size of the solid circle indicates the number of genes.</w:t>
      </w:r>
    </w:p>
    <w:p w14:paraId="2CCC028C" w14:textId="77777777" w:rsidR="00A0225F" w:rsidRP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</w:p>
    <w:p w14:paraId="298A8A81" w14:textId="77777777" w:rsidR="00A0225F" w:rsidRPr="00A0225F" w:rsidRDefault="00A0225F" w:rsidP="00A0225F">
      <w:pPr>
        <w:rPr>
          <w:rFonts w:ascii="Times New Roman" w:eastAsiaTheme="minorEastAsia" w:hAnsi="Times New Roman" w:cstheme="minorBidi"/>
          <w:color w:val="000000" w:themeColor="text1"/>
          <w:sz w:val="28"/>
          <w:szCs w:val="22"/>
        </w:rPr>
      </w:pPr>
    </w:p>
    <w:p w14:paraId="167CC8FB" w14:textId="77777777" w:rsidR="00E4270C" w:rsidRDefault="00236408"/>
    <w:sectPr w:rsidR="00E4270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7A0F576" w14:textId="77777777" w:rsidR="00F43FC6" w:rsidRDefault="00F43FC6" w:rsidP="007C2EB3">
      <w:r>
        <w:separator/>
      </w:r>
    </w:p>
  </w:endnote>
  <w:endnote w:type="continuationSeparator" w:id="0">
    <w:p w14:paraId="6B856CDA" w14:textId="77777777" w:rsidR="00F43FC6" w:rsidRDefault="00F43FC6" w:rsidP="007C2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3BBCBE5" w14:textId="77777777" w:rsidR="00F43FC6" w:rsidRDefault="00F43FC6" w:rsidP="007C2EB3">
      <w:r>
        <w:separator/>
      </w:r>
    </w:p>
  </w:footnote>
  <w:footnote w:type="continuationSeparator" w:id="0">
    <w:p w14:paraId="545141AA" w14:textId="77777777" w:rsidR="00F43FC6" w:rsidRDefault="00F43FC6" w:rsidP="007C2E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3F5"/>
    <w:rsid w:val="000344A6"/>
    <w:rsid w:val="00236408"/>
    <w:rsid w:val="003673F5"/>
    <w:rsid w:val="003F721D"/>
    <w:rsid w:val="00574050"/>
    <w:rsid w:val="005A2AA3"/>
    <w:rsid w:val="0068368C"/>
    <w:rsid w:val="006B4EC0"/>
    <w:rsid w:val="00743418"/>
    <w:rsid w:val="007C2EB3"/>
    <w:rsid w:val="008916B9"/>
    <w:rsid w:val="008D4654"/>
    <w:rsid w:val="00A0225F"/>
    <w:rsid w:val="00A41BC7"/>
    <w:rsid w:val="00AA2E7E"/>
    <w:rsid w:val="00BC3622"/>
    <w:rsid w:val="00C50D76"/>
    <w:rsid w:val="00D30765"/>
    <w:rsid w:val="00E37170"/>
    <w:rsid w:val="00EA03FC"/>
    <w:rsid w:val="00F43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4AC9132F"/>
  <w15:chartTrackingRefBased/>
  <w15:docId w15:val="{8BE71D8B-94F7-4626-945A-5AB654716F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C2EB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C2E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C2E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C2EB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C2EB3"/>
    <w:rPr>
      <w:sz w:val="18"/>
      <w:szCs w:val="18"/>
    </w:rPr>
  </w:style>
  <w:style w:type="paragraph" w:styleId="a7">
    <w:name w:val="Normal (Web)"/>
    <w:basedOn w:val="a"/>
    <w:rsid w:val="007C2EB3"/>
    <w:rPr>
      <w:sz w:val="24"/>
    </w:rPr>
  </w:style>
  <w:style w:type="table" w:styleId="-1">
    <w:name w:val="Light Shading Accent 1"/>
    <w:basedOn w:val="a1"/>
    <w:uiPriority w:val="60"/>
    <w:qFormat/>
    <w:rsid w:val="007C2EB3"/>
    <w:pPr>
      <w:jc w:val="right"/>
    </w:pPr>
    <w:rPr>
      <w:color w:val="2F5496" w:themeColor="accent1" w:themeShade="BF"/>
      <w:kern w:val="0"/>
      <w:sz w:val="22"/>
    </w:rPr>
    <w:tblPr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  <w:color w:val="2F5496" w:themeColor="accent1" w:themeShade="BF"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  <w:color w:val="2F5496" w:themeColor="accent1" w:themeShade="BF"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  <w:color w:val="2F5496" w:themeColor="accent1" w:themeShade="BF"/>
      </w:rPr>
    </w:tblStylePr>
    <w:tblStylePr w:type="lastCol">
      <w:rPr>
        <w:b/>
        <w:bCs/>
        <w:color w:val="2F5496" w:themeColor="accent1" w:themeShade="BF"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character" w:customStyle="1" w:styleId="2">
    <w:name w:val="不明显强调2"/>
    <w:basedOn w:val="a0"/>
    <w:uiPriority w:val="19"/>
    <w:qFormat/>
    <w:rsid w:val="007C2EB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425</Words>
  <Characters>2426</Characters>
  <Application>Microsoft Office Word</Application>
  <DocSecurity>0</DocSecurity>
  <Lines>20</Lines>
  <Paragraphs>5</Paragraphs>
  <ScaleCrop>false</ScaleCrop>
  <Company/>
  <LinksUpToDate>false</LinksUpToDate>
  <CharactersWithSpaces>2846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洛丹 阿</dc:creator>
  <cp:keywords/>
  <dc:description/>
  <cp:lastModifiedBy>阿 洛丹</cp:lastModifiedBy>
  <cp:revision>15</cp:revision>
  <dcterms:created xsi:type="dcterms:W3CDTF">2018-12-26T05:08:00Z</dcterms:created>
  <dcterms:modified xsi:type="dcterms:W3CDTF">2023-10-08T08:56:00Z</dcterms:modified>
</cp:coreProperties>
</file>