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2E45" w:rsidRDefault="002517D1">
      <w:pPr>
        <w:pStyle w:val="1"/>
        <w:adjustRightInd w:val="0"/>
        <w:snapToGrid w:val="0"/>
        <w:spacing w:before="480" w:after="0" w:line="480" w:lineRule="auto"/>
        <w:jc w:val="center"/>
        <w:rPr>
          <w:rFonts w:ascii="Times New Roman" w:hAnsi="Times New Roman"/>
          <w:sz w:val="36"/>
          <w:szCs w:val="24"/>
        </w:rPr>
      </w:pPr>
      <w:r>
        <w:rPr>
          <w:rFonts w:ascii="Times New Roman" w:hAnsi="Times New Roman" w:hint="eastAsia"/>
          <w:sz w:val="36"/>
          <w:szCs w:val="24"/>
        </w:rPr>
        <w:t>Supporting Information</w:t>
      </w:r>
    </w:p>
    <w:p w:rsidR="00182E45" w:rsidRDefault="00801CE4">
      <w:pPr>
        <w:spacing w:line="360" w:lineRule="auto"/>
        <w:jc w:val="center"/>
        <w:rPr>
          <w:rFonts w:ascii="Times New Roman" w:hAnsi="Times New Roman"/>
          <w:sz w:val="28"/>
          <w:szCs w:val="28"/>
        </w:rPr>
      </w:pPr>
      <w:r w:rsidRPr="00801CE4">
        <w:rPr>
          <w:rFonts w:ascii="Times New Roman" w:hAnsi="Times New Roman"/>
          <w:sz w:val="28"/>
          <w:szCs w:val="28"/>
        </w:rPr>
        <w:t>Efficient degradation of bisphenol S by ultraviolet/persulfate oxidation in fresh and saline waters: Effects of operating conditions and reaction mechanism</w:t>
      </w:r>
    </w:p>
    <w:p w:rsidR="00182E45" w:rsidRDefault="002517D1">
      <w:pPr>
        <w:widowControl/>
        <w:spacing w:line="360" w:lineRule="auto"/>
        <w:jc w:val="left"/>
        <w:rPr>
          <w:rFonts w:ascii="Times New Roman" w:hAnsi="Times New Roman"/>
          <w:sz w:val="24"/>
          <w:szCs w:val="24"/>
        </w:rPr>
      </w:pPr>
      <w:r>
        <w:rPr>
          <w:rFonts w:ascii="Times New Roman" w:hAnsi="Times New Roman" w:hint="eastAsia"/>
          <w:sz w:val="24"/>
          <w:szCs w:val="24"/>
        </w:rPr>
        <w:t>Guoqiang Liu</w:t>
      </w:r>
      <w:bookmarkStart w:id="0" w:name="OLE_LINK76"/>
      <w:r>
        <w:rPr>
          <w:rFonts w:ascii="Times New Roman" w:hAnsi="Times New Roman" w:hint="eastAsia"/>
          <w:sz w:val="24"/>
          <w:szCs w:val="24"/>
          <w:vertAlign w:val="superscript"/>
        </w:rPr>
        <w:t>a,b</w:t>
      </w:r>
      <w:bookmarkEnd w:id="0"/>
      <w:r>
        <w:rPr>
          <w:rFonts w:ascii="Times New Roman" w:hAnsi="Times New Roman" w:hint="eastAsia"/>
          <w:sz w:val="24"/>
          <w:szCs w:val="24"/>
        </w:rPr>
        <w:t>, Kai Wu</w:t>
      </w:r>
      <w:r>
        <w:rPr>
          <w:rFonts w:ascii="Times New Roman" w:hAnsi="Times New Roman" w:hint="eastAsia"/>
          <w:sz w:val="24"/>
          <w:szCs w:val="24"/>
          <w:vertAlign w:val="superscript"/>
        </w:rPr>
        <w:t>b</w:t>
      </w:r>
      <w:r>
        <w:rPr>
          <w:rFonts w:ascii="Times New Roman" w:hAnsi="Times New Roman" w:hint="eastAsia"/>
          <w:sz w:val="24"/>
          <w:szCs w:val="24"/>
        </w:rPr>
        <w:t>, Cunliang Zhang</w:t>
      </w:r>
      <w:r>
        <w:rPr>
          <w:rFonts w:ascii="Times New Roman" w:hAnsi="Times New Roman" w:hint="eastAsia"/>
          <w:sz w:val="24"/>
          <w:szCs w:val="24"/>
          <w:vertAlign w:val="superscript"/>
        </w:rPr>
        <w:t>d</w:t>
      </w:r>
      <w:r>
        <w:rPr>
          <w:rFonts w:ascii="Times New Roman" w:hAnsi="Times New Roman" w:hint="eastAsia"/>
          <w:sz w:val="24"/>
          <w:szCs w:val="24"/>
        </w:rPr>
        <w:t>, Yuefei Ji</w:t>
      </w:r>
      <w:r>
        <w:rPr>
          <w:rFonts w:ascii="Times New Roman" w:hAnsi="Times New Roman" w:hint="eastAsia"/>
          <w:sz w:val="24"/>
          <w:szCs w:val="24"/>
          <w:vertAlign w:val="superscript"/>
        </w:rPr>
        <w:t>b</w:t>
      </w:r>
      <w:r>
        <w:rPr>
          <w:rFonts w:ascii="Times New Roman" w:hAnsi="Times New Roman" w:hint="eastAsia"/>
          <w:sz w:val="24"/>
          <w:szCs w:val="24"/>
        </w:rPr>
        <w:t>, Junhe Lu</w:t>
      </w:r>
      <w:r>
        <w:rPr>
          <w:rFonts w:ascii="Times New Roman" w:hAnsi="Times New Roman" w:hint="eastAsia"/>
          <w:sz w:val="24"/>
          <w:szCs w:val="24"/>
          <w:vertAlign w:val="superscript"/>
        </w:rPr>
        <w:t>b</w:t>
      </w:r>
      <w:r>
        <w:rPr>
          <w:rFonts w:ascii="Times New Roman" w:hAnsi="Times New Roman" w:hint="eastAsia"/>
          <w:sz w:val="24"/>
          <w:szCs w:val="24"/>
        </w:rPr>
        <w:t>, Jing Chen</w:t>
      </w:r>
      <w:r>
        <w:rPr>
          <w:rFonts w:ascii="Times New Roman" w:hAnsi="Times New Roman" w:hint="eastAsia"/>
          <w:sz w:val="24"/>
          <w:szCs w:val="24"/>
          <w:vertAlign w:val="superscript"/>
        </w:rPr>
        <w:t>b,c,</w:t>
      </w:r>
      <w:bookmarkStart w:id="1" w:name="OLE_LINK78"/>
      <w:r>
        <w:rPr>
          <w:rFonts w:ascii="Times New Roman" w:eastAsia="STIXGeneral-Regular" w:hAnsi="Times New Roman"/>
          <w:color w:val="2196D1"/>
          <w:kern w:val="0"/>
          <w:sz w:val="24"/>
          <w:szCs w:val="24"/>
          <w:vertAlign w:val="superscript"/>
          <w:lang w:bidi="ar"/>
        </w:rPr>
        <w:t>⁎</w:t>
      </w:r>
      <w:bookmarkEnd w:id="1"/>
      <w:r>
        <w:rPr>
          <w:rFonts w:ascii="Times New Roman" w:hAnsi="Times New Roman" w:hint="eastAsia"/>
          <w:sz w:val="24"/>
          <w:szCs w:val="24"/>
        </w:rPr>
        <w:t>, Deyang Kong</w:t>
      </w:r>
      <w:r>
        <w:rPr>
          <w:rFonts w:ascii="Times New Roman" w:hAnsi="Times New Roman" w:hint="eastAsia"/>
          <w:sz w:val="24"/>
          <w:szCs w:val="24"/>
          <w:vertAlign w:val="superscript"/>
        </w:rPr>
        <w:t>a,</w:t>
      </w:r>
      <w:r>
        <w:rPr>
          <w:rFonts w:ascii="Times New Roman" w:eastAsia="STIXGeneral-Regular" w:hAnsi="Times New Roman"/>
          <w:color w:val="2196D1"/>
          <w:kern w:val="0"/>
          <w:sz w:val="24"/>
          <w:szCs w:val="24"/>
          <w:vertAlign w:val="superscript"/>
          <w:lang w:bidi="ar"/>
        </w:rPr>
        <w:t>⁎</w:t>
      </w:r>
    </w:p>
    <w:p w:rsidR="00182E45" w:rsidRDefault="00182E45">
      <w:pPr>
        <w:spacing w:after="120" w:line="360" w:lineRule="auto"/>
        <w:jc w:val="center"/>
        <w:rPr>
          <w:rFonts w:ascii="Times New Roman" w:hAnsi="Times New Roman"/>
          <w:sz w:val="24"/>
          <w:szCs w:val="24"/>
          <w:vertAlign w:val="superscript"/>
        </w:rPr>
      </w:pPr>
    </w:p>
    <w:p w:rsidR="00182E45" w:rsidRDefault="002517D1">
      <w:pPr>
        <w:spacing w:after="120" w:line="360" w:lineRule="auto"/>
        <w:jc w:val="center"/>
        <w:rPr>
          <w:rFonts w:ascii="Times New Roman" w:hAnsi="Times New Roman"/>
          <w:szCs w:val="21"/>
        </w:rPr>
      </w:pPr>
      <w:r>
        <w:rPr>
          <w:rFonts w:ascii="Times New Roman" w:hAnsi="Times New Roman" w:hint="eastAsia"/>
          <w:szCs w:val="21"/>
          <w:vertAlign w:val="superscript"/>
        </w:rPr>
        <w:t>a</w:t>
      </w:r>
      <w:r>
        <w:rPr>
          <w:rFonts w:ascii="Times New Roman" w:hAnsi="Times New Roman"/>
          <w:szCs w:val="21"/>
        </w:rPr>
        <w:t xml:space="preserve"> Nanjing Institute of Environmental Sciences, Ministry of Ecology and Environment of China, Nanjing, 210042, China</w:t>
      </w:r>
    </w:p>
    <w:p w:rsidR="00182E45" w:rsidRDefault="002517D1">
      <w:pPr>
        <w:spacing w:after="120" w:line="360" w:lineRule="auto"/>
        <w:jc w:val="center"/>
        <w:rPr>
          <w:rFonts w:ascii="Times New Roman" w:hAnsi="Times New Roman"/>
          <w:szCs w:val="21"/>
        </w:rPr>
      </w:pPr>
      <w:bookmarkStart w:id="2" w:name="OLE_LINK72"/>
      <w:r>
        <w:rPr>
          <w:rFonts w:ascii="Times New Roman" w:hAnsi="Times New Roman" w:hint="eastAsia"/>
          <w:szCs w:val="21"/>
          <w:vertAlign w:val="superscript"/>
        </w:rPr>
        <w:t>b</w:t>
      </w:r>
      <w:r>
        <w:rPr>
          <w:rFonts w:ascii="Times New Roman" w:hAnsi="Times New Roman"/>
          <w:szCs w:val="21"/>
        </w:rPr>
        <w:t xml:space="preserve"> </w:t>
      </w:r>
      <w:bookmarkEnd w:id="2"/>
      <w:r>
        <w:rPr>
          <w:rFonts w:ascii="Times New Roman" w:hAnsi="Times New Roman"/>
          <w:szCs w:val="21"/>
        </w:rPr>
        <w:t>Department of Environmental Science and Engineering, Nanjing Agricultural University, Nanjing, 210095, China</w:t>
      </w:r>
    </w:p>
    <w:p w:rsidR="00182E45" w:rsidRDefault="002517D1">
      <w:pPr>
        <w:spacing w:after="120" w:line="360" w:lineRule="auto"/>
        <w:jc w:val="center"/>
        <w:rPr>
          <w:rFonts w:ascii="Times New Roman" w:hAnsi="Times New Roman"/>
          <w:szCs w:val="21"/>
        </w:rPr>
      </w:pPr>
      <w:bookmarkStart w:id="3" w:name="OLE_LINK77"/>
      <w:r>
        <w:rPr>
          <w:rFonts w:ascii="Times New Roman" w:hAnsi="Times New Roman" w:hint="eastAsia"/>
          <w:szCs w:val="21"/>
          <w:vertAlign w:val="superscript"/>
        </w:rPr>
        <w:t>c</w:t>
      </w:r>
      <w:r>
        <w:rPr>
          <w:rFonts w:ascii="Times New Roman" w:hAnsi="Times New Roman"/>
          <w:szCs w:val="21"/>
        </w:rPr>
        <w:t xml:space="preserve"> State Key Laboratory of Pollution Control and Resources Reuse, Nanjing 210023, China</w:t>
      </w:r>
    </w:p>
    <w:bookmarkEnd w:id="3"/>
    <w:p w:rsidR="00182E45" w:rsidRDefault="002517D1">
      <w:pPr>
        <w:spacing w:after="120" w:line="360" w:lineRule="auto"/>
        <w:jc w:val="center"/>
        <w:rPr>
          <w:rFonts w:ascii="Times New Roman" w:hAnsi="Times New Roman"/>
          <w:szCs w:val="21"/>
        </w:rPr>
      </w:pPr>
      <w:r>
        <w:rPr>
          <w:rFonts w:ascii="Times New Roman" w:hAnsi="Times New Roman" w:hint="eastAsia"/>
          <w:szCs w:val="21"/>
          <w:vertAlign w:val="superscript"/>
        </w:rPr>
        <w:t>d</w:t>
      </w:r>
      <w:r>
        <w:rPr>
          <w:rFonts w:ascii="Times New Roman" w:hAnsi="Times New Roman"/>
          <w:szCs w:val="21"/>
        </w:rPr>
        <w:t xml:space="preserve"> </w:t>
      </w:r>
      <w:r>
        <w:rPr>
          <w:rFonts w:ascii="Times New Roman" w:hAnsi="Times New Roman" w:hint="eastAsia"/>
          <w:szCs w:val="21"/>
        </w:rPr>
        <w:t>Shandong Provincial Eco-environment Monitoring Center</w:t>
      </w:r>
      <w:r>
        <w:rPr>
          <w:rFonts w:ascii="Times New Roman" w:hAnsi="Times New Roman"/>
          <w:szCs w:val="21"/>
        </w:rPr>
        <w:t xml:space="preserve">, </w:t>
      </w:r>
      <w:r>
        <w:rPr>
          <w:rFonts w:ascii="Times New Roman" w:hAnsi="Times New Roman" w:hint="eastAsia"/>
          <w:szCs w:val="21"/>
        </w:rPr>
        <w:t>Jinan</w:t>
      </w:r>
      <w:r>
        <w:rPr>
          <w:rFonts w:ascii="Times New Roman" w:hAnsi="Times New Roman"/>
          <w:szCs w:val="21"/>
        </w:rPr>
        <w:t xml:space="preserve"> 2</w:t>
      </w:r>
      <w:r>
        <w:rPr>
          <w:rFonts w:ascii="Times New Roman" w:hAnsi="Times New Roman" w:hint="eastAsia"/>
          <w:szCs w:val="21"/>
        </w:rPr>
        <w:t>50033</w:t>
      </w:r>
      <w:r>
        <w:rPr>
          <w:rFonts w:ascii="Times New Roman" w:hAnsi="Times New Roman"/>
          <w:szCs w:val="21"/>
        </w:rPr>
        <w:t>, China</w:t>
      </w:r>
    </w:p>
    <w:p w:rsidR="00182E45" w:rsidRDefault="00182E45">
      <w:pPr>
        <w:spacing w:after="120" w:line="360" w:lineRule="auto"/>
        <w:jc w:val="center"/>
        <w:rPr>
          <w:rFonts w:ascii="Times New Roman" w:hAnsi="Times New Roman"/>
          <w:szCs w:val="21"/>
        </w:rPr>
      </w:pPr>
    </w:p>
    <w:p w:rsidR="00182E45" w:rsidRDefault="00182E45">
      <w:pPr>
        <w:spacing w:after="120" w:line="360" w:lineRule="auto"/>
        <w:jc w:val="center"/>
        <w:rPr>
          <w:rFonts w:ascii="Times New Roman" w:hAnsi="Times New Roman"/>
          <w:sz w:val="24"/>
          <w:szCs w:val="24"/>
        </w:rPr>
      </w:pPr>
    </w:p>
    <w:p w:rsidR="00182E45" w:rsidRDefault="00182E45">
      <w:pPr>
        <w:spacing w:after="160" w:line="480" w:lineRule="auto"/>
        <w:jc w:val="center"/>
        <w:rPr>
          <w:rFonts w:ascii="Times New Roman" w:hAnsi="Times New Roman"/>
          <w:sz w:val="24"/>
          <w:szCs w:val="24"/>
        </w:rPr>
      </w:pPr>
    </w:p>
    <w:p w:rsidR="00182E45" w:rsidRDefault="00182E45">
      <w:pPr>
        <w:spacing w:after="160" w:line="480" w:lineRule="auto"/>
        <w:jc w:val="center"/>
        <w:rPr>
          <w:rFonts w:ascii="Times New Roman" w:hAnsi="Times New Roman"/>
          <w:sz w:val="24"/>
          <w:szCs w:val="24"/>
        </w:rPr>
      </w:pPr>
    </w:p>
    <w:p w:rsidR="00182E45" w:rsidRDefault="002517D1">
      <w:pPr>
        <w:spacing w:after="160" w:line="480" w:lineRule="auto"/>
        <w:jc w:val="center"/>
        <w:outlineLvl w:val="0"/>
        <w:rPr>
          <w:rFonts w:ascii="Times New Roman" w:hAnsi="Times New Roman"/>
          <w:sz w:val="24"/>
          <w:szCs w:val="24"/>
        </w:rPr>
      </w:pPr>
      <w:r>
        <w:rPr>
          <w:rFonts w:ascii="Times New Roman" w:hAnsi="Times New Roman"/>
          <w:sz w:val="24"/>
          <w:szCs w:val="24"/>
          <w:vertAlign w:val="superscript"/>
        </w:rPr>
        <w:t>*</w:t>
      </w:r>
      <w:r>
        <w:rPr>
          <w:rFonts w:ascii="Times New Roman" w:hAnsi="Times New Roman"/>
          <w:sz w:val="24"/>
          <w:szCs w:val="24"/>
        </w:rPr>
        <w:t xml:space="preserve">Corresponding author: </w:t>
      </w:r>
      <w:r>
        <w:rPr>
          <w:rFonts w:ascii="Times New Roman" w:hAnsi="Times New Roman" w:hint="eastAsia"/>
          <w:sz w:val="24"/>
          <w:szCs w:val="24"/>
        </w:rPr>
        <w:t>E</w:t>
      </w:r>
      <w:r>
        <w:rPr>
          <w:rFonts w:ascii="Times New Roman" w:hAnsi="Times New Roman"/>
          <w:sz w:val="24"/>
          <w:szCs w:val="24"/>
        </w:rPr>
        <w:t xml:space="preserve">-mail: </w:t>
      </w:r>
      <w:r>
        <w:rPr>
          <w:rFonts w:ascii="Times New Roman" w:hAnsi="Times New Roman" w:hint="eastAsia"/>
          <w:sz w:val="24"/>
          <w:szCs w:val="24"/>
        </w:rPr>
        <w:t>chenjnj2008</w:t>
      </w:r>
      <w:r>
        <w:rPr>
          <w:rFonts w:ascii="Times New Roman" w:hAnsi="Times New Roman"/>
          <w:sz w:val="24"/>
          <w:szCs w:val="24"/>
        </w:rPr>
        <w:t>@njau.edu.cn</w:t>
      </w:r>
    </w:p>
    <w:p w:rsidR="00182E45" w:rsidRDefault="002517D1">
      <w:pPr>
        <w:spacing w:after="160" w:line="480" w:lineRule="auto"/>
        <w:jc w:val="center"/>
        <w:rPr>
          <w:rFonts w:ascii="Times New Roman" w:hAnsi="Times New Roman"/>
          <w:sz w:val="24"/>
          <w:szCs w:val="24"/>
        </w:rPr>
      </w:pPr>
      <w:r>
        <w:rPr>
          <w:rFonts w:ascii="Times New Roman" w:hAnsi="Times New Roman"/>
          <w:sz w:val="24"/>
          <w:szCs w:val="24"/>
        </w:rPr>
        <w:t>Telephone: +86-25-84395164; Fax: +86-25-84395210</w:t>
      </w:r>
    </w:p>
    <w:p w:rsidR="00182E45" w:rsidRDefault="00182E45">
      <w:pPr>
        <w:adjustRightInd w:val="0"/>
        <w:snapToGrid w:val="0"/>
        <w:spacing w:line="480" w:lineRule="auto"/>
        <w:rPr>
          <w:rFonts w:ascii="Times New Roman" w:hAnsi="Times New Roman"/>
          <w:i/>
          <w:sz w:val="24"/>
          <w:szCs w:val="24"/>
        </w:rPr>
      </w:pPr>
    </w:p>
    <w:p w:rsidR="00182E45" w:rsidRDefault="00182E45">
      <w:pPr>
        <w:adjustRightInd w:val="0"/>
        <w:snapToGrid w:val="0"/>
        <w:spacing w:line="480" w:lineRule="auto"/>
        <w:rPr>
          <w:rFonts w:ascii="Times New Roman" w:hAnsi="Times New Roman"/>
          <w:b/>
          <w:bCs/>
          <w:iCs/>
          <w:sz w:val="24"/>
          <w:szCs w:val="24"/>
        </w:rPr>
      </w:pPr>
    </w:p>
    <w:p w:rsidR="00182E45" w:rsidRDefault="00182E45">
      <w:pPr>
        <w:adjustRightInd w:val="0"/>
        <w:snapToGrid w:val="0"/>
        <w:spacing w:line="480" w:lineRule="auto"/>
        <w:rPr>
          <w:rFonts w:ascii="Times New Roman" w:hAnsi="Times New Roman"/>
          <w:b/>
          <w:bCs/>
          <w:iCs/>
          <w:sz w:val="24"/>
          <w:szCs w:val="24"/>
        </w:rPr>
        <w:sectPr w:rsidR="00182E45">
          <w:footerReference w:type="default" r:id="rId6"/>
          <w:footerReference w:type="first" r:id="rId7"/>
          <w:pgSz w:w="11906" w:h="16838"/>
          <w:pgMar w:top="1440" w:right="1800" w:bottom="1440" w:left="1800" w:header="851" w:footer="992" w:gutter="0"/>
          <w:cols w:space="425"/>
          <w:titlePg/>
          <w:docGrid w:type="lines" w:linePitch="312"/>
        </w:sectPr>
      </w:pPr>
    </w:p>
    <w:p w:rsidR="00182E45" w:rsidRDefault="002517D1">
      <w:pPr>
        <w:spacing w:line="360" w:lineRule="auto"/>
        <w:rPr>
          <w:rFonts w:ascii="Times New Roman" w:hAnsi="Times New Roman"/>
          <w:sz w:val="24"/>
        </w:rPr>
      </w:pPr>
      <w:r>
        <w:rPr>
          <w:rFonts w:ascii="Times New Roman" w:hAnsi="Times New Roman" w:hint="eastAsia"/>
          <w:sz w:val="24"/>
          <w:szCs w:val="24"/>
        </w:rPr>
        <w:lastRenderedPageBreak/>
        <w:t xml:space="preserve">Text 1 </w:t>
      </w:r>
      <w:r>
        <w:rPr>
          <w:rFonts w:ascii="Times New Roman" w:hAnsi="Times New Roman"/>
          <w:sz w:val="24"/>
          <w:szCs w:val="24"/>
        </w:rPr>
        <w:t>Analytic methods</w:t>
      </w:r>
    </w:p>
    <w:p w:rsidR="00182E45" w:rsidRDefault="00182E45">
      <w:pPr>
        <w:jc w:val="left"/>
        <w:rPr>
          <w:rFonts w:ascii="Times New Roman" w:hAnsi="Times New Roman"/>
          <w:sz w:val="24"/>
          <w:szCs w:val="24"/>
        </w:rPr>
      </w:pPr>
    </w:p>
    <w:p w:rsidR="00182E45" w:rsidRPr="00F62E8E" w:rsidRDefault="002517D1">
      <w:pPr>
        <w:spacing w:line="480" w:lineRule="auto"/>
        <w:ind w:firstLineChars="200" w:firstLine="420"/>
        <w:rPr>
          <w:rFonts w:ascii="Times New Roman" w:hAnsi="Times New Roman"/>
          <w:color w:val="000000" w:themeColor="text1"/>
          <w:szCs w:val="24"/>
        </w:rPr>
      </w:pPr>
      <w:bookmarkStart w:id="4" w:name="OLE_LINK3"/>
      <w:r>
        <w:rPr>
          <w:rFonts w:ascii="Times New Roman" w:hAnsi="Times New Roman" w:hint="eastAsia"/>
          <w:szCs w:val="24"/>
        </w:rPr>
        <w:t>Soli</w:t>
      </w:r>
      <w:r>
        <w:rPr>
          <w:rFonts w:ascii="Times New Roman" w:hAnsi="Times New Roman"/>
          <w:szCs w:val="24"/>
        </w:rPr>
        <w:t>d extraction (SPE), CNWBOND LC-C</w:t>
      </w:r>
      <w:r>
        <w:rPr>
          <w:rFonts w:ascii="Times New Roman" w:hAnsi="Times New Roman" w:hint="eastAsia"/>
          <w:szCs w:val="24"/>
          <w:vertAlign w:val="subscript"/>
        </w:rPr>
        <w:t>18</w:t>
      </w:r>
      <w:r>
        <w:rPr>
          <w:rFonts w:ascii="Times New Roman" w:hAnsi="Times New Roman"/>
          <w:szCs w:val="24"/>
        </w:rPr>
        <w:t xml:space="preserve"> SPE cartridges (2.CA0955.0001, 1 g, 6 mL) (CNW, ANPEL Laboratory Technologies (</w:t>
      </w:r>
      <w:r>
        <w:rPr>
          <w:rFonts w:ascii="Times New Roman" w:hAnsi="Times New Roman" w:hint="eastAsia"/>
          <w:szCs w:val="24"/>
        </w:rPr>
        <w:t>S</w:t>
      </w:r>
      <w:r>
        <w:rPr>
          <w:rFonts w:ascii="Times New Roman" w:hAnsi="Times New Roman"/>
          <w:szCs w:val="24"/>
        </w:rPr>
        <w:t>hanghai), Int., Chi</w:t>
      </w:r>
      <w:r>
        <w:rPr>
          <w:rFonts w:ascii="Times New Roman" w:hAnsi="Times New Roman" w:hint="eastAsia"/>
          <w:szCs w:val="24"/>
        </w:rPr>
        <w:t>n</w:t>
      </w:r>
      <w:r>
        <w:rPr>
          <w:rFonts w:ascii="Times New Roman" w:hAnsi="Times New Roman"/>
          <w:szCs w:val="24"/>
        </w:rPr>
        <w:t xml:space="preserve">a), were used to concentrate sample solutions for the authentication of the reaction products according to the previous study </w:t>
      </w:r>
      <w:r w:rsidRPr="00F62E8E">
        <w:rPr>
          <w:rFonts w:ascii="Times New Roman" w:hAnsi="Times New Roman"/>
          <w:color w:val="000000" w:themeColor="text1"/>
          <w:szCs w:val="24"/>
        </w:rPr>
        <w:t xml:space="preserve">(Chen et al., </w:t>
      </w:r>
      <w:r w:rsidRPr="00F62E8E">
        <w:rPr>
          <w:rFonts w:ascii="Times New Roman" w:hAnsi="Times New Roman"/>
          <w:color w:val="0000FF"/>
          <w:szCs w:val="24"/>
        </w:rPr>
        <w:t>2016</w:t>
      </w:r>
      <w:r w:rsidRPr="00F62E8E">
        <w:rPr>
          <w:rFonts w:ascii="Times New Roman" w:hAnsi="Times New Roman" w:hint="eastAsia"/>
          <w:color w:val="0000FF"/>
          <w:szCs w:val="24"/>
        </w:rPr>
        <w:t>, 2019</w:t>
      </w:r>
      <w:r w:rsidRPr="00F62E8E">
        <w:rPr>
          <w:rFonts w:ascii="Times New Roman" w:hAnsi="Times New Roman"/>
          <w:color w:val="000000" w:themeColor="text1"/>
          <w:szCs w:val="24"/>
        </w:rPr>
        <w:t>).</w:t>
      </w:r>
      <w:bookmarkStart w:id="5" w:name="_GoBack"/>
      <w:bookmarkEnd w:id="5"/>
    </w:p>
    <w:p w:rsidR="00182E45" w:rsidRDefault="002517D1">
      <w:pPr>
        <w:spacing w:line="480" w:lineRule="auto"/>
        <w:ind w:firstLineChars="200" w:firstLine="420"/>
        <w:rPr>
          <w:rFonts w:ascii="Times New Roman" w:hAnsi="Times New Roman"/>
          <w:szCs w:val="24"/>
        </w:rPr>
        <w:sectPr w:rsidR="00182E45">
          <w:pgSz w:w="11906" w:h="16838"/>
          <w:pgMar w:top="1440" w:right="1800" w:bottom="1440" w:left="1800" w:header="851" w:footer="992" w:gutter="0"/>
          <w:cols w:space="425"/>
          <w:docGrid w:type="lines" w:linePitch="312"/>
        </w:sectPr>
      </w:pPr>
      <w:r>
        <w:rPr>
          <w:rFonts w:ascii="Times New Roman" w:hAnsi="Times New Roman"/>
          <w:szCs w:val="24"/>
        </w:rPr>
        <w:t xml:space="preserve">LC-MS analysis was </w:t>
      </w:r>
      <w:r>
        <w:rPr>
          <w:rFonts w:ascii="Times New Roman" w:hAnsi="Times New Roman" w:hint="eastAsia"/>
          <w:szCs w:val="24"/>
        </w:rPr>
        <w:t>performed</w:t>
      </w:r>
      <w:r>
        <w:rPr>
          <w:rFonts w:ascii="Times New Roman" w:hAnsi="Times New Roman"/>
          <w:szCs w:val="24"/>
        </w:rPr>
        <w:t xml:space="preserve"> by using AB Sciex HPLC system</w:t>
      </w:r>
      <w:r>
        <w:rPr>
          <w:rFonts w:ascii="Times New Roman" w:hAnsi="Times New Roman" w:hint="eastAsia"/>
          <w:szCs w:val="24"/>
        </w:rPr>
        <w:t>, e</w:t>
      </w:r>
      <w:r>
        <w:rPr>
          <w:rFonts w:ascii="Times New Roman" w:hAnsi="Times New Roman"/>
          <w:szCs w:val="24"/>
        </w:rPr>
        <w:t>quipped with a high-resolution hybrid quadrupole-time-of-flight mass spectrometer (</w:t>
      </w:r>
      <w:bookmarkStart w:id="6" w:name="OLE_LINK1"/>
      <w:bookmarkStart w:id="7" w:name="OLE_LINK2"/>
      <w:bookmarkStart w:id="8" w:name="OLE_LINK35"/>
      <w:bookmarkStart w:id="9" w:name="OLE_LINK36"/>
      <w:r>
        <w:rPr>
          <w:rFonts w:ascii="Times New Roman" w:hAnsi="Times New Roman"/>
          <w:szCs w:val="24"/>
        </w:rPr>
        <w:t>X500R QTOF</w:t>
      </w:r>
      <w:bookmarkEnd w:id="6"/>
      <w:bookmarkEnd w:id="7"/>
      <w:r>
        <w:rPr>
          <w:rFonts w:ascii="Times New Roman" w:hAnsi="Times New Roman"/>
          <w:szCs w:val="24"/>
        </w:rPr>
        <w:t xml:space="preserve">, AB Sciex, </w:t>
      </w:r>
      <w:bookmarkEnd w:id="8"/>
      <w:bookmarkEnd w:id="9"/>
      <w:r>
        <w:rPr>
          <w:rFonts w:ascii="Times New Roman" w:hAnsi="Times New Roman"/>
          <w:szCs w:val="24"/>
        </w:rPr>
        <w:t>USA).</w:t>
      </w:r>
      <w:bookmarkEnd w:id="4"/>
      <w:r>
        <w:rPr>
          <w:rFonts w:ascii="Times New Roman" w:hAnsi="Times New Roman"/>
          <w:szCs w:val="24"/>
        </w:rPr>
        <w:t xml:space="preserve"> </w:t>
      </w:r>
      <w:r>
        <w:rPr>
          <w:rFonts w:ascii="Times New Roman" w:hAnsi="Times New Roman" w:hint="eastAsia"/>
          <w:szCs w:val="24"/>
        </w:rPr>
        <w:t xml:space="preserve">An electrospray ionizer (ESI) in negative mode was acted as an ion source. </w:t>
      </w:r>
      <w:r>
        <w:rPr>
          <w:rFonts w:ascii="Times New Roman" w:hAnsi="Times New Roman"/>
          <w:szCs w:val="24"/>
        </w:rPr>
        <w:t>The analytes were separated on an Agilent ZORBAX Eclipse Plus C18 column (100 mm × 2.1 mm, 2.6 μm). The binary solvent system used was composed of 0.3% formic acid in water (A) and methanol (B) at a flow rate of 0.20 mL/min.</w:t>
      </w:r>
      <w:bookmarkStart w:id="10" w:name="_Hlk69824752"/>
      <w:r>
        <w:rPr>
          <w:rFonts w:ascii="Times New Roman" w:hAnsi="Times New Roman"/>
          <w:szCs w:val="24"/>
        </w:rPr>
        <w:t xml:space="preserve"> The gradient program was 10% B for 4 min, followed by 100% B in 11.5 min and kept for 9.5 min, then returned to 10% B in 0.5 min and equilibrated for 14.5 min. The injection volume was 10 μL. Mass spectra were set as m/z 80 - 1100 in full-scan negative electrospray ion (ESI) ionization mode. Ion source parameters were set as follows:</w:t>
      </w:r>
      <w:bookmarkEnd w:id="10"/>
      <w:r>
        <w:rPr>
          <w:rFonts w:ascii="Times New Roman" w:hAnsi="Times New Roman"/>
          <w:szCs w:val="24"/>
        </w:rPr>
        <w:t xml:space="preserve"> ionspray voltage floating, -4500 V; declustering potential, -80 V; collision energy, -10 V; temperature, 550 ℃</w:t>
      </w:r>
      <w:r>
        <w:rPr>
          <w:rFonts w:ascii="Times New Roman" w:hAnsi="Times New Roman" w:hint="eastAsia"/>
          <w:szCs w:val="24"/>
        </w:rPr>
        <w:t>;</w:t>
      </w:r>
      <w:r>
        <w:rPr>
          <w:rFonts w:ascii="Times New Roman" w:hAnsi="Times New Roman"/>
          <w:szCs w:val="24"/>
        </w:rPr>
        <w:t xml:space="preserve"> ion source gas 1, -55 psi; ion source</w:t>
      </w:r>
      <w:r>
        <w:rPr>
          <w:rFonts w:ascii="Times New Roman" w:hAnsi="Times New Roman" w:hint="eastAsia"/>
          <w:szCs w:val="24"/>
        </w:rPr>
        <w:t xml:space="preserve"> </w:t>
      </w:r>
      <w:r>
        <w:rPr>
          <w:rFonts w:ascii="Times New Roman" w:hAnsi="Times New Roman"/>
          <w:szCs w:val="24"/>
        </w:rPr>
        <w:t>gas 2, -55 psi; curtain gas, -35 psi. Nitrogen gas were used overall process. SCIEX OS program (AB Sciex) was used as the data processing software. For the purposes of identifying unknown products, the mass accuracy in this study was set at &lt;</w:t>
      </w:r>
      <w:r>
        <w:rPr>
          <w:rFonts w:ascii="Times New Roman" w:hAnsi="Times New Roman" w:hint="eastAsia"/>
          <w:szCs w:val="24"/>
        </w:rPr>
        <w:t>5</w:t>
      </w:r>
      <w:r>
        <w:rPr>
          <w:rFonts w:ascii="Times New Roman" w:hAnsi="Times New Roman"/>
          <w:szCs w:val="24"/>
        </w:rPr>
        <w:t xml:space="preserve"> ppm.</w:t>
      </w:r>
    </w:p>
    <w:p w:rsidR="00182E45" w:rsidRDefault="002517D1">
      <w:pPr>
        <w:spacing w:line="480" w:lineRule="auto"/>
        <w:ind w:firstLineChars="200" w:firstLine="420"/>
        <w:jc w:val="center"/>
      </w:pPr>
      <w:r>
        <w:rPr>
          <w:noProof/>
        </w:rPr>
        <w:lastRenderedPageBreak/>
        <w:drawing>
          <wp:inline distT="0" distB="0" distL="114300" distR="114300">
            <wp:extent cx="4057650" cy="331470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4057650" cy="3314700"/>
                    </a:xfrm>
                    <a:prstGeom prst="rect">
                      <a:avLst/>
                    </a:prstGeom>
                    <a:noFill/>
                    <a:ln>
                      <a:noFill/>
                    </a:ln>
                  </pic:spPr>
                </pic:pic>
              </a:graphicData>
            </a:graphic>
          </wp:inline>
        </w:drawing>
      </w:r>
    </w:p>
    <w:p w:rsidR="00182E45" w:rsidRDefault="002517D1">
      <w:pPr>
        <w:spacing w:line="480" w:lineRule="auto"/>
        <w:ind w:firstLineChars="200" w:firstLine="422"/>
      </w:pPr>
      <w:r>
        <w:rPr>
          <w:rFonts w:ascii="Times New Roman" w:hAnsi="Times New Roman"/>
          <w:b/>
        </w:rPr>
        <w:t>Fig. S</w:t>
      </w:r>
      <w:r>
        <w:rPr>
          <w:rFonts w:ascii="Times New Roman" w:hAnsi="Times New Roman" w:hint="eastAsia"/>
          <w:b/>
        </w:rPr>
        <w:t>1</w:t>
      </w:r>
      <w:r>
        <w:rPr>
          <w:rFonts w:ascii="Times New Roman" w:hAnsi="Times New Roman"/>
          <w:b/>
        </w:rPr>
        <w:t>.</w:t>
      </w:r>
      <w:r>
        <w:rPr>
          <w:rFonts w:ascii="Times New Roman" w:hAnsi="Times New Roman"/>
        </w:rPr>
        <w:t xml:space="preserve"> </w:t>
      </w:r>
      <w:r>
        <w:rPr>
          <w:rFonts w:ascii="Times New Roman" w:hAnsi="Times New Roman"/>
          <w:szCs w:val="18"/>
        </w:rPr>
        <w:t xml:space="preserve"> The </w:t>
      </w:r>
      <w:r>
        <w:rPr>
          <w:rFonts w:ascii="Times New Roman" w:hAnsi="Times New Roman" w:hint="eastAsia"/>
          <w:szCs w:val="18"/>
        </w:rPr>
        <w:t>ultraviolet spectra of BPS in different pH conditions.</w:t>
      </w:r>
    </w:p>
    <w:p w:rsidR="00182E45" w:rsidRDefault="00182E45">
      <w:pPr>
        <w:spacing w:line="480" w:lineRule="auto"/>
        <w:ind w:firstLineChars="200" w:firstLine="420"/>
        <w:jc w:val="center"/>
        <w:sectPr w:rsidR="00182E45">
          <w:pgSz w:w="11906" w:h="16838"/>
          <w:pgMar w:top="1440" w:right="1800" w:bottom="1440" w:left="1800" w:header="851" w:footer="992" w:gutter="0"/>
          <w:cols w:space="425"/>
          <w:docGrid w:type="lines" w:linePitch="312"/>
        </w:sectPr>
      </w:pPr>
    </w:p>
    <w:p w:rsidR="00182E45" w:rsidRDefault="00182E45">
      <w:pPr>
        <w:rPr>
          <w:rFonts w:ascii="Times New Roman" w:hAnsi="Times New Roman"/>
          <w:szCs w:val="24"/>
        </w:rPr>
      </w:pPr>
    </w:p>
    <w:p w:rsidR="00182E45" w:rsidRDefault="002517D1">
      <w:pPr>
        <w:spacing w:line="480" w:lineRule="auto"/>
        <w:ind w:firstLineChars="200" w:firstLine="420"/>
      </w:pPr>
      <w:r>
        <w:rPr>
          <w:noProof/>
        </w:rPr>
        <w:drawing>
          <wp:inline distT="0" distB="0" distL="114300" distR="114300">
            <wp:extent cx="5273040" cy="3679190"/>
            <wp:effectExtent l="0" t="0" r="3810" b="1651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a:stretch>
                      <a:fillRect/>
                    </a:stretch>
                  </pic:blipFill>
                  <pic:spPr>
                    <a:xfrm>
                      <a:off x="0" y="0"/>
                      <a:ext cx="5273040" cy="3679190"/>
                    </a:xfrm>
                    <a:prstGeom prst="rect">
                      <a:avLst/>
                    </a:prstGeom>
                    <a:noFill/>
                    <a:ln>
                      <a:noFill/>
                    </a:ln>
                  </pic:spPr>
                </pic:pic>
              </a:graphicData>
            </a:graphic>
          </wp:inline>
        </w:drawing>
      </w:r>
    </w:p>
    <w:p w:rsidR="00182E45" w:rsidRDefault="002517D1">
      <w:pPr>
        <w:spacing w:line="480" w:lineRule="auto"/>
        <w:ind w:firstLineChars="200" w:firstLine="422"/>
      </w:pPr>
      <w:r>
        <w:rPr>
          <w:rFonts w:ascii="Times New Roman" w:hAnsi="Times New Roman"/>
          <w:b/>
        </w:rPr>
        <w:t>Fig. S</w:t>
      </w:r>
      <w:r>
        <w:rPr>
          <w:rFonts w:ascii="Times New Roman" w:hAnsi="Times New Roman" w:hint="eastAsia"/>
          <w:b/>
        </w:rPr>
        <w:t>2</w:t>
      </w:r>
      <w:r>
        <w:rPr>
          <w:rFonts w:ascii="Times New Roman" w:hAnsi="Times New Roman"/>
          <w:b/>
        </w:rPr>
        <w:t>.</w:t>
      </w:r>
      <w:r>
        <w:rPr>
          <w:rFonts w:ascii="Times New Roman" w:hAnsi="Times New Roman"/>
        </w:rPr>
        <w:t xml:space="preserve"> </w:t>
      </w:r>
      <w:r>
        <w:rPr>
          <w:rFonts w:ascii="Times New Roman" w:hAnsi="Times New Roman"/>
          <w:szCs w:val="18"/>
        </w:rPr>
        <w:t xml:space="preserve"> </w:t>
      </w:r>
      <w:bookmarkStart w:id="11" w:name="OLE_LINK6"/>
      <w:r>
        <w:rPr>
          <w:rFonts w:ascii="Times New Roman" w:hAnsi="Times New Roman"/>
          <w:szCs w:val="18"/>
        </w:rPr>
        <w:t>The extracted ion chromatograms (XIC)</w:t>
      </w:r>
      <w:bookmarkEnd w:id="11"/>
      <w:r>
        <w:rPr>
          <w:rFonts w:ascii="Times New Roman" w:hAnsi="Times New Roman"/>
          <w:szCs w:val="18"/>
        </w:rPr>
        <w:t xml:space="preserve"> of </w:t>
      </w:r>
      <w:r>
        <w:rPr>
          <w:rFonts w:ascii="Times New Roman" w:hAnsi="Times New Roman" w:hint="eastAsia"/>
          <w:szCs w:val="18"/>
        </w:rPr>
        <w:t xml:space="preserve">P12 </w:t>
      </w:r>
      <w:r>
        <w:rPr>
          <w:rFonts w:ascii="Times New Roman" w:hAnsi="Times New Roman"/>
          <w:szCs w:val="18"/>
        </w:rPr>
        <w:t>(A)</w:t>
      </w:r>
      <w:r>
        <w:rPr>
          <w:rFonts w:ascii="Times New Roman" w:hAnsi="Times New Roman" w:hint="eastAsia"/>
          <w:szCs w:val="18"/>
        </w:rPr>
        <w:t xml:space="preserve"> and P15 </w:t>
      </w:r>
      <w:r>
        <w:rPr>
          <w:rFonts w:ascii="Times New Roman" w:hAnsi="Times New Roman"/>
          <w:szCs w:val="18"/>
        </w:rPr>
        <w:t>(</w:t>
      </w:r>
      <w:r>
        <w:rPr>
          <w:rFonts w:ascii="Times New Roman" w:hAnsi="Times New Roman" w:hint="eastAsia"/>
          <w:szCs w:val="18"/>
        </w:rPr>
        <w:t>B</w:t>
      </w:r>
      <w:r>
        <w:rPr>
          <w:rFonts w:ascii="Times New Roman" w:hAnsi="Times New Roman"/>
          <w:szCs w:val="18"/>
        </w:rPr>
        <w:t xml:space="preserve">) at different reaction time, (B) the </w:t>
      </w:r>
      <w:r>
        <w:rPr>
          <w:rFonts w:ascii="Times New Roman" w:hAnsi="Times New Roman" w:hint="eastAsia"/>
          <w:szCs w:val="18"/>
        </w:rPr>
        <w:t>experimental</w:t>
      </w:r>
      <w:r>
        <w:rPr>
          <w:rFonts w:ascii="Times New Roman" w:hAnsi="Times New Roman"/>
          <w:szCs w:val="18"/>
        </w:rPr>
        <w:t xml:space="preserve"> m/z value at </w:t>
      </w:r>
      <w:r>
        <w:rPr>
          <w:rFonts w:ascii="Times New Roman" w:hAnsi="Times New Roman" w:hint="eastAsia"/>
          <w:szCs w:val="18"/>
        </w:rPr>
        <w:t xml:space="preserve">265.01 </w:t>
      </w:r>
      <w:r>
        <w:rPr>
          <w:rFonts w:ascii="Times New Roman" w:hAnsi="Times New Roman"/>
          <w:szCs w:val="18"/>
        </w:rPr>
        <w:t xml:space="preserve">of </w:t>
      </w:r>
      <w:r>
        <w:rPr>
          <w:rFonts w:ascii="Times New Roman" w:hAnsi="Times New Roman" w:hint="eastAsia"/>
          <w:szCs w:val="18"/>
        </w:rPr>
        <w:t xml:space="preserve">P12 </w:t>
      </w:r>
      <w:r>
        <w:rPr>
          <w:rFonts w:ascii="Times New Roman" w:hAnsi="Times New Roman"/>
          <w:szCs w:val="18"/>
        </w:rPr>
        <w:t>(</w:t>
      </w:r>
      <w:r>
        <w:rPr>
          <w:rFonts w:ascii="Times New Roman" w:hAnsi="Times New Roman" w:hint="eastAsia"/>
          <w:szCs w:val="18"/>
        </w:rPr>
        <w:t>C</w:t>
      </w:r>
      <w:r>
        <w:rPr>
          <w:rFonts w:ascii="Times New Roman" w:hAnsi="Times New Roman"/>
          <w:szCs w:val="18"/>
        </w:rPr>
        <w:t>)</w:t>
      </w:r>
      <w:r>
        <w:rPr>
          <w:rFonts w:ascii="Times New Roman" w:hAnsi="Times New Roman" w:hint="eastAsia"/>
          <w:szCs w:val="18"/>
        </w:rPr>
        <w:t xml:space="preserve"> and P15 </w:t>
      </w:r>
      <w:r>
        <w:rPr>
          <w:rFonts w:ascii="Times New Roman" w:hAnsi="Times New Roman"/>
          <w:szCs w:val="18"/>
        </w:rPr>
        <w:t>(</w:t>
      </w:r>
      <w:r>
        <w:rPr>
          <w:rFonts w:ascii="Times New Roman" w:hAnsi="Times New Roman" w:hint="eastAsia"/>
          <w:szCs w:val="18"/>
        </w:rPr>
        <w:t>D</w:t>
      </w:r>
      <w:r>
        <w:rPr>
          <w:rFonts w:ascii="Times New Roman" w:hAnsi="Times New Roman"/>
          <w:szCs w:val="18"/>
        </w:rPr>
        <w:t>)</w:t>
      </w:r>
      <w:r>
        <w:rPr>
          <w:rFonts w:ascii="Times New Roman" w:hAnsi="Times New Roman" w:hint="eastAsia"/>
          <w:szCs w:val="18"/>
        </w:rPr>
        <w:t>.</w:t>
      </w:r>
    </w:p>
    <w:p w:rsidR="00182E45" w:rsidRDefault="002517D1">
      <w:pPr>
        <w:rPr>
          <w:rFonts w:ascii="Times New Roman" w:hAnsi="Times New Roman"/>
          <w:szCs w:val="24"/>
        </w:rPr>
      </w:pPr>
      <w:r>
        <w:rPr>
          <w:rFonts w:ascii="Times New Roman" w:hAnsi="Times New Roman"/>
          <w:szCs w:val="24"/>
        </w:rPr>
        <w:br w:type="page"/>
      </w:r>
    </w:p>
    <w:p w:rsidR="00182E45" w:rsidRDefault="002517D1">
      <w:pPr>
        <w:rPr>
          <w:rFonts w:ascii="Times New Roman" w:hAnsi="Times New Roman"/>
          <w:b/>
        </w:rPr>
      </w:pPr>
      <w:r>
        <w:rPr>
          <w:rFonts w:ascii="Times New Roman" w:hAnsi="Times New Roman"/>
          <w:b/>
        </w:rPr>
        <w:lastRenderedPageBreak/>
        <w:t>Supplementary References</w:t>
      </w:r>
    </w:p>
    <w:p w:rsidR="00182E45" w:rsidRDefault="002517D1">
      <w:pPr>
        <w:spacing w:line="360" w:lineRule="auto"/>
        <w:ind w:left="420" w:hangingChars="200" w:hanging="420"/>
        <w:rPr>
          <w:rFonts w:ascii="Times New Roman" w:hAnsi="Times New Roman"/>
          <w:szCs w:val="21"/>
          <w:shd w:val="clear" w:color="auto" w:fill="FFFFFF"/>
        </w:rPr>
      </w:pPr>
      <w:r>
        <w:rPr>
          <w:rFonts w:ascii="Times New Roman" w:hAnsi="Times New Roman"/>
          <w:szCs w:val="21"/>
          <w:shd w:val="clear" w:color="auto" w:fill="FFFFFF"/>
        </w:rPr>
        <w:t>Chen, J., Qi, Y., Pan, X., Wu, N., Zuo, J., Li, C., Qu, R., Wang, Z., Chen, Z., 2019. Mechanistic insights into the reactivity of Ferrate(VI) with phenolic compounds and the formation of coupling products. Water Res. 158, 338-349.</w:t>
      </w:r>
    </w:p>
    <w:p w:rsidR="00182E45" w:rsidRDefault="002517D1">
      <w:pPr>
        <w:spacing w:line="360" w:lineRule="auto"/>
        <w:ind w:left="420" w:hangingChars="200" w:hanging="420"/>
        <w:rPr>
          <w:rFonts w:ascii="Times New Roman" w:hAnsi="Times New Roman"/>
          <w:szCs w:val="21"/>
        </w:rPr>
      </w:pPr>
      <w:r>
        <w:rPr>
          <w:rFonts w:ascii="Times New Roman" w:hAnsi="Times New Roman"/>
          <w:szCs w:val="21"/>
        </w:rPr>
        <w:t>Chen, J., Qu, R., Pan, X., Wang, Z., 2016. Oxidative degradation of triclosan by potassium</w:t>
      </w:r>
      <w:r>
        <w:rPr>
          <w:rFonts w:ascii="微软雅黑" w:hAnsi="微软雅黑" w:hint="eastAsia"/>
          <w:szCs w:val="21"/>
          <w:shd w:val="clear" w:color="auto" w:fill="FFFFFF"/>
        </w:rPr>
        <w:t xml:space="preserve"> </w:t>
      </w:r>
      <w:r>
        <w:rPr>
          <w:rFonts w:ascii="Times New Roman" w:hAnsi="Times New Roman"/>
          <w:szCs w:val="21"/>
        </w:rPr>
        <w:t>permanganate: kinetics, degradation products, reaction mechanism, and toxicity evaluation. Water Res. 103, 215-223.</w:t>
      </w:r>
    </w:p>
    <w:p w:rsidR="00182E45" w:rsidRDefault="00182E45">
      <w:pPr>
        <w:spacing w:line="480" w:lineRule="auto"/>
        <w:ind w:firstLineChars="100" w:firstLine="210"/>
        <w:rPr>
          <w:rFonts w:ascii="Times New Roman" w:hAnsi="Times New Roman"/>
          <w:szCs w:val="24"/>
        </w:rPr>
      </w:pPr>
    </w:p>
    <w:p w:rsidR="00182E45" w:rsidRDefault="00182E45">
      <w:pPr>
        <w:adjustRightInd w:val="0"/>
        <w:snapToGrid w:val="0"/>
        <w:spacing w:line="480" w:lineRule="auto"/>
        <w:rPr>
          <w:rFonts w:ascii="Times New Roman" w:hAnsi="Times New Roman"/>
          <w:b/>
          <w:sz w:val="24"/>
          <w:szCs w:val="24"/>
        </w:rPr>
      </w:pPr>
    </w:p>
    <w:sectPr w:rsidR="00182E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1B45" w:rsidRDefault="00841B45">
      <w:r>
        <w:separator/>
      </w:r>
    </w:p>
  </w:endnote>
  <w:endnote w:type="continuationSeparator" w:id="0">
    <w:p w:rsidR="00841B45" w:rsidRDefault="00841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TIXGeneral-Regular">
    <w:altName w:val="Segoe Print"/>
    <w:charset w:val="00"/>
    <w:family w:val="auto"/>
    <w:pitch w:val="default"/>
  </w:font>
  <w:font w:name="Arial Unicode MS">
    <w:panose1 w:val="020B0604020202020204"/>
    <w:charset w:val="00"/>
    <w:family w:val="roman"/>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2E45" w:rsidRDefault="002517D1">
    <w:pPr>
      <w:pStyle w:val="a3"/>
      <w:jc w:val="center"/>
      <w:rPr>
        <w:rFonts w:ascii="Times New Roman" w:eastAsia="Arial Unicode MS" w:hAnsi="Times New Roman"/>
      </w:rPr>
    </w:pPr>
    <w:r>
      <w:rPr>
        <w:rFonts w:ascii="Times New Roman" w:eastAsia="Arial Unicode MS" w:hAnsi="Times New Roman"/>
      </w:rPr>
      <w:t>S</w:t>
    </w:r>
    <w:r>
      <w:rPr>
        <w:rFonts w:ascii="Times New Roman" w:eastAsia="Arial Unicode MS" w:hAnsi="Times New Roman"/>
      </w:rPr>
      <w:fldChar w:fldCharType="begin"/>
    </w:r>
    <w:r>
      <w:rPr>
        <w:rFonts w:ascii="Times New Roman" w:eastAsia="Arial Unicode MS" w:hAnsi="Times New Roman"/>
      </w:rPr>
      <w:instrText xml:space="preserve"> PAGE   \* MERGEFORMAT </w:instrText>
    </w:r>
    <w:r>
      <w:rPr>
        <w:rFonts w:ascii="Times New Roman" w:eastAsia="Arial Unicode MS" w:hAnsi="Times New Roman"/>
      </w:rPr>
      <w:fldChar w:fldCharType="separate"/>
    </w:r>
    <w:r>
      <w:rPr>
        <w:rFonts w:ascii="Times New Roman" w:eastAsia="Arial Unicode MS" w:hAnsi="Times New Roman"/>
      </w:rPr>
      <w:t>5</w:t>
    </w:r>
    <w:r>
      <w:rPr>
        <w:rFonts w:ascii="Times New Roman" w:eastAsia="Arial Unicode MS"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2E45" w:rsidRDefault="002517D1">
    <w:pPr>
      <w:pStyle w:val="a3"/>
      <w:jc w:val="center"/>
      <w:rPr>
        <w:rFonts w:ascii="Times New Roman" w:eastAsia="Arial Unicode MS" w:hAnsi="Times New Roman"/>
      </w:rPr>
    </w:pPr>
    <w:r>
      <w:rPr>
        <w:rFonts w:ascii="Times New Roman" w:eastAsia="Arial Unicode MS" w:hAnsi="Times New Roman" w:hint="eastAsia"/>
      </w:rPr>
      <w:t>S1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1B45" w:rsidRDefault="00841B45">
      <w:r>
        <w:separator/>
      </w:r>
    </w:p>
  </w:footnote>
  <w:footnote w:type="continuationSeparator" w:id="0">
    <w:p w:rsidR="00841B45" w:rsidRDefault="00841B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Y0MzQwNDM3NzMyOTAwZGViMTFjZmY0M2U4NTllMzgifQ=="/>
  </w:docVars>
  <w:rsids>
    <w:rsidRoot w:val="0034769E"/>
    <w:rsid w:val="00182E45"/>
    <w:rsid w:val="002517D1"/>
    <w:rsid w:val="0034769E"/>
    <w:rsid w:val="004A5E36"/>
    <w:rsid w:val="006C1E74"/>
    <w:rsid w:val="00740F9B"/>
    <w:rsid w:val="00771663"/>
    <w:rsid w:val="00801CE4"/>
    <w:rsid w:val="00841B45"/>
    <w:rsid w:val="00877EBF"/>
    <w:rsid w:val="009365D4"/>
    <w:rsid w:val="00980B79"/>
    <w:rsid w:val="00F62E8E"/>
    <w:rsid w:val="00FC746C"/>
    <w:rsid w:val="01891ED7"/>
    <w:rsid w:val="1AD748C6"/>
    <w:rsid w:val="380262B9"/>
    <w:rsid w:val="431011C1"/>
    <w:rsid w:val="45374C79"/>
    <w:rsid w:val="55C92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E06974A-4C0E-4158-B450-33F39394E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paragraph" w:styleId="1">
    <w:name w:val="heading 1"/>
    <w:basedOn w:val="a"/>
    <w:next w:val="a"/>
    <w:link w:val="11"/>
    <w:uiPriority w:val="9"/>
    <w:qFormat/>
    <w:pPr>
      <w:keepNext/>
      <w:keepLines/>
      <w:spacing w:before="340" w:after="330" w:line="578" w:lineRule="auto"/>
      <w:outlineLvl w:val="0"/>
    </w:pPr>
    <w:rPr>
      <w:b/>
      <w:bCs/>
      <w:kern w:val="44"/>
      <w:sz w:val="44"/>
      <w:szCs w:val="4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10"/>
    <w:uiPriority w:val="99"/>
    <w:unhideWhenUsed/>
    <w:qFormat/>
    <w:pPr>
      <w:tabs>
        <w:tab w:val="center" w:pos="4153"/>
        <w:tab w:val="right" w:pos="8306"/>
      </w:tabs>
      <w:snapToGrid w:val="0"/>
      <w:jc w:val="left"/>
    </w:pPr>
    <w:rPr>
      <w:kern w:val="0"/>
      <w:sz w:val="18"/>
      <w:szCs w:val="18"/>
      <w:lang w:val="zh-CN"/>
    </w:rPr>
  </w:style>
  <w:style w:type="paragraph" w:styleId="a4">
    <w:name w:val="header"/>
    <w:basedOn w:val="a"/>
    <w:link w:val="a5"/>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12">
    <w:name w:val="标题 1 字符"/>
    <w:basedOn w:val="a0"/>
    <w:uiPriority w:val="9"/>
    <w:qFormat/>
    <w:rPr>
      <w:rFonts w:ascii="Calibri" w:eastAsia="宋体" w:hAnsi="Calibri" w:cs="Times New Roman"/>
      <w:b/>
      <w:bCs/>
      <w:kern w:val="44"/>
      <w:sz w:val="44"/>
      <w:szCs w:val="44"/>
    </w:rPr>
  </w:style>
  <w:style w:type="character" w:customStyle="1" w:styleId="a6">
    <w:name w:val="页脚 字符"/>
    <w:basedOn w:val="a0"/>
    <w:uiPriority w:val="99"/>
    <w:semiHidden/>
    <w:qFormat/>
    <w:rPr>
      <w:rFonts w:ascii="Calibri" w:eastAsia="宋体" w:hAnsi="Calibri" w:cs="Times New Roman"/>
      <w:sz w:val="18"/>
      <w:szCs w:val="18"/>
    </w:rPr>
  </w:style>
  <w:style w:type="character" w:customStyle="1" w:styleId="10">
    <w:name w:val="页脚 字符1"/>
    <w:link w:val="a3"/>
    <w:uiPriority w:val="99"/>
    <w:qFormat/>
    <w:rPr>
      <w:rFonts w:ascii="Calibri" w:eastAsia="宋体" w:hAnsi="Calibri" w:cs="Times New Roman"/>
      <w:kern w:val="0"/>
      <w:sz w:val="18"/>
      <w:szCs w:val="18"/>
      <w:lang w:val="zh-CN" w:eastAsia="zh-CN"/>
    </w:rPr>
  </w:style>
  <w:style w:type="character" w:customStyle="1" w:styleId="11">
    <w:name w:val="标题 1 字符1"/>
    <w:link w:val="1"/>
    <w:uiPriority w:val="9"/>
    <w:qFormat/>
    <w:rPr>
      <w:rFonts w:ascii="Calibri" w:eastAsia="宋体" w:hAnsi="Calibri" w:cs="Times New Roman"/>
      <w:b/>
      <w:bCs/>
      <w:kern w:val="44"/>
      <w:sz w:val="44"/>
      <w:szCs w:val="44"/>
      <w:lang w:val="zh-CN" w:eastAsia="zh-CN"/>
    </w:rPr>
  </w:style>
  <w:style w:type="character" w:customStyle="1" w:styleId="a5">
    <w:name w:val="页眉 字符"/>
    <w:basedOn w:val="a0"/>
    <w:link w:val="a4"/>
    <w:uiPriority w:val="99"/>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449</Words>
  <Characters>2560</Characters>
  <Application>Microsoft Office Word</Application>
  <DocSecurity>0</DocSecurity>
  <Lines>21</Lines>
  <Paragraphs>6</Paragraphs>
  <ScaleCrop>false</ScaleCrop>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孟 亮</dc:creator>
  <cp:lastModifiedBy>陈 静</cp:lastModifiedBy>
  <cp:revision>8</cp:revision>
  <dcterms:created xsi:type="dcterms:W3CDTF">2021-06-24T16:10:00Z</dcterms:created>
  <dcterms:modified xsi:type="dcterms:W3CDTF">2023-10-08T07:58:00Z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8A6479345D204A148F759D88E3625AFD</vt:lpwstr>
  </property>
</Properties>
</file>