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GoBack"/>
      <w:bookmarkEnd w:id="2"/>
      <w:r>
        <w:rPr>
          <w:rFonts w:ascii="Times New Roman" w:hAnsi="Times New Roman" w:cs="Times New Roman"/>
          <w:b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Supporting information</w:t>
      </w:r>
    </w:p>
    <w:p>
      <w:pPr>
        <w:spacing w:line="480" w:lineRule="auto"/>
        <w:jc w:val="center"/>
        <w:rPr>
          <w:rFonts w:ascii="Times New Roman" w:hAnsi="Times New Roman" w:cs="Times New Roman"/>
          <w:b w:val="0"/>
          <w:bCs/>
          <w:kern w:val="0"/>
          <w:sz w:val="30"/>
          <w:szCs w:val="30"/>
        </w:rPr>
      </w:pPr>
      <w:r>
        <w:rPr>
          <w:rFonts w:ascii="Times New Roman" w:hAnsi="Times New Roman" w:cs="Times New Roman"/>
          <w:b w:val="0"/>
          <w:bCs/>
          <w:i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Computer-aided rational design strategy based on protein surface charge to improve the thermal stability of a novel esterase from </w:t>
      </w:r>
      <w:r>
        <w:rPr>
          <w:rFonts w:ascii="Times New Roman" w:hAnsi="Times New Roman" w:cs="Times New Roman"/>
          <w:b w:val="0"/>
          <w:bCs/>
          <w:i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Geobacillus jurassicus</w:t>
      </w:r>
    </w:p>
    <w:p>
      <w:pPr>
        <w:autoSpaceDE w:val="0"/>
        <w:autoSpaceDN w:val="0"/>
        <w:adjustRightInd w:val="0"/>
        <w:spacing w:line="480" w:lineRule="auto"/>
        <w:ind w:right="-483" w:rightChars="-230"/>
        <w:jc w:val="center"/>
        <w:rPr>
          <w:rFonts w:ascii="Times New Roman" w:hAnsi="Times New Roman" w:cs="Times New Roman"/>
          <w:bCs/>
          <w:szCs w:val="24"/>
        </w:rPr>
      </w:pPr>
    </w:p>
    <w:p>
      <w:pPr>
        <w:autoSpaceDE w:val="0"/>
        <w:autoSpaceDN w:val="0"/>
        <w:adjustRightInd w:val="0"/>
        <w:spacing w:line="480" w:lineRule="auto"/>
        <w:ind w:right="-483" w:rightChars="-230"/>
        <w:jc w:val="center"/>
        <w:rPr>
          <w:rFonts w:ascii="Times New Roman" w:hAnsi="Times New Roman" w:cs="Times New Roman"/>
          <w:color w:val="000000"/>
          <w:szCs w:val="24"/>
          <w:vertAlign w:val="superscript"/>
        </w:rPr>
      </w:pPr>
      <w:r>
        <w:rPr>
          <w:rFonts w:ascii="Times New Roman" w:hAnsi="Times New Roman" w:cs="Times New Roman"/>
          <w:bCs/>
          <w:szCs w:val="24"/>
        </w:rPr>
        <w:t>Runfei Song</w:t>
      </w:r>
      <w:r>
        <w:rPr>
          <w:rFonts w:ascii="Times New Roman" w:hAnsi="Times New Roman" w:cs="Times New Roman"/>
          <w:bCs/>
          <w:color w:val="000000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4"/>
        </w:rPr>
        <w:t>, Jin Zhang</w:t>
      </w:r>
      <w:r>
        <w:rPr>
          <w:rFonts w:ascii="Times New Roman" w:hAnsi="Times New Roman" w:cs="Times New Roman"/>
          <w:color w:val="000000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4"/>
        </w:rPr>
        <w:t>, Mengyu Zhu</w:t>
      </w:r>
      <w:r>
        <w:rPr>
          <w:rFonts w:ascii="Times New Roman" w:hAnsi="Times New Roman" w:cs="Times New Roman"/>
          <w:color w:val="000000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4"/>
        </w:rPr>
        <w:t>, Lin Lin</w:t>
      </w:r>
      <w:r>
        <w:rPr>
          <w:rFonts w:ascii="Times New Roman" w:hAnsi="Times New Roman" w:cs="Times New Roman"/>
          <w:color w:val="000000"/>
          <w:szCs w:val="24"/>
          <w:vertAlign w:val="superscript"/>
        </w:rPr>
        <w:t>2,3</w:t>
      </w:r>
      <w:r>
        <w:rPr>
          <w:rFonts w:ascii="Times New Roman" w:hAnsi="Times New Roman" w:cs="Times New Roman"/>
          <w:color w:val="000000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>Wei Wei</w:t>
      </w:r>
      <w:r>
        <w:rPr>
          <w:rFonts w:ascii="Times New Roman" w:hAnsi="Times New Roman" w:cs="Times New Roman"/>
          <w:bCs/>
          <w:color w:val="000000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Cs w:val="24"/>
        </w:rPr>
        <w:t>*</w:t>
      </w:r>
      <w:r>
        <w:rPr>
          <w:rFonts w:ascii="Times New Roman" w:hAnsi="Times New Roman" w:cs="Times New Roman"/>
          <w:color w:val="000000"/>
          <w:szCs w:val="24"/>
        </w:rPr>
        <w:t>, Dongzhi Wei</w:t>
      </w:r>
      <w:r>
        <w:rPr>
          <w:rFonts w:ascii="Times New Roman" w:hAnsi="Times New Roman" w:cs="Times New Roman"/>
          <w:color w:val="000000"/>
          <w:szCs w:val="24"/>
          <w:vertAlign w:val="superscript"/>
        </w:rPr>
        <w:t>1</w:t>
      </w:r>
    </w:p>
    <w:p>
      <w:pPr>
        <w:autoSpaceDE w:val="0"/>
        <w:autoSpaceDN w:val="0"/>
        <w:adjustRightInd w:val="0"/>
        <w:spacing w:line="480" w:lineRule="auto"/>
        <w:ind w:right="-483" w:rightChars="-230"/>
        <w:jc w:val="center"/>
        <w:rPr>
          <w:rFonts w:ascii="Times New Roman" w:hAnsi="Times New Roman" w:cs="Times New Roman"/>
          <w:bCs/>
          <w:szCs w:val="24"/>
        </w:rPr>
      </w:pPr>
    </w:p>
    <w:p>
      <w:pPr>
        <w:pStyle w:val="17"/>
        <w:spacing w:line="480" w:lineRule="auto"/>
        <w:ind w:left="15" w:leftChars="7"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vertAlign w:val="superscript"/>
        </w:rPr>
        <w:t>1</w:t>
      </w:r>
      <w:r>
        <w:rPr>
          <w:rFonts w:ascii="Times New Roman" w:hAnsi="Times New Roman"/>
          <w:sz w:val="21"/>
          <w:szCs w:val="21"/>
        </w:rPr>
        <w:t>State Key Laboratory of Bioreactor Engineering, Newworld Institute of Biotechnology, East China University of</w:t>
      </w:r>
      <w:r>
        <w:rPr>
          <w:rFonts w:ascii="Times New Roman" w:hAnsi="Times New Roman" w:eastAsiaTheme="minor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Science and Technology, Shanghai 200237, People’s Republic of China</w:t>
      </w:r>
    </w:p>
    <w:p>
      <w:pPr>
        <w:pStyle w:val="17"/>
        <w:spacing w:line="480" w:lineRule="auto"/>
        <w:ind w:left="17" w:leftChars="8"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vertAlign w:val="superscript"/>
        </w:rPr>
        <w:t>2</w:t>
      </w:r>
      <w:r>
        <w:rPr>
          <w:rFonts w:ascii="Times New Roman" w:hAnsi="Times New Roman"/>
          <w:sz w:val="21"/>
          <w:szCs w:val="21"/>
        </w:rPr>
        <w:t>School of Chemical and Environmental Engineering, Shanghai Institute of Technology, Shanghai 201418, People’s Republic of China</w:t>
      </w:r>
    </w:p>
    <w:p>
      <w:pPr>
        <w:pStyle w:val="17"/>
        <w:spacing w:line="480" w:lineRule="auto"/>
        <w:ind w:left="15" w:leftChars="7"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vertAlign w:val="superscript"/>
        </w:rPr>
        <w:t>3</w:t>
      </w:r>
      <w:r>
        <w:rPr>
          <w:rFonts w:ascii="Times New Roman" w:hAnsi="Times New Roman"/>
          <w:sz w:val="21"/>
          <w:szCs w:val="21"/>
        </w:rPr>
        <w:t>Research Laboratory for Functional Nanomaterial, National Engineering Research Center for Nanotechnology,</w:t>
      </w:r>
      <w:r>
        <w:rPr>
          <w:rFonts w:ascii="Times New Roman" w:hAnsi="Times New Roman" w:eastAsiaTheme="minor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Shanghai 200241, People’s Republic of China</w:t>
      </w:r>
    </w:p>
    <w:p>
      <w:pPr>
        <w:pStyle w:val="17"/>
        <w:spacing w:line="480" w:lineRule="auto"/>
        <w:ind w:left="15" w:firstLine="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* C</w:t>
      </w:r>
      <w:r>
        <w:rPr>
          <w:rFonts w:ascii="Times New Roman" w:hAnsi="Times New Roman"/>
          <w:sz w:val="21"/>
          <w:szCs w:val="21"/>
        </w:rPr>
        <w:t>orresponding author:</w:t>
      </w:r>
    </w:p>
    <w:p>
      <w:pPr>
        <w:pStyle w:val="17"/>
        <w:spacing w:line="480" w:lineRule="auto"/>
        <w:ind w:left="15" w:firstLine="0"/>
        <w:jc w:val="both"/>
        <w:rPr>
          <w:rFonts w:ascii="Times New Roman" w:hAnsi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t>W</w:t>
      </w:r>
      <w:r>
        <w:rPr>
          <w:rFonts w:ascii="Times New Roman" w:hAnsi="Times New Roman" w:eastAsiaTheme="minorEastAsia"/>
          <w:sz w:val="21"/>
          <w:szCs w:val="21"/>
          <w:lang w:eastAsia="zh-CN"/>
        </w:rPr>
        <w:t xml:space="preserve">ei Wei: Newworld Institute of Biotechnology, State Key Laboratory of Bioreactor Engineering, East </w:t>
      </w: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t>C</w:t>
      </w:r>
      <w:r>
        <w:rPr>
          <w:rFonts w:ascii="Times New Roman" w:hAnsi="Times New Roman" w:eastAsiaTheme="minorEastAsia"/>
          <w:sz w:val="21"/>
          <w:szCs w:val="21"/>
          <w:lang w:eastAsia="zh-CN"/>
        </w:rPr>
        <w:t xml:space="preserve">hina University of Science and Technology, 130 Meilong Road, 200237, Shanghai, China. Tel: +86-21-64251803, Fax: +86-21-64251803, Email: </w:t>
      </w:r>
      <w:r>
        <w:fldChar w:fldCharType="begin"/>
      </w:r>
      <w:r>
        <w:instrText xml:space="preserve"> HYPERLINK "mailto:weiwei@ecust.edu.cn" </w:instrText>
      </w:r>
      <w:r>
        <w:fldChar w:fldCharType="separate"/>
      </w:r>
      <w:r>
        <w:rPr>
          <w:rStyle w:val="9"/>
          <w:rFonts w:ascii="Times New Roman" w:hAnsi="Times New Roman" w:eastAsiaTheme="minorEastAsia"/>
          <w:sz w:val="21"/>
          <w:szCs w:val="21"/>
          <w:lang w:eastAsia="zh-CN"/>
        </w:rPr>
        <w:t>weiwei@ecust.edu.cn</w:t>
      </w:r>
      <w:r>
        <w:rPr>
          <w:rStyle w:val="9"/>
          <w:rFonts w:ascii="Times New Roman" w:hAnsi="Times New Roman" w:eastAsiaTheme="minorEastAsia"/>
          <w:sz w:val="21"/>
          <w:szCs w:val="21"/>
          <w:lang w:eastAsia="zh-CN"/>
        </w:rPr>
        <w:fldChar w:fldCharType="end"/>
      </w:r>
    </w:p>
    <w:p>
      <w:pPr>
        <w:spacing w:line="480" w:lineRule="auto"/>
        <w:jc w:val="center"/>
        <w:rPr>
          <w:rFonts w:hint="eastAsia" w:ascii="Times New Roman" w:hAnsi="Times New Roman" w:cs="Times New Roman"/>
          <w:b/>
          <w:kern w:val="0"/>
          <w:szCs w:val="24"/>
        </w:rPr>
      </w:pPr>
      <w:r>
        <w:rPr>
          <w:rFonts w:ascii="Times New Roman" w:hAnsi="Times New Roman" w:cs="Times New Roman"/>
          <w:b/>
          <w:kern w:val="0"/>
          <w:szCs w:val="24"/>
        </w:rPr>
        <w:br w:type="page"/>
      </w:r>
    </w:p>
    <w:p>
      <w:pPr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b/>
          <w:kern w:val="0"/>
          <w:szCs w:val="24"/>
        </w:rPr>
        <w:t>Table S1</w:t>
      </w:r>
      <w:r>
        <w:rPr>
          <w:rFonts w:hint="eastAsia" w:ascii="Times New Roman" w:hAnsi="Times New Roman" w:cs="Times New Roman"/>
          <w:b/>
          <w:kern w:val="0"/>
          <w:szCs w:val="24"/>
        </w:rPr>
        <w:t>.</w:t>
      </w:r>
      <w:r>
        <w:rPr>
          <w:rFonts w:ascii="Times New Roman" w:hAnsi="Times New Roman" w:cs="Times New Roman"/>
          <w:b/>
          <w:kern w:val="0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Cs w:val="24"/>
        </w:rPr>
        <w:t>The strains and plasmids used in this study.</w:t>
      </w:r>
    </w:p>
    <w:tbl>
      <w:tblPr>
        <w:tblStyle w:val="7"/>
        <w:tblW w:w="836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4442"/>
        <w:gridCol w:w="176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Strains and plasmids</w:t>
            </w:r>
          </w:p>
        </w:tc>
        <w:tc>
          <w:tcPr>
            <w:tcW w:w="446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Relevant features</w:t>
            </w:r>
          </w:p>
        </w:tc>
        <w:tc>
          <w:tcPr>
            <w:tcW w:w="177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Source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12" w:space="0"/>
            </w:tcBorders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Strains</w:t>
            </w:r>
          </w:p>
        </w:tc>
        <w:tc>
          <w:tcPr>
            <w:tcW w:w="4463" w:type="dxa"/>
            <w:tcBorders>
              <w:top w:val="single" w:color="auto" w:sz="12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12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1C1D1E"/>
                <w:kern w:val="0"/>
                <w:sz w:val="21"/>
                <w:szCs w:val="21"/>
                <w:shd w:val="clear" w:color="auto" w:fill="FFFFFF"/>
              </w:rPr>
              <w:t>Geobacillus jurassicus</w:t>
            </w:r>
            <w:r>
              <w:rPr>
                <w:rFonts w:ascii="Times New Roman" w:hAnsi="Times New Roman" w:eastAsia="宋体" w:cs="Times New Roman"/>
                <w:color w:val="1C1D1E"/>
                <w:kern w:val="0"/>
                <w:sz w:val="21"/>
                <w:szCs w:val="21"/>
                <w:shd w:val="clear" w:color="auto" w:fill="FFFFFF"/>
              </w:rPr>
              <w:t xml:space="preserve"> DSMZ 15726</w:t>
            </w:r>
          </w:p>
        </w:tc>
        <w:tc>
          <w:tcPr>
            <w:tcW w:w="44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Original strain</w:t>
            </w:r>
          </w:p>
        </w:tc>
        <w:tc>
          <w:tcPr>
            <w:tcW w:w="177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Laboratory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pStyle w:val="13"/>
              <w:spacing w:line="276" w:lineRule="auto"/>
              <w:jc w:val="center"/>
              <w:rPr>
                <w:rFonts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i/>
                <w:iCs/>
                <w:kern w:val="0"/>
                <w:sz w:val="21"/>
                <w:szCs w:val="21"/>
              </w:rPr>
              <w:t xml:space="preserve">E. coli </w:t>
            </w:r>
            <w:r>
              <w:rPr>
                <w:rFonts w:cs="Times New Roman" w:eastAsiaTheme="minorEastAsia"/>
                <w:kern w:val="0"/>
                <w:sz w:val="21"/>
                <w:szCs w:val="21"/>
              </w:rPr>
              <w:t>(DH5α)</w:t>
            </w:r>
          </w:p>
        </w:tc>
        <w:tc>
          <w:tcPr>
            <w:tcW w:w="44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ψ80lacZΔM15Δ (lacZYA-argF) U169 endA1 recA1 hsdR17 (rk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, mk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) supE44λ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thi-1 gyrA96 relA1 phoA</w:t>
            </w:r>
          </w:p>
        </w:tc>
        <w:tc>
          <w:tcPr>
            <w:tcW w:w="177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0" w:name="_Hlk101017679"/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Novagen</w:t>
            </w:r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pStyle w:val="13"/>
              <w:spacing w:line="276" w:lineRule="auto"/>
              <w:jc w:val="center"/>
              <w:rPr>
                <w:rFonts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i/>
                <w:iCs/>
                <w:kern w:val="0"/>
                <w:sz w:val="21"/>
                <w:szCs w:val="21"/>
              </w:rPr>
              <w:t xml:space="preserve">E. coli </w:t>
            </w:r>
            <w:r>
              <w:rPr>
                <w:rFonts w:cs="Times New Roman" w:eastAsiaTheme="minorEastAsia"/>
                <w:kern w:val="0"/>
                <w:sz w:val="21"/>
                <w:szCs w:val="21"/>
              </w:rPr>
              <w:t>(BL21)</w:t>
            </w:r>
          </w:p>
        </w:tc>
        <w:tc>
          <w:tcPr>
            <w:tcW w:w="44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, ompT, hsdS (rBB-mB), gal, dcm (DE3)</w:t>
            </w:r>
          </w:p>
        </w:tc>
        <w:tc>
          <w:tcPr>
            <w:tcW w:w="177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Novagen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pStyle w:val="13"/>
              <w:spacing w:line="276" w:lineRule="auto"/>
              <w:jc w:val="center"/>
              <w:rPr>
                <w:rFonts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kern w:val="0"/>
                <w:sz w:val="21"/>
                <w:szCs w:val="21"/>
              </w:rPr>
              <w:t>BL21-pET-28a-gju768</w:t>
            </w:r>
          </w:p>
        </w:tc>
        <w:tc>
          <w:tcPr>
            <w:tcW w:w="44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Recombinant strain, E. coli BL21(DE3) carrying plasmid pET-28a-gju768</w:t>
            </w:r>
          </w:p>
        </w:tc>
        <w:tc>
          <w:tcPr>
            <w:tcW w:w="177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>
            <w:pPr>
              <w:pStyle w:val="13"/>
              <w:spacing w:line="276" w:lineRule="auto"/>
              <w:rPr>
                <w:rFonts w:cs="Times New Roman" w:eastAsiaTheme="minorEastAsia"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kern w:val="0"/>
                <w:sz w:val="21"/>
                <w:szCs w:val="21"/>
              </w:rPr>
              <w:t>Plasmid</w:t>
            </w:r>
          </w:p>
        </w:tc>
        <w:tc>
          <w:tcPr>
            <w:tcW w:w="4463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bottom w:val="nil"/>
            </w:tcBorders>
            <w:vAlign w:val="center"/>
          </w:tcPr>
          <w:p>
            <w:pPr>
              <w:pStyle w:val="13"/>
              <w:spacing w:line="276" w:lineRule="auto"/>
              <w:jc w:val="center"/>
              <w:rPr>
                <w:rFonts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cs="Times New Roman" w:eastAsiaTheme="minorEastAsia"/>
                <w:kern w:val="0"/>
                <w:sz w:val="21"/>
                <w:szCs w:val="21"/>
              </w:rPr>
              <w:t>pET-28a (+)</w:t>
            </w:r>
          </w:p>
        </w:tc>
        <w:tc>
          <w:tcPr>
            <w:tcW w:w="4463" w:type="dxa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21"/>
                <w:szCs w:val="21"/>
              </w:rPr>
              <w:t>E. coli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expression vector; Kan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perscript"/>
              </w:rPr>
              <w:t>r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Novagen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pET-28a-gju768</w:t>
            </w:r>
          </w:p>
        </w:tc>
        <w:tc>
          <w:tcPr>
            <w:tcW w:w="4463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pET-28a based vector, carrying gju768 gene; Kan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vertAlign w:val="superscript"/>
              </w:rPr>
              <w:t>r</w:t>
            </w:r>
          </w:p>
        </w:tc>
        <w:tc>
          <w:tcPr>
            <w:tcW w:w="17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This study</w:t>
            </w:r>
          </w:p>
        </w:tc>
      </w:tr>
    </w:tbl>
    <w:p>
      <w:pPr>
        <w:spacing w:line="360" w:lineRule="auto"/>
      </w:pPr>
    </w:p>
    <w:p>
      <w:pPr>
        <w:widowControl/>
        <w:jc w:val="left"/>
      </w:pPr>
      <w:r>
        <w:br w:type="page"/>
      </w:r>
    </w:p>
    <w:p>
      <w:pPr>
        <w:spacing w:line="360" w:lineRule="auto"/>
      </w:pPr>
      <w:r>
        <w:rPr>
          <w:rFonts w:ascii="Times New Roman" w:hAnsi="Times New Roman" w:cs="Times New Roman"/>
          <w:b/>
          <w:kern w:val="0"/>
          <w:szCs w:val="24"/>
        </w:rPr>
        <w:t xml:space="preserve">Table S2. </w:t>
      </w:r>
      <w:r>
        <w:rPr>
          <w:rFonts w:ascii="Times New Roman" w:hAnsi="Times New Roman" w:cs="Times New Roman"/>
          <w:bCs/>
          <w:kern w:val="0"/>
          <w:szCs w:val="24"/>
        </w:rPr>
        <w:t>Results of GetArea screening of amino acids located on the surface of the protein.</w:t>
      </w:r>
    </w:p>
    <w:tbl>
      <w:tblPr>
        <w:tblStyle w:val="6"/>
        <w:tblW w:w="500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1"/>
        <w:gridCol w:w="1420"/>
        <w:gridCol w:w="1420"/>
        <w:gridCol w:w="142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33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Residue</w:t>
            </w:r>
          </w:p>
        </w:tc>
        <w:tc>
          <w:tcPr>
            <w:tcW w:w="833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Apolar</w:t>
            </w:r>
          </w:p>
        </w:tc>
        <w:tc>
          <w:tcPr>
            <w:tcW w:w="834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Backbone</w:t>
            </w:r>
          </w:p>
        </w:tc>
        <w:tc>
          <w:tcPr>
            <w:tcW w:w="833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Sidechain</w:t>
            </w:r>
          </w:p>
        </w:tc>
        <w:tc>
          <w:tcPr>
            <w:tcW w:w="833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Ratio (%)</w:t>
            </w:r>
          </w:p>
        </w:tc>
        <w:tc>
          <w:tcPr>
            <w:tcW w:w="834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In/Out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ET 1</w:t>
            </w:r>
          </w:p>
        </w:tc>
        <w:tc>
          <w:tcPr>
            <w:tcW w:w="833" w:type="pct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128.80</w:t>
            </w:r>
          </w:p>
        </w:tc>
        <w:tc>
          <w:tcPr>
            <w:tcW w:w="834" w:type="pct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33.86</w:t>
            </w:r>
          </w:p>
        </w:tc>
        <w:tc>
          <w:tcPr>
            <w:tcW w:w="833" w:type="pct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110.16</w:t>
            </w:r>
          </w:p>
        </w:tc>
        <w:tc>
          <w:tcPr>
            <w:tcW w:w="833" w:type="pct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69.6</w:t>
            </w:r>
          </w:p>
        </w:tc>
        <w:tc>
          <w:tcPr>
            <w:tcW w:w="834" w:type="pct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GLN 6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30.58</w:t>
            </w:r>
          </w:p>
        </w:tc>
        <w:tc>
          <w:tcPr>
            <w:tcW w:w="834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26.42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97.63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67.9</w:t>
            </w:r>
          </w:p>
        </w:tc>
        <w:tc>
          <w:tcPr>
            <w:tcW w:w="834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LEU 8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101.99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7.51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101.99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69.8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GLY 11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34.34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57.73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66.2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LEU 20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77.12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5.91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77.12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52.7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 21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68.55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33.02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76.51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54.2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 24</w:t>
            </w:r>
          </w:p>
        </w:tc>
        <w:tc>
          <w:tcPr>
            <w:tcW w:w="833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40.48</w:t>
            </w:r>
          </w:p>
        </w:tc>
        <w:tc>
          <w:tcPr>
            <w:tcW w:w="834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19.61</w:t>
            </w:r>
          </w:p>
        </w:tc>
        <w:tc>
          <w:tcPr>
            <w:tcW w:w="833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99.02</w:t>
            </w:r>
          </w:p>
        </w:tc>
        <w:tc>
          <w:tcPr>
            <w:tcW w:w="833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87.6</w:t>
            </w:r>
          </w:p>
        </w:tc>
        <w:tc>
          <w:tcPr>
            <w:tcW w:w="834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GLU 25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78.41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 26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4.99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126.57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 37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58.95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32.08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83.32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HIS 42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84.85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20.76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97.35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IS 45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73.21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82.33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TYR 48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71.37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104.47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GLU 67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48.00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37.23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71.19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50.4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GLY 69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44.16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GLN 70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86.12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GLY 71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54.81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86.37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 73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59.87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14.83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50.62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65.4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GLU 74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50.59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117.37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 75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64.01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102.83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LYS 76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78.76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121.22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GLN 78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72.83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ASP 83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18.89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77.76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68.8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 87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34.87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105.78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 90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44.30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55.05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51.8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 97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34.05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39.30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ASN 101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28.98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35.47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82.10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71.8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HIS 102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71.80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87.93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 107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56.28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56.25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LYS 108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108.56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152.34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 130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102.85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102.82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ASP 149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25.49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59.14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ASP 153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23.23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68.96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LYS 156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97.53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15.61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117.28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 157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93.15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31.92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153.03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RG 158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8.82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26.82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122.12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RG 159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99.10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187.49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 161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42.97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85.28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 163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76.60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36.68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62.80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 165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79.06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71.53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 166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109.30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108.27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HR 167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90.52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97.09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91.4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 170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58.21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52.53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EU 171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96.76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96.57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 174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48.06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105.97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YS 175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98.28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109.71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 177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35.51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34.39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RG 178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72.03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132.09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YS 183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71.50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34.37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82.34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 186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71.15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11.76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95.28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 189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66.79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38.84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48.35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YS 199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42.35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84.96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 200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45.57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39.09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60.2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LN 202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69.95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34.92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128.36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 203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81.81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16.99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76.53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 207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49.17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46.67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 211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49.06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97.85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 218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85.13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18.65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77.90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 221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45.78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123.61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LY 222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39.95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65.96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SN 223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68.50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 224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72.03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103.31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73.2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 225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60.54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21.61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79.20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 233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71.73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14.97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71.66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IS 234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115.67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23.32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137.45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YS 238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119.87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160.17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97.4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RG 241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92.61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164.84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84.3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 242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43.46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100.26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RG 249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68.51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124.07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63.5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RG 252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41.82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28.66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134.92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69.0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 253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37.69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33.17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88.50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62.7</w:t>
            </w:r>
          </w:p>
        </w:tc>
        <w:tc>
          <w:tcPr>
            <w:tcW w:w="834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Negative charged amino acids (Glu and Asp) shown in bold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widowControl/>
        <w:jc w:val="left"/>
      </w:pPr>
    </w:p>
    <w:p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S3. </w:t>
      </w:r>
      <w:r>
        <w:rPr>
          <w:rFonts w:ascii="Times New Roman" w:hAnsi="Times New Roman" w:cs="Times New Roman"/>
          <w:szCs w:val="21"/>
        </w:rPr>
        <w:t xml:space="preserve">Results of simulation of single mutations by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Discovery Studio 3.5.</w:t>
      </w:r>
    </w:p>
    <w:tbl>
      <w:tblPr>
        <w:tblStyle w:val="6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1"/>
        <w:gridCol w:w="1420"/>
        <w:gridCol w:w="1420"/>
        <w:gridCol w:w="142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Mutation</w:t>
            </w:r>
          </w:p>
        </w:tc>
        <w:tc>
          <w:tcPr>
            <w:tcW w:w="833" w:type="pct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Mutation Energy</w:t>
            </w:r>
          </w:p>
        </w:tc>
        <w:tc>
          <w:tcPr>
            <w:tcW w:w="834" w:type="pct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ffect of Mutation</w:t>
            </w:r>
          </w:p>
        </w:tc>
        <w:tc>
          <w:tcPr>
            <w:tcW w:w="833" w:type="pct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DM Term</w:t>
            </w:r>
          </w:p>
        </w:tc>
        <w:tc>
          <w:tcPr>
            <w:tcW w:w="833" w:type="pct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lectrostatic Term</w:t>
            </w:r>
          </w:p>
        </w:tc>
        <w:tc>
          <w:tcPr>
            <w:tcW w:w="834" w:type="pct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ntropy Term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LU21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GLN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EUTRAL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SP24&gt;ASN</w:t>
            </w:r>
          </w:p>
        </w:tc>
        <w:tc>
          <w:tcPr>
            <w:tcW w:w="833" w:type="pct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34" w:type="pct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833" w:type="pct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-1.27</w:t>
            </w:r>
          </w:p>
        </w:tc>
        <w:tc>
          <w:tcPr>
            <w:tcW w:w="834" w:type="pct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GLU25&gt;GLN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EUTRAL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-1.4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GLU67&gt;GLN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-0.28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-2.21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GLU74&gt;GLN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EUTRAL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-0.89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ASP83&gt;ASN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-1.36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-1.14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ASP149&gt;ASN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EUTRAL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-0.76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ASP153&gt;ASN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-1.17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SP161&gt;ASN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-0.71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-0.53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LU174&gt;GLN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-0.75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-1.39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LU186&gt;GLN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-2.23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LU211&gt;GLN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-1.96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LU221&gt;GLN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-1.04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-0.31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-1.8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LU224&gt;GLN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-0.83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EUTRAL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-1.96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SP225&gt;ASN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-0.84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-0.29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-1.49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LU242&gt;GLN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-0.49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EUTRAL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-0.76</w:t>
            </w:r>
          </w:p>
        </w:tc>
        <w:tc>
          <w:tcPr>
            <w:tcW w:w="833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-1.1</w:t>
            </w:r>
          </w:p>
        </w:tc>
        <w:tc>
          <w:tcPr>
            <w:tcW w:w="834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pct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LU253&gt;GLN</w:t>
            </w:r>
          </w:p>
        </w:tc>
        <w:tc>
          <w:tcPr>
            <w:tcW w:w="833" w:type="pct"/>
            <w:tcBorders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-0.69</w:t>
            </w:r>
          </w:p>
        </w:tc>
        <w:tc>
          <w:tcPr>
            <w:tcW w:w="834" w:type="pct"/>
            <w:tcBorders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TABILIZING</w:t>
            </w:r>
          </w:p>
        </w:tc>
        <w:tc>
          <w:tcPr>
            <w:tcW w:w="833" w:type="pct"/>
            <w:tcBorders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-0.91</w:t>
            </w:r>
          </w:p>
        </w:tc>
        <w:tc>
          <w:tcPr>
            <w:tcW w:w="833" w:type="pct"/>
            <w:tcBorders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-2.23</w:t>
            </w:r>
          </w:p>
        </w:tc>
        <w:tc>
          <w:tcPr>
            <w:tcW w:w="834" w:type="pct"/>
            <w:tcBorders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Stable mutations shown in bold</w:t>
      </w: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S4. </w:t>
      </w:r>
      <w:bookmarkStart w:id="1" w:name="_Hlk144066463"/>
      <w:r>
        <w:rPr>
          <w:rFonts w:ascii="Times New Roman" w:hAnsi="Times New Roman" w:cs="Times New Roman"/>
          <w:szCs w:val="21"/>
        </w:rPr>
        <w:t xml:space="preserve">Results of simulation of single mutations by both </w:t>
      </w:r>
      <w:r>
        <w:rPr>
          <w:rFonts w:ascii="Times New Roman" w:hAnsi="Times New Roman" w:cs="Times New Roman"/>
          <w:color w:val="1C1D1E"/>
          <w:szCs w:val="21"/>
          <w:shd w:val="clear" w:color="auto" w:fill="FFFFFF"/>
        </w:rPr>
        <w:t>PoPMuSiC and FoldX.</w:t>
      </w:r>
    </w:p>
    <w:bookmarkEnd w:id="1"/>
    <w:tbl>
      <w:tblPr>
        <w:tblStyle w:val="6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0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Residue number</w:t>
            </w:r>
          </w:p>
        </w:tc>
        <w:tc>
          <w:tcPr>
            <w:tcW w:w="100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Wild-type residue</w:t>
            </w:r>
          </w:p>
        </w:tc>
        <w:tc>
          <w:tcPr>
            <w:tcW w:w="100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Mutant residue</w:t>
            </w:r>
          </w:p>
        </w:tc>
        <w:tc>
          <w:tcPr>
            <w:tcW w:w="100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 xml:space="preserve">ΔΔG of the mutation 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  <w:vertAlign w:val="superscript"/>
              </w:rPr>
              <w:t xml:space="preserve">a 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predicted by PoPMuSiC</w:t>
            </w:r>
          </w:p>
        </w:tc>
        <w:tc>
          <w:tcPr>
            <w:tcW w:w="100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 xml:space="preserve">ΔΔG of the mutation 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  <w:vertAlign w:val="superscript"/>
              </w:rPr>
              <w:t xml:space="preserve">a 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predicted by Fold</w:t>
            </w:r>
            <w:r>
              <w:rPr>
                <w:rFonts w:hint="eastAsia" w:ascii="Times New Roman" w:hAnsi="Times New Roman" w:eastAsia="Arial Unicode MS" w:cs="Times New Roman"/>
                <w:kern w:val="0"/>
                <w:sz w:val="18"/>
                <w:szCs w:val="18"/>
              </w:rPr>
              <w:t>X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24</w:t>
            </w:r>
          </w:p>
        </w:tc>
        <w:tc>
          <w:tcPr>
            <w:tcW w:w="1000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ASP</w:t>
            </w:r>
          </w:p>
        </w:tc>
        <w:tc>
          <w:tcPr>
            <w:tcW w:w="1000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ASN</w:t>
            </w:r>
          </w:p>
        </w:tc>
        <w:tc>
          <w:tcPr>
            <w:tcW w:w="1000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1000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83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ASP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153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ASP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161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ASP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174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-0.24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186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211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221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-0.09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225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ASP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-0.07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253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</w:tr>
    </w:tbl>
    <w:p>
      <w:pPr>
        <w:rPr>
          <w:rFonts w:ascii="Times New Roman" w:hAnsi="Times New Roman" w:eastAsia="Arial Unicode MS" w:cs="Times New Roman"/>
          <w:kern w:val="0"/>
          <w:sz w:val="18"/>
          <w:szCs w:val="18"/>
        </w:rPr>
      </w:pPr>
      <w:r>
        <w:rPr>
          <w:rFonts w:ascii="Times New Roman" w:hAnsi="Times New Roman" w:eastAsia="Arial Unicode MS" w:cs="Times New Roman"/>
          <w:kern w:val="0"/>
          <w:sz w:val="18"/>
          <w:szCs w:val="18"/>
          <w:vertAlign w:val="superscript"/>
        </w:rPr>
        <w:t>a</w:t>
      </w:r>
      <w:r>
        <w:rPr>
          <w:rFonts w:ascii="Times New Roman" w:hAnsi="Times New Roman" w:eastAsia="Arial Unicode MS" w:cs="Times New Roman"/>
          <w:kern w:val="0"/>
          <w:sz w:val="18"/>
          <w:szCs w:val="18"/>
        </w:rPr>
        <w:t xml:space="preserve"> in kcal/mol; ΔΔG&lt;0 means stabilizing mutation</w:t>
      </w: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S5. </w:t>
      </w:r>
      <w:r>
        <w:rPr>
          <w:rFonts w:ascii="Times New Roman" w:hAnsi="Times New Roman" w:cs="Times New Roman"/>
          <w:szCs w:val="21"/>
        </w:rPr>
        <w:t>Results of PyMOL measurements of Ds</w:t>
      </w:r>
      <w:r>
        <w:rPr>
          <w:rFonts w:ascii="Times New Roman" w:hAnsi="Times New Roman" w:cs="Times New Roman"/>
          <w:szCs w:val="21"/>
          <w:vertAlign w:val="subscript"/>
        </w:rPr>
        <w:t>Cα-Cα</w:t>
      </w:r>
      <w:r>
        <w:rPr>
          <w:rFonts w:ascii="Times New Roman" w:hAnsi="Times New Roman" w:cs="Times New Roman"/>
          <w:szCs w:val="21"/>
        </w:rPr>
        <w:t>.</w:t>
      </w:r>
    </w:p>
    <w:tbl>
      <w:tblPr>
        <w:tblStyle w:val="6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31"/>
        <w:gridCol w:w="2131"/>
        <w:gridCol w:w="2129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Residue number</w:t>
            </w:r>
          </w:p>
        </w:tc>
        <w:tc>
          <w:tcPr>
            <w:tcW w:w="1250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Wild-type residue</w:t>
            </w:r>
          </w:p>
        </w:tc>
        <w:tc>
          <w:tcPr>
            <w:tcW w:w="1250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Mutant residue</w:t>
            </w:r>
          </w:p>
        </w:tc>
        <w:tc>
          <w:tcPr>
            <w:tcW w:w="1249" w:type="pct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Cα-Cα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Å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250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ASP</w:t>
            </w:r>
          </w:p>
        </w:tc>
        <w:tc>
          <w:tcPr>
            <w:tcW w:w="1250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ASN</w:t>
            </w:r>
          </w:p>
        </w:tc>
        <w:tc>
          <w:tcPr>
            <w:tcW w:w="1249" w:type="pct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249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249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249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ASP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ASN</w:t>
            </w:r>
          </w:p>
        </w:tc>
        <w:tc>
          <w:tcPr>
            <w:tcW w:w="1249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3.90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GLN</w:t>
            </w:r>
          </w:p>
        </w:tc>
        <w:tc>
          <w:tcPr>
            <w:tcW w:w="1249" w:type="pct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3.30</w:t>
            </w:r>
          </w:p>
        </w:tc>
      </w:tr>
    </w:tbl>
    <w:p>
      <w:pPr>
        <w:widowControl/>
        <w:jc w:val="left"/>
        <w:rPr>
          <w:rFonts w:ascii="Times New Roman" w:hAnsi="Times New Roman" w:eastAsia="Arial Unicode MS" w:cs="Times New Roman"/>
          <w:kern w:val="0"/>
          <w:sz w:val="18"/>
          <w:szCs w:val="18"/>
        </w:rPr>
      </w:pPr>
      <w:r>
        <w:rPr>
          <w:rFonts w:ascii="Times New Roman" w:hAnsi="Times New Roman" w:eastAsia="Arial Unicode MS" w:cs="Times New Roman"/>
          <w:kern w:val="0"/>
          <w:sz w:val="18"/>
          <w:szCs w:val="18"/>
        </w:rPr>
        <w:t>Mutation sites with Ds</w:t>
      </w:r>
      <w:r>
        <w:rPr>
          <w:rFonts w:ascii="Times New Roman" w:hAnsi="Times New Roman" w:cs="Times New Roman"/>
          <w:szCs w:val="21"/>
          <w:vertAlign w:val="subscript"/>
        </w:rPr>
        <w:t xml:space="preserve">Cα-Cα </w:t>
      </w:r>
      <w:r>
        <w:rPr>
          <w:rFonts w:ascii="Times New Roman" w:hAnsi="Times New Roman" w:eastAsia="Arial Unicode MS" w:cs="Times New Roman"/>
          <w:kern w:val="0"/>
          <w:sz w:val="18"/>
          <w:szCs w:val="18"/>
        </w:rPr>
        <w:t>&gt; 20 Å were shown in bold</w:t>
      </w:r>
      <w:r>
        <w:rPr>
          <w:rFonts w:ascii="Times New Roman" w:hAnsi="Times New Roman" w:eastAsia="Arial Unicode MS" w:cs="Times New Roman"/>
          <w:kern w:val="0"/>
          <w:sz w:val="18"/>
          <w:szCs w:val="18"/>
        </w:rPr>
        <w:br w:type="page"/>
      </w:r>
    </w:p>
    <w:p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S6. </w:t>
      </w:r>
      <w:r>
        <w:rPr>
          <w:rFonts w:ascii="Times New Roman" w:hAnsi="Times New Roman" w:cs="Times New Roman"/>
          <w:szCs w:val="21"/>
        </w:rPr>
        <w:t>Results of simulation of mutations.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993"/>
        <w:gridCol w:w="1842"/>
        <w:gridCol w:w="1701"/>
        <w:gridCol w:w="1560"/>
        <w:gridCol w:w="107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3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Mutation</w:t>
            </w:r>
          </w:p>
        </w:tc>
        <w:tc>
          <w:tcPr>
            <w:tcW w:w="99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Ratio (%)</w:t>
            </w:r>
          </w:p>
        </w:tc>
        <w:tc>
          <w:tcPr>
            <w:tcW w:w="184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Effect of mutation predicted by Discovery Studio 3.5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:vertAlign w:val="superscript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ΔΔG of the mutation predicted by PoPMuSiC</w:t>
            </w:r>
          </w:p>
        </w:tc>
        <w:tc>
          <w:tcPr>
            <w:tcW w:w="156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ΔΔG of the mutation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predicted by Fold</w:t>
            </w:r>
            <w:r>
              <w:rPr>
                <w:rFonts w:hint="eastAsia" w:ascii="Times New Roman" w:hAnsi="Times New Roman" w:eastAsia="Arial Unicode MS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107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Cα-Cα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Å)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4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D24N</w:t>
            </w:r>
          </w:p>
        </w:tc>
        <w:tc>
          <w:tcPr>
            <w:tcW w:w="993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87.6</w:t>
            </w:r>
          </w:p>
        </w:tc>
        <w:tc>
          <w:tcPr>
            <w:tcW w:w="1842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Arial Unicode MS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TABILIZING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1560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-0.22</w:t>
            </w:r>
          </w:p>
        </w:tc>
        <w:tc>
          <w:tcPr>
            <w:tcW w:w="1076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31.50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E221Q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87.5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Arial Unicode MS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TABILIZING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-0.09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-1.00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27.50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D225N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70.1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Arial Unicode MS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TABILIZING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-0.07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-8.63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23.90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E253Q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62.7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Arial Unicode MS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TABILIZING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-2.51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Arial Unicode MS" w:cs="Times New Roman"/>
                <w:kern w:val="0"/>
                <w:sz w:val="18"/>
                <w:szCs w:val="18"/>
              </w:rPr>
              <w:t>23.30</w:t>
            </w:r>
          </w:p>
        </w:tc>
      </w:tr>
    </w:tbl>
    <w:p>
      <w:pPr>
        <w:widowControl/>
        <w:rPr>
          <w:rFonts w:ascii="Times New Roman" w:hAnsi="Times New Roman" w:cs="Times New Roman"/>
          <w:szCs w:val="21"/>
        </w:rPr>
      </w:pPr>
    </w:p>
    <w:p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</w:rPr>
              <w:t>Table S7.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 xml:space="preserve"> The primers used to construct the mutants.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tbl>
            <w:tblPr>
              <w:tblStyle w:val="6"/>
              <w:tblW w:w="5000" w:type="pct"/>
              <w:tblInd w:w="0" w:type="dxa"/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38"/>
              <w:gridCol w:w="213"/>
              <w:gridCol w:w="1999"/>
              <w:gridCol w:w="4630"/>
            </w:tblGrid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898" w:type="pct"/>
                  <w:gridSpan w:val="2"/>
                  <w:tcBorders>
                    <w:top w:val="single" w:color="auto" w:sz="12" w:space="0"/>
                    <w:bottom w:val="single" w:color="auto" w:sz="12" w:space="0"/>
                  </w:tcBorders>
                </w:tcPr>
                <w:p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Mutation sites</w:t>
                  </w:r>
                </w:p>
              </w:tc>
              <w:tc>
                <w:tcPr>
                  <w:tcW w:w="1237" w:type="pct"/>
                  <w:tcBorders>
                    <w:top w:val="single" w:color="auto" w:sz="12" w:space="0"/>
                    <w:bottom w:val="single" w:color="auto" w:sz="12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Primer name</w:t>
                  </w:r>
                </w:p>
              </w:tc>
              <w:tc>
                <w:tcPr>
                  <w:tcW w:w="2865" w:type="pct"/>
                  <w:tcBorders>
                    <w:top w:val="single" w:color="auto" w:sz="12" w:space="0"/>
                    <w:bottom w:val="single" w:color="auto" w:sz="12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Sequence (5’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sym w:font="Symbol" w:char="F0AE"/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3’)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766" w:type="pct"/>
                  <w:vMerge w:val="restart"/>
                  <w:tcBorders>
                    <w:top w:val="single" w:color="auto" w:sz="12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D24</w:t>
                  </w:r>
                </w:p>
              </w:tc>
              <w:tc>
                <w:tcPr>
                  <w:tcW w:w="1369" w:type="pct"/>
                  <w:gridSpan w:val="2"/>
                  <w:tcBorders>
                    <w:top w:val="single" w:color="auto" w:sz="12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D24N-F</w:t>
                  </w:r>
                </w:p>
              </w:tc>
              <w:tc>
                <w:tcPr>
                  <w:tcW w:w="2865" w:type="pct"/>
                  <w:tcBorders>
                    <w:top w:val="single" w:color="auto" w:sz="12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ggcagccgttcgttccgcttttccagc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766" w:type="pct"/>
                  <w:vMerge w:val="continue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69" w:type="pct"/>
                  <w:gridSpan w:val="2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D24N-R</w:t>
                  </w:r>
                </w:p>
              </w:tc>
              <w:tc>
                <w:tcPr>
                  <w:tcW w:w="2865" w:type="pct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gctggaaaagcggaacgaacggctgcc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766" w:type="pct"/>
                  <w:vMerge w:val="restart"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E221</w:t>
                  </w:r>
                </w:p>
              </w:tc>
              <w:tc>
                <w:tcPr>
                  <w:tcW w:w="1369" w:type="pct"/>
                  <w:gridSpan w:val="2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E221Q-F</w:t>
                  </w:r>
                </w:p>
              </w:tc>
              <w:tc>
                <w:tcPr>
                  <w:tcW w:w="2865" w:type="pct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ccggtcctcgtttccctgataaagtggtttaatttgctcgtaaaact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766" w:type="pct"/>
                  <w:vMerge w:val="continue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69" w:type="pct"/>
                  <w:gridSpan w:val="2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E221Q-R</w:t>
                  </w:r>
                </w:p>
              </w:tc>
              <w:tc>
                <w:tcPr>
                  <w:tcW w:w="2865" w:type="pct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agttttacgagcaaattaaaccactttatcagggaaacgaggaccgg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766" w:type="pct"/>
                  <w:vMerge w:val="restart"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D225</w:t>
                  </w:r>
                </w:p>
              </w:tc>
              <w:tc>
                <w:tcPr>
                  <w:tcW w:w="1369" w:type="pct"/>
                  <w:gridSpan w:val="2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D225N-F</w:t>
                  </w:r>
                </w:p>
              </w:tc>
              <w:tc>
                <w:tcPr>
                  <w:tcW w:w="2865" w:type="pct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gaggaattgcagccggttctcgtttccttcataaa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766" w:type="pct"/>
                  <w:vMerge w:val="continue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69" w:type="pct"/>
                  <w:gridSpan w:val="2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D225N-R</w:t>
                  </w:r>
                </w:p>
              </w:tc>
              <w:tc>
                <w:tcPr>
                  <w:tcW w:w="2865" w:type="pct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tttatgaaggaaacgagaaccggctgcaattcctc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766" w:type="pct"/>
                  <w:vMerge w:val="restart"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E253</w:t>
                  </w:r>
                </w:p>
              </w:tc>
              <w:tc>
                <w:tcPr>
                  <w:tcW w:w="1369" w:type="pct"/>
                  <w:gridSpan w:val="2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E253Q-F</w:t>
                  </w:r>
                </w:p>
              </w:tc>
              <w:tc>
                <w:tcPr>
                  <w:tcW w:w="2865" w:type="pct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atgggtcgcggatccgaattcatggtgatcattgaacaggaactatt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766" w:type="pct"/>
                  <w:vMerge w:val="continue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69" w:type="pct"/>
                  <w:gridSpan w:val="2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E253Q-R</w:t>
                  </w:r>
                </w:p>
              </w:tc>
              <w:tc>
                <w:tcPr>
                  <w:tcW w:w="2865" w:type="pct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</w:rPr>
                    <w:t>ttgtcgacggagctcgaattcttacacatgctggcgaaacca</w:t>
                  </w:r>
                </w:p>
              </w:tc>
            </w:tr>
          </w:tbl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bCs/>
          <w:szCs w:val="21"/>
          <w:vertAlign w:val="superscript"/>
        </w:rPr>
      </w:pPr>
    </w:p>
    <w:p>
      <w:pPr>
        <w:rPr>
          <w:rFonts w:ascii="Times New Roman" w:hAnsi="Times New Roman" w:cs="Times New Roman"/>
        </w:rPr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drawing>
                <wp:inline distT="0" distB="0" distL="0" distR="0">
                  <wp:extent cx="4668520" cy="6530975"/>
                  <wp:effectExtent l="0" t="0" r="0" b="317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5" t="6869" r="7122" b="5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9995" cy="6532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Times New Roman" w:hAnsi="Times New Roman" w:eastAsia="宋体" w:cs="Times New Roman"/>
          <w:color w:val="000000"/>
          <w:kern w:val="0"/>
          <w:szCs w:val="24"/>
        </w:rPr>
      </w:pPr>
      <w:r>
        <w:rPr>
          <w:rFonts w:ascii="Times New Roman" w:hAnsi="Times New Roman" w:cs="Times New Roman"/>
          <w:b/>
          <w:szCs w:val="21"/>
        </w:rPr>
        <w:t>Fig. S1</w:t>
      </w:r>
      <w:r>
        <w:rPr>
          <w:rFonts w:ascii="Times New Roman" w:hAnsi="Times New Roman" w:eastAsia="宋体" w:cs="Times New Roman"/>
          <w:color w:val="000000"/>
          <w:kern w:val="0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Cs w:val="24"/>
        </w:rPr>
        <w:t>Ramachandran plot of the Gju768. Areas A, B, L represent most favored regions, areas a, b, l, prepresent additional allowed regions, areas ˜a, ˜b, ˜l, ˜p represent generously allowed regions and white background represents disallowed regions.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4"/>
        </w:rPr>
      </w:pPr>
    </w:p>
    <w:p>
      <w:pPr>
        <w:widowControl/>
        <w:jc w:val="center"/>
        <w:rPr>
          <w:rFonts w:ascii="Times New Roman" w:hAnsi="Times New Roman" w:eastAsia="宋体" w:cs="Times New Roman"/>
          <w:color w:val="000000"/>
          <w:kern w:val="0"/>
          <w:szCs w:val="24"/>
        </w:rPr>
      </w:pPr>
      <w:r>
        <w:drawing>
          <wp:inline distT="0" distB="0" distL="0" distR="0">
            <wp:extent cx="5224780" cy="34099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7" t="2022" r="6092" b="28509"/>
                    <a:stretch>
                      <a:fillRect/>
                    </a:stretch>
                  </pic:blipFill>
                  <pic:spPr>
                    <a:xfrm>
                      <a:off x="0" y="0"/>
                      <a:ext cx="5226921" cy="341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</w:rPr>
        <w:sectPr>
          <w:footerReference r:id="rId3" w:type="default"/>
          <w:pgSz w:w="11906" w:h="16838"/>
          <w:pgMar w:top="1440" w:right="1800" w:bottom="1440" w:left="1800" w:header="851" w:footer="992" w:gutter="0"/>
          <w:lnNumType w:countBy="1"/>
          <w:pgNumType w:fmt="decimal"/>
          <w:cols w:space="720" w:num="1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</w:rPr>
        <w:t xml:space="preserve">Fig. S2 </w:t>
      </w:r>
      <w:r>
        <w:rPr>
          <w:rFonts w:ascii="Times New Roman" w:hAnsi="Times New Roman" w:eastAsia="宋体" w:cs="Times New Roman"/>
          <w:color w:val="000000"/>
          <w:kern w:val="0"/>
          <w:szCs w:val="24"/>
        </w:rPr>
        <w:t>Location of mutants D24N, E221Q, D225N, and E253Q in the Gju768 three-dimensional structure.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drawing>
                <wp:inline distT="0" distB="0" distL="0" distR="0">
                  <wp:extent cx="4961255" cy="354647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18" t="11194" r="27074" b="38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7605" cy="355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1"/>
        </w:rPr>
        <w:t>Fig. S3</w:t>
      </w:r>
      <w:r>
        <w:rPr>
          <w:rFonts w:ascii="Times New Roman" w:hAnsi="Times New Roman" w:eastAsia="宋体" w:cs="Times New Roman"/>
          <w:color w:val="000000"/>
          <w:kern w:val="0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Cs w:val="24"/>
        </w:rPr>
        <w:t xml:space="preserve">SDS-PAGE analysis of the recombinant protein in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Cs w:val="24"/>
        </w:rPr>
        <w:t>E. coli</w:t>
      </w:r>
      <w:r>
        <w:rPr>
          <w:rFonts w:ascii="Times New Roman" w:hAnsi="Times New Roman" w:eastAsia="宋体" w:cs="Times New Roman"/>
          <w:color w:val="000000"/>
          <w:kern w:val="0"/>
          <w:szCs w:val="24"/>
        </w:rPr>
        <w:t>. Lane M, protein marker; lane 1-3, 5-7, the crude extract, precipitation and supernatant of WT and E253Q; lane 4 and 8, purified WT and E253Q after Ni</w:t>
      </w:r>
      <w:r>
        <w:rPr>
          <w:rFonts w:ascii="Times New Roman" w:hAnsi="Times New Roman" w:eastAsia="宋体" w:cs="Times New Roman"/>
          <w:color w:val="000000"/>
          <w:kern w:val="0"/>
          <w:szCs w:val="24"/>
          <w:vertAlign w:val="superscript"/>
        </w:rPr>
        <w:t>2+</w:t>
      </w:r>
      <w:r>
        <w:rPr>
          <w:rFonts w:ascii="Times New Roman" w:hAnsi="Times New Roman" w:eastAsia="宋体" w:cs="Times New Roman"/>
          <w:color w:val="000000"/>
          <w:kern w:val="0"/>
          <w:szCs w:val="24"/>
        </w:rPr>
        <w:t xml:space="preserve"> affinity chromatography.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drawing>
                <wp:inline distT="0" distB="0" distL="0" distR="0">
                  <wp:extent cx="5243830" cy="2874645"/>
                  <wp:effectExtent l="0" t="0" r="0" b="190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91" t="12138" r="11582" b="40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619" cy="289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1"/>
        </w:rPr>
        <w:t>Fig. S4</w:t>
      </w:r>
      <w:r>
        <w:rPr>
          <w:rFonts w:ascii="Times New Roman" w:hAnsi="Times New Roman" w:eastAsia="宋体" w:cs="Times New Roman"/>
          <w:color w:val="000000"/>
          <w:kern w:val="0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Cs w:val="24"/>
        </w:rPr>
        <w:t xml:space="preserve">SDS-PAGE analysis of the recombinant protein in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Cs w:val="24"/>
        </w:rPr>
        <w:t>E. coli</w:t>
      </w:r>
      <w:r>
        <w:rPr>
          <w:rFonts w:ascii="Times New Roman" w:hAnsi="Times New Roman" w:eastAsia="宋体" w:cs="Times New Roman"/>
          <w:color w:val="000000"/>
          <w:kern w:val="0"/>
          <w:szCs w:val="24"/>
        </w:rPr>
        <w:t>. Lane M, protein marker; lane 1-3, 5-7, 9-11, the crude extract, precipitation and supernatant of D24N, E221Q, and D225N; lane 4 ,8, and 12, purified D24N, E221Q, and D225N after Ni</w:t>
      </w:r>
      <w:r>
        <w:rPr>
          <w:rFonts w:ascii="Times New Roman" w:hAnsi="Times New Roman" w:eastAsia="宋体" w:cs="Times New Roman"/>
          <w:color w:val="000000"/>
          <w:kern w:val="0"/>
          <w:szCs w:val="24"/>
          <w:vertAlign w:val="superscript"/>
        </w:rPr>
        <w:t>2+</w:t>
      </w:r>
      <w:r>
        <w:rPr>
          <w:rFonts w:ascii="Times New Roman" w:hAnsi="Times New Roman" w:eastAsia="宋体" w:cs="Times New Roman"/>
          <w:color w:val="000000"/>
          <w:kern w:val="0"/>
          <w:szCs w:val="24"/>
        </w:rPr>
        <w:t xml:space="preserve"> affinity chromatography.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ascii="Times New Roman" w:hAnsi="Times New Roman" w:cs="Times New Roman"/>
          <w:b/>
          <w:szCs w:val="21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rFonts w:hint="default" w:ascii="Times New Roman" w:hAnsi="Times New Roman" w:cs="Times New Roman"/>
                        <w:color w:val="auto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jZTNlMmM1YjcwOWQxOGE5NWFkYTIzNDdkZjAzOGIifQ=="/>
  </w:docVars>
  <w:rsids>
    <w:rsidRoot w:val="007873D4"/>
    <w:rsid w:val="00005B07"/>
    <w:rsid w:val="00016A83"/>
    <w:rsid w:val="00031A0E"/>
    <w:rsid w:val="000B235C"/>
    <w:rsid w:val="000E00A0"/>
    <w:rsid w:val="000E78EF"/>
    <w:rsid w:val="001062D1"/>
    <w:rsid w:val="00107443"/>
    <w:rsid w:val="001348DB"/>
    <w:rsid w:val="001479FA"/>
    <w:rsid w:val="00154F01"/>
    <w:rsid w:val="001C595A"/>
    <w:rsid w:val="001C75AD"/>
    <w:rsid w:val="001F3A16"/>
    <w:rsid w:val="001F4C2C"/>
    <w:rsid w:val="00242BFC"/>
    <w:rsid w:val="00283398"/>
    <w:rsid w:val="0028448F"/>
    <w:rsid w:val="002C175B"/>
    <w:rsid w:val="002C7263"/>
    <w:rsid w:val="002D5E14"/>
    <w:rsid w:val="002E2471"/>
    <w:rsid w:val="00307661"/>
    <w:rsid w:val="003679DC"/>
    <w:rsid w:val="00383F8C"/>
    <w:rsid w:val="003A127E"/>
    <w:rsid w:val="003B049A"/>
    <w:rsid w:val="003B15AF"/>
    <w:rsid w:val="003C3EB4"/>
    <w:rsid w:val="003D1CAA"/>
    <w:rsid w:val="003D4238"/>
    <w:rsid w:val="003F1822"/>
    <w:rsid w:val="00406318"/>
    <w:rsid w:val="00410400"/>
    <w:rsid w:val="00447E19"/>
    <w:rsid w:val="004537E1"/>
    <w:rsid w:val="00473984"/>
    <w:rsid w:val="004A6362"/>
    <w:rsid w:val="004A6821"/>
    <w:rsid w:val="004E5095"/>
    <w:rsid w:val="004F0BFF"/>
    <w:rsid w:val="004F2C25"/>
    <w:rsid w:val="00510010"/>
    <w:rsid w:val="00514405"/>
    <w:rsid w:val="00537914"/>
    <w:rsid w:val="005433F5"/>
    <w:rsid w:val="00581943"/>
    <w:rsid w:val="00592BDF"/>
    <w:rsid w:val="005953A3"/>
    <w:rsid w:val="005C7007"/>
    <w:rsid w:val="005D5942"/>
    <w:rsid w:val="0066014C"/>
    <w:rsid w:val="00695349"/>
    <w:rsid w:val="00697C9E"/>
    <w:rsid w:val="006A2292"/>
    <w:rsid w:val="00705636"/>
    <w:rsid w:val="0070590E"/>
    <w:rsid w:val="00713369"/>
    <w:rsid w:val="007305FF"/>
    <w:rsid w:val="00735147"/>
    <w:rsid w:val="00750F16"/>
    <w:rsid w:val="00757A84"/>
    <w:rsid w:val="007873D4"/>
    <w:rsid w:val="007D7482"/>
    <w:rsid w:val="00813D7E"/>
    <w:rsid w:val="00815370"/>
    <w:rsid w:val="00855C25"/>
    <w:rsid w:val="00857AFF"/>
    <w:rsid w:val="0086186F"/>
    <w:rsid w:val="00864CFE"/>
    <w:rsid w:val="00872ECF"/>
    <w:rsid w:val="00894739"/>
    <w:rsid w:val="008A5030"/>
    <w:rsid w:val="008E6558"/>
    <w:rsid w:val="009159C1"/>
    <w:rsid w:val="00933B17"/>
    <w:rsid w:val="00937A76"/>
    <w:rsid w:val="00950914"/>
    <w:rsid w:val="00967024"/>
    <w:rsid w:val="00967857"/>
    <w:rsid w:val="00974131"/>
    <w:rsid w:val="009A0A22"/>
    <w:rsid w:val="009A5F32"/>
    <w:rsid w:val="009D2AD2"/>
    <w:rsid w:val="009D7B31"/>
    <w:rsid w:val="009F7A19"/>
    <w:rsid w:val="00A925A9"/>
    <w:rsid w:val="00A953D1"/>
    <w:rsid w:val="00AC2A4D"/>
    <w:rsid w:val="00AF2576"/>
    <w:rsid w:val="00AF7E3C"/>
    <w:rsid w:val="00B61327"/>
    <w:rsid w:val="00BA04A7"/>
    <w:rsid w:val="00BF6AFE"/>
    <w:rsid w:val="00C47E9A"/>
    <w:rsid w:val="00C869B2"/>
    <w:rsid w:val="00CD04E7"/>
    <w:rsid w:val="00CE52CB"/>
    <w:rsid w:val="00D0500B"/>
    <w:rsid w:val="00D10D31"/>
    <w:rsid w:val="00D53295"/>
    <w:rsid w:val="00D66910"/>
    <w:rsid w:val="00D9508B"/>
    <w:rsid w:val="00DE116D"/>
    <w:rsid w:val="00DE5B54"/>
    <w:rsid w:val="00E14B24"/>
    <w:rsid w:val="00E31A61"/>
    <w:rsid w:val="00E43923"/>
    <w:rsid w:val="00E544C3"/>
    <w:rsid w:val="00E74F2F"/>
    <w:rsid w:val="00EA5808"/>
    <w:rsid w:val="00EB0C40"/>
    <w:rsid w:val="00EB5D4E"/>
    <w:rsid w:val="00EB655A"/>
    <w:rsid w:val="00EB78FB"/>
    <w:rsid w:val="00EF6162"/>
    <w:rsid w:val="00F140BB"/>
    <w:rsid w:val="00F25CDC"/>
    <w:rsid w:val="00F453FC"/>
    <w:rsid w:val="00F64CBF"/>
    <w:rsid w:val="00F70E5D"/>
    <w:rsid w:val="00F74F57"/>
    <w:rsid w:val="00F96F23"/>
    <w:rsid w:val="00FD58C9"/>
    <w:rsid w:val="00FF6378"/>
    <w:rsid w:val="2E61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iPriority w:val="0"/>
    <w:pPr>
      <w:widowControl/>
      <w:spacing w:line="300" w:lineRule="auto"/>
      <w:jc w:val="left"/>
    </w:pPr>
    <w:rPr>
      <w:szCs w:val="24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6"/>
    <w:semiHidden/>
    <w:unhideWhenUsed/>
    <w:uiPriority w:val="99"/>
    <w:pPr>
      <w:widowControl w:val="0"/>
      <w:spacing w:line="240" w:lineRule="auto"/>
    </w:pPr>
    <w:rPr>
      <w:b/>
      <w:bCs/>
      <w:szCs w:val="22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uiPriority w:val="0"/>
    <w:rPr>
      <w:sz w:val="21"/>
      <w:szCs w:val="21"/>
    </w:rPr>
  </w:style>
  <w:style w:type="character" w:customStyle="1" w:styleId="11">
    <w:name w:val="页眉 字符"/>
    <w:basedOn w:val="8"/>
    <w:link w:val="4"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sz w:val="18"/>
      <w:szCs w:val="18"/>
    </w:rPr>
  </w:style>
  <w:style w:type="paragraph" w:customStyle="1" w:styleId="13">
    <w:name w:val="表文"/>
    <w:basedOn w:val="1"/>
    <w:link w:val="14"/>
    <w:qFormat/>
    <w:uiPriority w:val="0"/>
    <w:pPr>
      <w:spacing w:line="300" w:lineRule="auto"/>
      <w:jc w:val="left"/>
    </w:pPr>
    <w:rPr>
      <w:rFonts w:ascii="Times New Roman" w:hAnsi="Times New Roman" w:eastAsia="宋体"/>
      <w:sz w:val="24"/>
      <w:szCs w:val="24"/>
    </w:rPr>
  </w:style>
  <w:style w:type="character" w:customStyle="1" w:styleId="14">
    <w:name w:val="表文 字符"/>
    <w:basedOn w:val="8"/>
    <w:link w:val="13"/>
    <w:qFormat/>
    <w:uiPriority w:val="0"/>
    <w:rPr>
      <w:rFonts w:ascii="Times New Roman" w:hAnsi="Times New Roman" w:eastAsia="宋体"/>
      <w:sz w:val="24"/>
      <w:szCs w:val="24"/>
    </w:rPr>
  </w:style>
  <w:style w:type="character" w:customStyle="1" w:styleId="15">
    <w:name w:val="批注文字 字符"/>
    <w:basedOn w:val="8"/>
    <w:link w:val="2"/>
    <w:uiPriority w:val="0"/>
    <w:rPr>
      <w:szCs w:val="24"/>
    </w:rPr>
  </w:style>
  <w:style w:type="character" w:customStyle="1" w:styleId="16">
    <w:name w:val="批注主题 字符"/>
    <w:basedOn w:val="15"/>
    <w:link w:val="5"/>
    <w:semiHidden/>
    <w:uiPriority w:val="99"/>
    <w:rPr>
      <w:b/>
      <w:bCs/>
      <w:szCs w:val="24"/>
    </w:rPr>
  </w:style>
  <w:style w:type="paragraph" w:customStyle="1" w:styleId="17">
    <w:name w:val="MDPI_1.6_affiliation"/>
    <w:basedOn w:val="1"/>
    <w:qFormat/>
    <w:uiPriority w:val="0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 w:eastAsia="Times New Roman" w:cs="Times New Roman"/>
      <w:color w:val="000000"/>
      <w:kern w:val="0"/>
      <w:sz w:val="18"/>
      <w:szCs w:val="18"/>
      <w:lang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EBBA7B-3992-43C7-919E-966AFC9664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1190</Words>
  <Characters>6783</Characters>
  <Lines>56</Lines>
  <Paragraphs>15</Paragraphs>
  <TotalTime>443</TotalTime>
  <ScaleCrop>false</ScaleCrop>
  <LinksUpToDate>false</LinksUpToDate>
  <CharactersWithSpaces>7958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2023-08-25T02:22:00Z</dcterms:created>
  <dc:creator>XIAO ka</dc:creator>
  <cp:lastModifiedBy>xgdyp</cp:lastModifiedBy>
  <dcterms:modified xsi:type="dcterms:W3CDTF">2023-10-08T01:43:11Z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F20144FDA29D45D480ECEB59A86DD3EA_12</vt:lpwstr>
  </property>
</Properties>
</file>