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9"/>
        <w:gridCol w:w="1206"/>
        <w:gridCol w:w="4600"/>
        <w:gridCol w:w="1297"/>
        <w:gridCol w:w="1687"/>
        <w:gridCol w:w="1979"/>
        <w:gridCol w:w="115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rPr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bdr w:val="none" w:color="auto" w:sz="0" w:space="0"/>
              </w:rPr>
              <w:t>Outcome for Critically ill mechanically ventilated adults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160" w:afterAutospacing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Patient or population: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 xml:space="preserve"> patients with Critically ill mechanically ventilated adults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Settings: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Intervention: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 xml:space="preserve"> Outcome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4682B4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Outcomes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Illustrative comparative risks* (95% CI)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4682B4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Relative effect</w:t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4682B4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No of Participants</w:t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(studies)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4682B4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Quality of the evidence</w:t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(GRADE)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4682B4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Comments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4682B4"/>
            <w:vAlign w:val="top"/>
          </w:tcPr>
          <w:p>
            <w:pPr>
              <w:jc w:val="left"/>
              <w:rPr>
                <w:rFonts w:hint="default"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 w:val="0"/>
                <w:bCs w:val="0"/>
                <w:sz w:val="16"/>
                <w:szCs w:val="16"/>
              </w:rPr>
              <w:t>Assumed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 w:val="0"/>
                <w:bCs w:val="0"/>
                <w:sz w:val="16"/>
                <w:szCs w:val="16"/>
              </w:rPr>
              <w:t>Corresponding risk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4682B4"/>
            <w:vAlign w:val="top"/>
          </w:tcPr>
          <w:p>
            <w:pPr>
              <w:jc w:val="left"/>
              <w:rPr>
                <w:rFonts w:hint="default"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4682B4"/>
            <w:vAlign w:val="top"/>
          </w:tcPr>
          <w:p>
            <w:pPr>
              <w:jc w:val="left"/>
              <w:rPr>
                <w:rFonts w:hint="default"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4682B4"/>
            <w:vAlign w:val="top"/>
          </w:tcPr>
          <w:p>
            <w:pPr>
              <w:jc w:val="left"/>
              <w:rPr>
                <w:rFonts w:hint="default"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4682B4"/>
            <w:vAlign w:val="top"/>
          </w:tcPr>
          <w:p>
            <w:pPr>
              <w:jc w:val="left"/>
              <w:rPr>
                <w:rFonts w:hint="default"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hint="default" w:ascii="Arial" w:hAnsi="Arial" w:cs="Arial"/>
                <w:b/>
                <w:bCs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overall mortality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bdr w:val="none" w:color="auto" w:sz="0" w:space="0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 xml:space="preserve">RR 0.9 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(0.72 to 1.12)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2286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(12 studies)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⊕⊕⊕⊕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high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275 per 1000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247 per 1000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(198 to 308)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bdr w:val="none" w:color="auto" w:sz="0" w:space="0"/>
              </w:rPr>
              <w:t>Moderate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233 per 1000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210 per 1000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(168 to 261)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icu-mortality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bdr w:val="none" w:color="auto" w:sz="0" w:space="0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 xml:space="preserve">RR 0.8 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(0.6 to 1.06)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620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(8 studies)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⊕⊕⊕⊝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moderate</w:t>
            </w:r>
            <w:r>
              <w:rPr>
                <w:rFonts w:hint="default"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266 per 1000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213 per 1000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(159 to 282)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tcMar>
              <w:top w:w="26" w:type="dxa"/>
              <w:left w:w="26" w:type="dxa"/>
              <w:bottom w:w="26" w:type="dxa"/>
              <w:right w:w="26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  <w:bdr w:val="none" w:color="auto" w:sz="0" w:space="0"/>
              </w:rPr>
              <w:t>Moderate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261 per 1000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209 per 1000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(157 to 277)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Duration of ventilation</w:t>
            </w: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duration of ventilation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0 higher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(0.58 lower to 0.58 higher)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2177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(11 studies)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⊕⊕⊕⊝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Length of ICU stay</w:t>
            </w: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length of icu stay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0.26 lower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(1.06 lower to 0.55 higher)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2253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(11 studies)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⊕⊕⊕⊝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Length of Hospital Stay</w:t>
            </w: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length of hospital stay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1.03 higher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(0.97 lower to 3.02 higher)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1966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(8 studies)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⊕⊕⊕⊝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Muscale change</w:t>
            </w: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muscale change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8.18 lower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(18.1 lower to 1.74 higher)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248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(4 studies)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⊕⊕⊝⊝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low</w:t>
            </w:r>
            <w:r>
              <w:rPr>
                <w:rFonts w:hint="default"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Handgrip strength</w:t>
            </w:r>
          </w:p>
        </w:tc>
        <w:tc>
          <w:tcPr>
            <w:tcW w:w="0" w:type="auto"/>
            <w:tcBorders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D3D3D3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The mean handgrip strength in the intervention groups was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2.08 higher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(2.16 lower to 6.32 higher)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130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sz w:val="16"/>
                <w:szCs w:val="16"/>
              </w:rPr>
              <w:t>(2 studies)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Arial" w:hAnsi="Arial" w:cs="Arial"/>
                <w:sz w:val="16"/>
                <w:szCs w:val="16"/>
              </w:rPr>
              <w:t>⊕⊝⊝⊝</w:t>
            </w:r>
            <w:r>
              <w:rPr>
                <w:rFonts w:hint="default" w:ascii="Arial" w:hAnsi="Arial" w:cs="Arial"/>
                <w:sz w:val="16"/>
                <w:szCs w:val="16"/>
              </w:rPr>
              <w:br w:type="textWrapping"/>
            </w:r>
            <w:r>
              <w:rPr>
                <w:rFonts w:hint="default" w:ascii="Arial" w:hAnsi="Arial" w:cs="Arial"/>
                <w:b/>
                <w:bCs/>
                <w:sz w:val="16"/>
                <w:szCs w:val="16"/>
              </w:rPr>
              <w:t>very low</w:t>
            </w:r>
            <w:r>
              <w:rPr>
                <w:rFonts w:hint="default"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top"/>
          </w:tcPr>
          <w:p>
            <w:pPr>
              <w:jc w:val="left"/>
              <w:rPr>
                <w:rFonts w:hint="default" w:ascii="Arial" w:hAnsi="Arial" w:cs="Arial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*The basis for the </w:t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assumed risk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(e.g. the median control group risk across studies) is provided in footnotes. The </w:t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corresponding risk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(and its 95% confidence interval) is based on the assumed risk in the comparison group and the </w:t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relative effect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of the intervention (and its 95% CI).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CI: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Confidence interval; </w:t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RR: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Risk ratio;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>GRADE Working Group grades of evidence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High quality: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Further research is very unlikely to change our confidence in the estimate of effect. 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Moderate quality: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Further research is likely to have an important impact on our confidence in the estimate of effect and may change the estimate.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Low quality: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Further research is very likely to have an important impact on our confidence in the estimate of effect and is likely to change the estimate.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kern w:val="0"/>
                <w:sz w:val="16"/>
                <w:szCs w:val="16"/>
                <w:lang w:val="en-US" w:eastAsia="zh-CN" w:bidi="ar"/>
              </w:rPr>
              <w:t>Very low quality: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We are very uncertain about the estimate.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vertAlign w:val="superscript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kern w:val="0"/>
                <w:sz w:val="16"/>
                <w:szCs w:val="16"/>
                <w:lang w:val="en-US" w:eastAsia="zh-CN" w:bidi="ar"/>
              </w:rPr>
              <w:t xml:space="preserve"> The sample size is small</w:t>
            </w:r>
          </w:p>
        </w:tc>
      </w:tr>
    </w:tbl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yYmQwZmY4NTFmOGE0MzAyM2NlZmRmZmQ3MjNhYjgifQ=="/>
  </w:docVars>
  <w:rsids>
    <w:rsidRoot w:val="1A844CEA"/>
    <w:rsid w:val="1A84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1926</Characters>
  <Lines>0</Lines>
  <Paragraphs>0</Paragraphs>
  <TotalTime>0</TotalTime>
  <ScaleCrop>false</ScaleCrop>
  <LinksUpToDate>false</LinksUpToDate>
  <CharactersWithSpaces>2215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2023-06-29T12:35:00Z</dcterms:created>
  <dc:creator>小城故事</dc:creator>
  <cp:lastModifiedBy>小城故事</cp:lastModifiedBy>
  <dcterms:modified xsi:type="dcterms:W3CDTF">2023-06-29T12:36:11Z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78C3FF165D064B6CB3ED24D9C4D02AAE_11</vt:lpwstr>
  </property>
</Properties>
</file>