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E5309" w14:textId="4B916EFE" w:rsidR="00EB0F0E" w:rsidRPr="00B764CC" w:rsidRDefault="00B764CC" w:rsidP="00EB0F0E">
      <w:pPr>
        <w:spacing w:before="240" w:line="480" w:lineRule="auto"/>
        <w:rPr>
          <w:rFonts w:eastAsia="Calibri" w:cs="Arial"/>
          <w:sz w:val="24"/>
          <w:szCs w:val="24"/>
          <w:lang w:eastAsia="en-GB"/>
        </w:rPr>
      </w:pPr>
      <w:r w:rsidRPr="00B764CC">
        <w:rPr>
          <w:rFonts w:eastAsia="Calibri" w:cs="Arial"/>
          <w:sz w:val="24"/>
          <w:szCs w:val="24"/>
          <w:lang w:eastAsia="en-GB"/>
        </w:rPr>
        <w:t xml:space="preserve">Table 3 </w:t>
      </w:r>
      <w:r w:rsidRPr="00B764CC">
        <w:rPr>
          <w:rFonts w:eastAsia="Calibri" w:cs="Arial"/>
          <w:b w:val="0"/>
          <w:bCs/>
          <w:sz w:val="24"/>
          <w:szCs w:val="24"/>
          <w:lang w:eastAsia="en-GB"/>
        </w:rPr>
        <w:t>Summary of the included articles</w:t>
      </w:r>
    </w:p>
    <w:tbl>
      <w:tblPr>
        <w:tblStyle w:val="TableGridLight2"/>
        <w:tblpPr w:leftFromText="180" w:rightFromText="180" w:vertAnchor="text" w:horzAnchor="margin" w:tblpY="412"/>
        <w:tblW w:w="15390" w:type="dxa"/>
        <w:tblLook w:val="04A0" w:firstRow="1" w:lastRow="0" w:firstColumn="1" w:lastColumn="0" w:noHBand="0" w:noVBand="1"/>
      </w:tblPr>
      <w:tblGrid>
        <w:gridCol w:w="1413"/>
        <w:gridCol w:w="3260"/>
        <w:gridCol w:w="3119"/>
        <w:gridCol w:w="2976"/>
        <w:gridCol w:w="4622"/>
      </w:tblGrid>
      <w:tr w:rsidR="00B764CC" w:rsidRPr="00B764CC" w14:paraId="321838B4" w14:textId="77777777" w:rsidTr="003000D3">
        <w:trPr>
          <w:trHeight w:val="132"/>
        </w:trPr>
        <w:tc>
          <w:tcPr>
            <w:tcW w:w="1413" w:type="dxa"/>
            <w:hideMark/>
          </w:tcPr>
          <w:p w14:paraId="1702573D" w14:textId="77777777" w:rsidR="00B764CC" w:rsidRPr="00B764CC" w:rsidRDefault="00B764CC" w:rsidP="00B764CC">
            <w:pPr>
              <w:spacing w:after="240" w:line="240" w:lineRule="auto"/>
              <w:jc w:val="center"/>
              <w:rPr>
                <w:rFonts w:ascii="Arial" w:eastAsia="Times New Roman" w:hAnsi="Arial" w:cs="Arial"/>
                <w:b/>
                <w:color w:val="000000" w:themeColor="text1"/>
                <w:sz w:val="18"/>
                <w:szCs w:val="18"/>
              </w:rPr>
            </w:pPr>
            <w:r w:rsidRPr="00B764CC">
              <w:rPr>
                <w:rFonts w:ascii="Arial" w:eastAsia="Times New Roman" w:hAnsi="Arial" w:cs="Arial"/>
                <w:b/>
                <w:color w:val="000000" w:themeColor="text1"/>
                <w:sz w:val="18"/>
                <w:szCs w:val="18"/>
              </w:rPr>
              <w:t>Author(s), year, country</w:t>
            </w:r>
          </w:p>
        </w:tc>
        <w:tc>
          <w:tcPr>
            <w:tcW w:w="3260" w:type="dxa"/>
            <w:hideMark/>
          </w:tcPr>
          <w:p w14:paraId="4FD96B98" w14:textId="77777777" w:rsidR="00B764CC" w:rsidRPr="00B764CC" w:rsidRDefault="00B764CC" w:rsidP="00B764CC">
            <w:pPr>
              <w:spacing w:after="240" w:line="240" w:lineRule="auto"/>
              <w:jc w:val="center"/>
              <w:rPr>
                <w:rFonts w:ascii="Arial" w:eastAsia="Times New Roman" w:hAnsi="Arial" w:cs="Arial"/>
                <w:b/>
                <w:color w:val="000000" w:themeColor="text1"/>
                <w:sz w:val="18"/>
                <w:szCs w:val="18"/>
              </w:rPr>
            </w:pPr>
            <w:r w:rsidRPr="00B764CC">
              <w:rPr>
                <w:rFonts w:ascii="Arial" w:eastAsia="Times New Roman" w:hAnsi="Arial" w:cs="Arial"/>
                <w:b/>
                <w:color w:val="000000" w:themeColor="text1"/>
                <w:sz w:val="18"/>
                <w:szCs w:val="18"/>
              </w:rPr>
              <w:t>Aims, methods</w:t>
            </w:r>
          </w:p>
        </w:tc>
        <w:tc>
          <w:tcPr>
            <w:tcW w:w="3119" w:type="dxa"/>
            <w:hideMark/>
          </w:tcPr>
          <w:p w14:paraId="6301750B" w14:textId="77777777" w:rsidR="00B764CC" w:rsidRPr="00B764CC" w:rsidRDefault="00B764CC" w:rsidP="00B764CC">
            <w:pPr>
              <w:spacing w:after="240" w:line="240" w:lineRule="auto"/>
              <w:jc w:val="center"/>
              <w:rPr>
                <w:rFonts w:ascii="Arial" w:eastAsia="Times New Roman" w:hAnsi="Arial" w:cs="Arial"/>
                <w:b/>
                <w:color w:val="000000" w:themeColor="text1"/>
                <w:sz w:val="18"/>
                <w:szCs w:val="18"/>
              </w:rPr>
            </w:pPr>
            <w:r w:rsidRPr="00B764CC">
              <w:rPr>
                <w:rFonts w:ascii="Arial" w:eastAsia="Times New Roman" w:hAnsi="Arial" w:cs="Arial"/>
                <w:b/>
                <w:color w:val="000000" w:themeColor="text1"/>
                <w:sz w:val="18"/>
                <w:szCs w:val="18"/>
              </w:rPr>
              <w:t>Population, sample size, age, gender, setting</w:t>
            </w:r>
          </w:p>
        </w:tc>
        <w:tc>
          <w:tcPr>
            <w:tcW w:w="2976" w:type="dxa"/>
          </w:tcPr>
          <w:p w14:paraId="49F40422" w14:textId="77777777" w:rsidR="00B764CC" w:rsidRPr="00B764CC" w:rsidRDefault="00B764CC" w:rsidP="00B764CC">
            <w:pPr>
              <w:spacing w:line="240" w:lineRule="auto"/>
              <w:jc w:val="center"/>
              <w:rPr>
                <w:rFonts w:ascii="Arial" w:eastAsia="Times New Roman" w:hAnsi="Arial" w:cs="Arial"/>
                <w:b/>
                <w:color w:val="000000" w:themeColor="text1"/>
                <w:sz w:val="18"/>
                <w:szCs w:val="18"/>
              </w:rPr>
            </w:pPr>
            <w:r w:rsidRPr="00B764CC">
              <w:rPr>
                <w:rFonts w:ascii="Arial" w:eastAsia="Times New Roman" w:hAnsi="Arial" w:cs="Arial"/>
                <w:b/>
                <w:color w:val="000000" w:themeColor="text1"/>
                <w:sz w:val="18"/>
                <w:szCs w:val="18"/>
              </w:rPr>
              <w:t>Pressure injury risk assessment tool,</w:t>
            </w:r>
          </w:p>
          <w:p w14:paraId="314F5DBA" w14:textId="77777777" w:rsidR="00B764CC" w:rsidRPr="00B764CC" w:rsidRDefault="00B764CC" w:rsidP="00B764CC">
            <w:pPr>
              <w:spacing w:line="240" w:lineRule="auto"/>
              <w:jc w:val="center"/>
              <w:rPr>
                <w:rFonts w:ascii="Arial" w:eastAsia="Times New Roman" w:hAnsi="Arial" w:cs="Arial"/>
                <w:color w:val="000000" w:themeColor="text1"/>
                <w:sz w:val="18"/>
                <w:szCs w:val="18"/>
              </w:rPr>
            </w:pPr>
            <w:r w:rsidRPr="00B764CC">
              <w:rPr>
                <w:rFonts w:ascii="Arial" w:eastAsia="Times New Roman" w:hAnsi="Arial" w:cs="Arial"/>
                <w:b/>
                <w:color w:val="000000" w:themeColor="text1"/>
                <w:sz w:val="18"/>
                <w:szCs w:val="18"/>
              </w:rPr>
              <w:t>Other clinical assessments</w:t>
            </w:r>
          </w:p>
        </w:tc>
        <w:tc>
          <w:tcPr>
            <w:tcW w:w="4622" w:type="dxa"/>
          </w:tcPr>
          <w:p w14:paraId="4CCB6616" w14:textId="77777777" w:rsidR="00B764CC" w:rsidRPr="00B764CC" w:rsidRDefault="00B764CC" w:rsidP="00B764CC">
            <w:pPr>
              <w:spacing w:after="240" w:line="240" w:lineRule="auto"/>
              <w:jc w:val="center"/>
              <w:rPr>
                <w:rFonts w:ascii="Arial" w:eastAsia="Times New Roman" w:hAnsi="Arial" w:cs="Arial"/>
                <w:b/>
                <w:color w:val="000000" w:themeColor="text1"/>
                <w:sz w:val="18"/>
                <w:szCs w:val="18"/>
              </w:rPr>
            </w:pPr>
            <w:r w:rsidRPr="00B764CC">
              <w:rPr>
                <w:rFonts w:ascii="Arial" w:eastAsia="Times New Roman" w:hAnsi="Arial" w:cs="Arial"/>
                <w:b/>
                <w:color w:val="000000" w:themeColor="text1"/>
                <w:sz w:val="18"/>
                <w:szCs w:val="18"/>
              </w:rPr>
              <w:t>Outcomes, key findings</w:t>
            </w:r>
          </w:p>
        </w:tc>
      </w:tr>
      <w:tr w:rsidR="00B764CC" w:rsidRPr="00B764CC" w14:paraId="5324AFA1" w14:textId="77777777" w:rsidTr="003000D3">
        <w:trPr>
          <w:trHeight w:val="1497"/>
        </w:trPr>
        <w:tc>
          <w:tcPr>
            <w:tcW w:w="1413" w:type="dxa"/>
          </w:tcPr>
          <w:p w14:paraId="66441BA4"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sz w:val="18"/>
                <w:szCs w:val="18"/>
                <w:lang w:eastAsia="en-GB"/>
              </w:rPr>
              <w:t xml:space="preserve">Antony et al. (2023) </w:t>
            </w:r>
            <w:r w:rsidRPr="00B764CC">
              <w:rPr>
                <w:rFonts w:ascii="Arial" w:eastAsia="Times New Roman" w:hAnsi="Arial" w:cs="Arial"/>
                <w:bCs/>
                <w:color w:val="000000"/>
                <w:sz w:val="18"/>
                <w:szCs w:val="18"/>
                <w:lang w:eastAsia="en-AU"/>
              </w:rPr>
              <w:t>India [39]</w:t>
            </w:r>
          </w:p>
        </w:tc>
        <w:tc>
          <w:tcPr>
            <w:tcW w:w="3260" w:type="dxa"/>
          </w:tcPr>
          <w:p w14:paraId="5DE56301"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Aims</w:t>
            </w:r>
            <w:r w:rsidRPr="00B764CC">
              <w:rPr>
                <w:rFonts w:ascii="Arial" w:eastAsia="Calibri" w:hAnsi="Arial" w:cs="Arial"/>
                <w:sz w:val="18"/>
                <w:szCs w:val="18"/>
                <w:lang w:eastAsia="en-GB"/>
              </w:rPr>
              <w:t xml:space="preserve">: </w:t>
            </w:r>
          </w:p>
          <w:p w14:paraId="441403F1"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Primary: To implement evidence-based guidelines for caregivers of palliative care patients on PI prevention.</w:t>
            </w:r>
          </w:p>
          <w:p w14:paraId="4EE80194"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Secondary: To improve the knowledge and practice of caregivers and enable them to take measures to prevent PI development among palliative care patients.</w:t>
            </w:r>
          </w:p>
          <w:p w14:paraId="35915A1E" w14:textId="77777777" w:rsidR="00B764CC" w:rsidRPr="00B764CC" w:rsidRDefault="00B764CC" w:rsidP="00B764CC">
            <w:pPr>
              <w:spacing w:line="240" w:lineRule="auto"/>
              <w:rPr>
                <w:rFonts w:ascii="Arial" w:eastAsia="Calibri" w:hAnsi="Arial" w:cs="Arial"/>
                <w:i/>
                <w:iCs/>
                <w:sz w:val="18"/>
                <w:szCs w:val="18"/>
                <w:lang w:eastAsia="en-GB"/>
              </w:rPr>
            </w:pPr>
          </w:p>
          <w:p w14:paraId="243AF217" w14:textId="77777777" w:rsidR="00B764CC" w:rsidRPr="00B764CC" w:rsidRDefault="00B764CC" w:rsidP="00B764CC">
            <w:pPr>
              <w:spacing w:line="240" w:lineRule="auto"/>
              <w:rPr>
                <w:rFonts w:ascii="Arial" w:eastAsia="Calibri" w:hAnsi="Arial" w:cs="Arial"/>
                <w:i/>
                <w:iCs/>
                <w:sz w:val="18"/>
                <w:szCs w:val="18"/>
                <w:lang w:eastAsia="en-GB"/>
              </w:rPr>
            </w:pPr>
            <w:r w:rsidRPr="00B764CC">
              <w:rPr>
                <w:rFonts w:ascii="Arial" w:eastAsia="Calibri" w:hAnsi="Arial" w:cs="Arial"/>
                <w:i/>
                <w:iCs/>
                <w:sz w:val="18"/>
                <w:szCs w:val="18"/>
                <w:lang w:eastAsia="en-GB"/>
              </w:rPr>
              <w:t>Methods:</w:t>
            </w:r>
          </w:p>
          <w:p w14:paraId="046610E2"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Systematic review of 11 articles for qualitative synthesis to prepare clinical practice guidelines for PI prevention.</w:t>
            </w:r>
          </w:p>
        </w:tc>
        <w:tc>
          <w:tcPr>
            <w:tcW w:w="3119" w:type="dxa"/>
          </w:tcPr>
          <w:p w14:paraId="5AA26E3D"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246C0695"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Palliative care patients.</w:t>
            </w:r>
          </w:p>
          <w:p w14:paraId="5F455599" w14:textId="77777777" w:rsidR="00B764CC" w:rsidRPr="00B764CC" w:rsidRDefault="00B764CC" w:rsidP="00B764CC">
            <w:pPr>
              <w:spacing w:line="240" w:lineRule="auto"/>
              <w:rPr>
                <w:rFonts w:ascii="Arial" w:eastAsia="Calibri" w:hAnsi="Arial" w:cs="Arial"/>
                <w:sz w:val="18"/>
                <w:szCs w:val="18"/>
                <w:lang w:eastAsia="en-GB"/>
              </w:rPr>
            </w:pPr>
          </w:p>
          <w:p w14:paraId="01F1B5C3"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Sample size</w:t>
            </w:r>
            <w:r w:rsidRPr="00B764CC">
              <w:rPr>
                <w:rFonts w:ascii="Arial" w:eastAsia="Calibri" w:hAnsi="Arial" w:cs="Arial"/>
                <w:sz w:val="18"/>
                <w:szCs w:val="18"/>
                <w:lang w:eastAsia="en-GB"/>
              </w:rPr>
              <w:t xml:space="preserve">: </w:t>
            </w:r>
          </w:p>
          <w:p w14:paraId="30D6B1E3" w14:textId="77777777" w:rsidR="00B764CC" w:rsidRPr="00B764CC" w:rsidRDefault="00B764CC">
            <w:pPr>
              <w:numPr>
                <w:ilvl w:val="0"/>
                <w:numId w:val="1"/>
              </w:numPr>
              <w:spacing w:line="240" w:lineRule="auto"/>
              <w:contextualSpacing/>
              <w:rPr>
                <w:rFonts w:ascii="Arial" w:eastAsia="Calibri" w:hAnsi="Arial" w:cs="Arial"/>
                <w:sz w:val="18"/>
                <w:szCs w:val="18"/>
                <w:lang w:eastAsia="en-GB"/>
              </w:rPr>
            </w:pPr>
            <w:r w:rsidRPr="00B764CC">
              <w:rPr>
                <w:rFonts w:ascii="Arial" w:eastAsia="Calibri" w:hAnsi="Arial" w:cs="Arial"/>
                <w:sz w:val="18"/>
                <w:szCs w:val="18"/>
                <w:lang w:eastAsia="en-GB"/>
              </w:rPr>
              <w:t xml:space="preserve">Clinical practice guideline </w:t>
            </w:r>
            <w:r w:rsidRPr="00B764CC">
              <w:rPr>
                <w:rFonts w:ascii="Arial" w:eastAsia="Calibri" w:hAnsi="Arial" w:cs="Arial"/>
                <w:i/>
                <w:iCs/>
                <w:sz w:val="18"/>
                <w:szCs w:val="18"/>
                <w:lang w:eastAsia="en-GB"/>
              </w:rPr>
              <w:t xml:space="preserve">n = </w:t>
            </w:r>
            <w:r w:rsidRPr="00B764CC">
              <w:rPr>
                <w:rFonts w:ascii="Arial" w:eastAsia="Calibri" w:hAnsi="Arial" w:cs="Arial"/>
                <w:sz w:val="18"/>
                <w:szCs w:val="18"/>
                <w:lang w:eastAsia="en-GB"/>
              </w:rPr>
              <w:t>2</w:t>
            </w:r>
          </w:p>
          <w:p w14:paraId="37732636" w14:textId="77777777" w:rsidR="00B764CC" w:rsidRPr="00B764CC" w:rsidRDefault="00B764CC">
            <w:pPr>
              <w:numPr>
                <w:ilvl w:val="0"/>
                <w:numId w:val="1"/>
              </w:numPr>
              <w:spacing w:line="240" w:lineRule="auto"/>
              <w:contextualSpacing/>
              <w:rPr>
                <w:rFonts w:ascii="Arial" w:eastAsia="Calibri" w:hAnsi="Arial" w:cs="Arial"/>
                <w:sz w:val="18"/>
                <w:szCs w:val="18"/>
                <w:lang w:eastAsia="en-GB"/>
              </w:rPr>
            </w:pPr>
            <w:r w:rsidRPr="00B764CC">
              <w:rPr>
                <w:rFonts w:ascii="Arial" w:eastAsia="Calibri" w:hAnsi="Arial" w:cs="Arial"/>
                <w:sz w:val="18"/>
                <w:szCs w:val="18"/>
                <w:lang w:eastAsia="en-GB"/>
              </w:rPr>
              <w:t xml:space="preserve">Systematic review </w:t>
            </w:r>
            <w:r w:rsidRPr="00B764CC">
              <w:rPr>
                <w:rFonts w:ascii="Arial" w:eastAsia="Calibri" w:hAnsi="Arial" w:cs="Arial"/>
                <w:i/>
                <w:iCs/>
                <w:sz w:val="18"/>
                <w:szCs w:val="18"/>
                <w:lang w:eastAsia="en-GB"/>
              </w:rPr>
              <w:t xml:space="preserve">n = </w:t>
            </w:r>
            <w:r w:rsidRPr="00B764CC">
              <w:rPr>
                <w:rFonts w:ascii="Arial" w:eastAsia="Calibri" w:hAnsi="Arial" w:cs="Arial"/>
                <w:sz w:val="18"/>
                <w:szCs w:val="18"/>
                <w:lang w:eastAsia="en-GB"/>
              </w:rPr>
              <w:t>4</w:t>
            </w:r>
          </w:p>
          <w:p w14:paraId="578DC0CE" w14:textId="77777777" w:rsidR="00B764CC" w:rsidRPr="00B764CC" w:rsidRDefault="00B764CC">
            <w:pPr>
              <w:numPr>
                <w:ilvl w:val="0"/>
                <w:numId w:val="1"/>
              </w:numPr>
              <w:spacing w:line="240" w:lineRule="auto"/>
              <w:contextualSpacing/>
              <w:rPr>
                <w:rFonts w:ascii="Arial" w:eastAsia="Calibri" w:hAnsi="Arial" w:cs="Arial"/>
                <w:sz w:val="18"/>
                <w:szCs w:val="18"/>
                <w:lang w:eastAsia="en-GB"/>
              </w:rPr>
            </w:pPr>
            <w:r w:rsidRPr="00B764CC">
              <w:rPr>
                <w:rFonts w:ascii="Arial" w:eastAsia="Calibri" w:hAnsi="Arial" w:cs="Arial"/>
                <w:sz w:val="18"/>
                <w:szCs w:val="18"/>
                <w:lang w:eastAsia="en-GB"/>
              </w:rPr>
              <w:t xml:space="preserve">Randomised Controlled Trials (RCT) </w:t>
            </w:r>
            <w:r w:rsidRPr="00B764CC">
              <w:rPr>
                <w:rFonts w:ascii="Arial" w:eastAsia="Calibri" w:hAnsi="Arial" w:cs="Arial"/>
                <w:i/>
                <w:iCs/>
                <w:sz w:val="18"/>
                <w:szCs w:val="18"/>
                <w:lang w:eastAsia="en-GB"/>
              </w:rPr>
              <w:t xml:space="preserve">n = </w:t>
            </w:r>
            <w:r w:rsidRPr="00B764CC">
              <w:rPr>
                <w:rFonts w:ascii="Arial" w:eastAsia="Calibri" w:hAnsi="Arial" w:cs="Arial"/>
                <w:sz w:val="18"/>
                <w:szCs w:val="18"/>
                <w:lang w:eastAsia="en-GB"/>
              </w:rPr>
              <w:t>5</w:t>
            </w:r>
          </w:p>
          <w:p w14:paraId="742A7AD8" w14:textId="77777777" w:rsidR="00B764CC" w:rsidRPr="00B764CC" w:rsidRDefault="00B764CC" w:rsidP="00B764CC">
            <w:pPr>
              <w:spacing w:line="240" w:lineRule="auto"/>
              <w:rPr>
                <w:rFonts w:ascii="Arial" w:eastAsia="Times New Roman" w:hAnsi="Arial" w:cs="Arial"/>
                <w:sz w:val="18"/>
                <w:szCs w:val="18"/>
                <w:lang w:eastAsia="en-AU"/>
              </w:rPr>
            </w:pPr>
          </w:p>
          <w:p w14:paraId="1CB7B2C6"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xml:space="preserve">: </w:t>
            </w:r>
          </w:p>
          <w:p w14:paraId="4E52049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 xml:space="preserve">≥ 18 years </w:t>
            </w:r>
          </w:p>
          <w:p w14:paraId="3B87B4BB"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 xml:space="preserve">        (Inclusion criterion for studies)</w:t>
            </w:r>
          </w:p>
          <w:p w14:paraId="602D3E87" w14:textId="77777777" w:rsidR="00B764CC" w:rsidRPr="00B764CC" w:rsidRDefault="00B764CC" w:rsidP="00B764CC">
            <w:pPr>
              <w:spacing w:line="240" w:lineRule="auto"/>
              <w:rPr>
                <w:rFonts w:ascii="Arial" w:eastAsia="Times New Roman" w:hAnsi="Arial" w:cs="Arial"/>
                <w:sz w:val="18"/>
                <w:szCs w:val="18"/>
                <w:lang w:eastAsia="en-AU"/>
              </w:rPr>
            </w:pPr>
          </w:p>
          <w:p w14:paraId="42C49DA8"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 N/A</w:t>
            </w:r>
          </w:p>
          <w:p w14:paraId="0BE0FCFE" w14:textId="77777777" w:rsidR="00B764CC" w:rsidRPr="00B764CC" w:rsidRDefault="00B764CC" w:rsidP="00B764CC">
            <w:pPr>
              <w:spacing w:line="240" w:lineRule="auto"/>
              <w:rPr>
                <w:rFonts w:ascii="Arial" w:eastAsia="Times New Roman" w:hAnsi="Arial" w:cs="Arial"/>
                <w:i/>
                <w:iCs/>
                <w:sz w:val="18"/>
                <w:szCs w:val="18"/>
                <w:lang w:eastAsia="en-AU"/>
              </w:rPr>
            </w:pPr>
          </w:p>
          <w:p w14:paraId="51565046"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p>
          <w:p w14:paraId="77526983"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All settings with palliative care patients</w:t>
            </w:r>
          </w:p>
        </w:tc>
        <w:tc>
          <w:tcPr>
            <w:tcW w:w="2976" w:type="dxa"/>
          </w:tcPr>
          <w:p w14:paraId="2FA6CFDC"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Pressure injury risk assessment tool:</w:t>
            </w:r>
          </w:p>
          <w:p w14:paraId="2D80FBC5" w14:textId="77777777" w:rsidR="00B764CC" w:rsidRPr="00B764CC" w:rsidRDefault="00B764CC">
            <w:pPr>
              <w:numPr>
                <w:ilvl w:val="0"/>
                <w:numId w:val="2"/>
              </w:numPr>
              <w:spacing w:line="240" w:lineRule="auto"/>
              <w:contextualSpacing/>
              <w:rPr>
                <w:rFonts w:ascii="Arial" w:eastAsia="Calibri" w:hAnsi="Arial" w:cs="Arial"/>
                <w:sz w:val="18"/>
                <w:szCs w:val="18"/>
                <w:lang w:eastAsia="en-GB"/>
              </w:rPr>
            </w:pPr>
            <w:r w:rsidRPr="00B764CC">
              <w:rPr>
                <w:rFonts w:ascii="Arial" w:eastAsia="Calibri" w:hAnsi="Arial" w:cs="Arial"/>
                <w:sz w:val="18"/>
                <w:szCs w:val="18"/>
                <w:lang w:eastAsia="en-GB"/>
              </w:rPr>
              <w:t>Baden Scale</w:t>
            </w:r>
          </w:p>
          <w:p w14:paraId="48478E08" w14:textId="77777777" w:rsidR="00B764CC" w:rsidRPr="00B764CC" w:rsidRDefault="00B764CC" w:rsidP="00B764CC">
            <w:pPr>
              <w:spacing w:line="240" w:lineRule="auto"/>
              <w:rPr>
                <w:rFonts w:ascii="Arial" w:eastAsia="Calibri" w:hAnsi="Arial" w:cs="Arial"/>
                <w:sz w:val="18"/>
                <w:szCs w:val="18"/>
                <w:lang w:eastAsia="en-GB"/>
              </w:rPr>
            </w:pPr>
          </w:p>
          <w:p w14:paraId="7C209E19"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 xml:space="preserve">: </w:t>
            </w:r>
          </w:p>
          <w:p w14:paraId="0A5E1315" w14:textId="77777777" w:rsidR="00B764CC" w:rsidRPr="00B764CC" w:rsidRDefault="00B764CC">
            <w:pPr>
              <w:numPr>
                <w:ilvl w:val="0"/>
                <w:numId w:val="2"/>
              </w:numPr>
              <w:spacing w:line="240" w:lineRule="auto"/>
              <w:contextualSpacing/>
              <w:rPr>
                <w:rFonts w:ascii="Arial" w:eastAsia="Calibri" w:hAnsi="Arial" w:cs="Arial"/>
                <w:sz w:val="18"/>
                <w:szCs w:val="18"/>
                <w:lang w:eastAsia="en-GB"/>
              </w:rPr>
            </w:pPr>
            <w:r w:rsidRPr="00B764CC">
              <w:rPr>
                <w:rFonts w:ascii="Arial" w:eastAsia="Calibri" w:hAnsi="Arial" w:cs="Arial"/>
                <w:sz w:val="18"/>
                <w:szCs w:val="18"/>
                <w:lang w:eastAsia="en-GB"/>
              </w:rPr>
              <w:t>Conduct skin assessment as soon as possible (within 4 hours of reaching home)</w:t>
            </w:r>
          </w:p>
          <w:p w14:paraId="560EB29E" w14:textId="77777777" w:rsidR="00B764CC" w:rsidRPr="00B764CC" w:rsidRDefault="00B764CC">
            <w:pPr>
              <w:numPr>
                <w:ilvl w:val="0"/>
                <w:numId w:val="2"/>
              </w:numPr>
              <w:spacing w:line="240" w:lineRule="auto"/>
              <w:contextualSpacing/>
              <w:rPr>
                <w:rFonts w:ascii="Arial" w:eastAsia="Calibri" w:hAnsi="Arial" w:cs="Arial"/>
                <w:sz w:val="18"/>
                <w:szCs w:val="18"/>
                <w:lang w:eastAsia="en-GB"/>
              </w:rPr>
            </w:pPr>
            <w:r w:rsidRPr="00B764CC">
              <w:rPr>
                <w:rFonts w:ascii="Arial" w:eastAsia="Calibri" w:hAnsi="Arial" w:cs="Arial"/>
                <w:sz w:val="18"/>
                <w:szCs w:val="18"/>
                <w:lang w:eastAsia="en-GB"/>
              </w:rPr>
              <w:t>Comprehensive skin assessment twice daily</w:t>
            </w:r>
          </w:p>
        </w:tc>
        <w:tc>
          <w:tcPr>
            <w:tcW w:w="4622" w:type="dxa"/>
          </w:tcPr>
          <w:p w14:paraId="0CE734C3"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 xml:space="preserve">: </w:t>
            </w:r>
          </w:p>
          <w:p w14:paraId="1CDFDCC2"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sz w:val="18"/>
                <w:szCs w:val="18"/>
              </w:rPr>
              <w:t>Use Braden Scale for Predicting Pressure Sore Risk in Home Care Preventive skincare.</w:t>
            </w:r>
          </w:p>
        </w:tc>
      </w:tr>
      <w:tr w:rsidR="00B764CC" w:rsidRPr="00B764CC" w14:paraId="5336FC1C" w14:textId="77777777" w:rsidTr="003000D3">
        <w:trPr>
          <w:trHeight w:val="67"/>
        </w:trPr>
        <w:tc>
          <w:tcPr>
            <w:tcW w:w="1413" w:type="dxa"/>
          </w:tcPr>
          <w:p w14:paraId="41729352" w14:textId="77777777" w:rsidR="00B764CC" w:rsidRPr="00B764CC" w:rsidRDefault="00B764CC" w:rsidP="00B764CC">
            <w:pPr>
              <w:spacing w:line="240" w:lineRule="auto"/>
              <w:rPr>
                <w:rFonts w:ascii="Arial" w:eastAsia="Calibri" w:hAnsi="Arial" w:cs="Arial"/>
                <w:color w:val="000000"/>
                <w:sz w:val="18"/>
                <w:szCs w:val="18"/>
                <w:lang w:eastAsia="en-GB"/>
              </w:rPr>
            </w:pPr>
            <w:r w:rsidRPr="00B764CC">
              <w:rPr>
                <w:rFonts w:ascii="Arial" w:eastAsia="Calibri" w:hAnsi="Arial" w:cs="Arial"/>
                <w:bCs/>
                <w:sz w:val="18"/>
                <w:szCs w:val="18"/>
                <w:lang w:eastAsia="en-GB"/>
              </w:rPr>
              <w:t xml:space="preserve">Emmons et al. </w:t>
            </w:r>
          </w:p>
          <w:p w14:paraId="638A96D7"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color w:val="000000"/>
                <w:sz w:val="18"/>
                <w:szCs w:val="18"/>
                <w:lang w:eastAsia="en-GB"/>
              </w:rPr>
              <w:t>(2014) United States [40]</w:t>
            </w:r>
          </w:p>
        </w:tc>
        <w:tc>
          <w:tcPr>
            <w:tcW w:w="3260" w:type="dxa"/>
          </w:tcPr>
          <w:p w14:paraId="56C99F14"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Aims:</w:t>
            </w:r>
            <w:r w:rsidRPr="00B764CC">
              <w:rPr>
                <w:rFonts w:ascii="Arial" w:eastAsia="Calibri" w:hAnsi="Arial" w:cs="Arial"/>
                <w:sz w:val="18"/>
                <w:szCs w:val="18"/>
                <w:lang w:eastAsia="en-GB"/>
              </w:rPr>
              <w:t xml:space="preserve"> </w:t>
            </w:r>
          </w:p>
          <w:p w14:paraId="0FE8AE77"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To discuss palliative wound care principles by common types of wounds and then practical management of specific symptoms regardless of wound aetiology.</w:t>
            </w:r>
          </w:p>
          <w:p w14:paraId="6C79C9CB" w14:textId="77777777" w:rsidR="00B764CC" w:rsidRPr="00B764CC" w:rsidRDefault="00B764CC" w:rsidP="00B764CC">
            <w:pPr>
              <w:spacing w:line="240" w:lineRule="auto"/>
              <w:rPr>
                <w:rFonts w:ascii="Arial" w:eastAsia="Times New Roman" w:hAnsi="Arial" w:cs="Arial"/>
                <w:i/>
                <w:iCs/>
                <w:sz w:val="18"/>
                <w:szCs w:val="18"/>
                <w:lang w:eastAsia="en-AU"/>
              </w:rPr>
            </w:pPr>
          </w:p>
          <w:p w14:paraId="173F644A"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Methods</w:t>
            </w:r>
            <w:r w:rsidRPr="00B764CC">
              <w:rPr>
                <w:rFonts w:ascii="Arial" w:eastAsia="Times New Roman" w:hAnsi="Arial" w:cs="Arial"/>
                <w:sz w:val="18"/>
                <w:szCs w:val="18"/>
                <w:lang w:eastAsia="en-AU"/>
              </w:rPr>
              <w:t>:</w:t>
            </w:r>
          </w:p>
          <w:p w14:paraId="75F721F4"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 xml:space="preserve">Discussion paper (Part 2 of 2-part series) on principles of palliative wound care. </w:t>
            </w:r>
          </w:p>
        </w:tc>
        <w:tc>
          <w:tcPr>
            <w:tcW w:w="3119" w:type="dxa"/>
          </w:tcPr>
          <w:p w14:paraId="24DE7AE3"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061D2A04"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Palliative care patients.</w:t>
            </w:r>
          </w:p>
          <w:p w14:paraId="27E17CDF" w14:textId="77777777" w:rsidR="00B764CC" w:rsidRPr="00B764CC" w:rsidRDefault="00B764CC" w:rsidP="00B764CC">
            <w:pPr>
              <w:spacing w:line="240" w:lineRule="auto"/>
              <w:rPr>
                <w:rFonts w:ascii="Arial" w:eastAsia="Times New Roman" w:hAnsi="Arial" w:cs="Arial"/>
                <w:sz w:val="18"/>
                <w:szCs w:val="18"/>
                <w:lang w:eastAsia="en-AU"/>
              </w:rPr>
            </w:pPr>
          </w:p>
          <w:p w14:paraId="1080514E"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i/>
                <w:iCs/>
                <w:sz w:val="18"/>
                <w:szCs w:val="18"/>
                <w:lang w:eastAsia="en-AU"/>
              </w:rPr>
              <w:t>Sample size</w:t>
            </w:r>
            <w:r w:rsidRPr="00B764CC">
              <w:rPr>
                <w:rFonts w:ascii="Arial" w:eastAsia="Times New Roman" w:hAnsi="Arial" w:cs="Arial"/>
                <w:sz w:val="18"/>
                <w:szCs w:val="18"/>
                <w:lang w:eastAsia="en-AU"/>
              </w:rPr>
              <w:t>: N/A</w:t>
            </w:r>
          </w:p>
          <w:p w14:paraId="25BBCC18" w14:textId="77777777" w:rsidR="00B764CC" w:rsidRPr="00B764CC" w:rsidRDefault="00B764CC" w:rsidP="00B764CC">
            <w:pPr>
              <w:spacing w:line="240" w:lineRule="auto"/>
              <w:rPr>
                <w:rFonts w:ascii="Arial" w:eastAsia="Times New Roman" w:hAnsi="Arial" w:cs="Arial"/>
                <w:sz w:val="18"/>
                <w:szCs w:val="18"/>
                <w:lang w:eastAsia="en-AU"/>
              </w:rPr>
            </w:pPr>
          </w:p>
          <w:p w14:paraId="30917562"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N/A</w:t>
            </w:r>
          </w:p>
          <w:p w14:paraId="57510113" w14:textId="77777777" w:rsidR="00B764CC" w:rsidRPr="00B764CC" w:rsidRDefault="00B764CC" w:rsidP="00B764CC">
            <w:pPr>
              <w:spacing w:line="240" w:lineRule="auto"/>
              <w:rPr>
                <w:rFonts w:ascii="Arial" w:eastAsia="Times New Roman" w:hAnsi="Arial" w:cs="Arial"/>
                <w:sz w:val="18"/>
                <w:szCs w:val="18"/>
                <w:lang w:eastAsia="en-AU"/>
              </w:rPr>
            </w:pPr>
          </w:p>
          <w:p w14:paraId="59A312E3"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 N/A</w:t>
            </w:r>
          </w:p>
          <w:p w14:paraId="60187843" w14:textId="77777777" w:rsidR="00B764CC" w:rsidRPr="00B764CC" w:rsidRDefault="00B764CC" w:rsidP="00B764CC">
            <w:pPr>
              <w:spacing w:line="240" w:lineRule="auto"/>
              <w:rPr>
                <w:rFonts w:ascii="Arial" w:eastAsia="Calibri" w:hAnsi="Arial" w:cs="Arial"/>
                <w:i/>
                <w:iCs/>
                <w:sz w:val="18"/>
                <w:szCs w:val="18"/>
                <w:lang w:eastAsia="en-GB"/>
              </w:rPr>
            </w:pPr>
          </w:p>
          <w:p w14:paraId="25CA8E77"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Setting</w:t>
            </w:r>
            <w:r w:rsidRPr="00B764CC">
              <w:rPr>
                <w:rFonts w:ascii="Arial" w:eastAsia="Calibri" w:hAnsi="Arial" w:cs="Arial"/>
                <w:sz w:val="18"/>
                <w:szCs w:val="18"/>
                <w:lang w:eastAsia="en-GB"/>
              </w:rPr>
              <w:t xml:space="preserve">: </w:t>
            </w:r>
          </w:p>
          <w:p w14:paraId="66C822D3"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Hospice, home care setting</w:t>
            </w:r>
          </w:p>
        </w:tc>
        <w:tc>
          <w:tcPr>
            <w:tcW w:w="2976" w:type="dxa"/>
          </w:tcPr>
          <w:p w14:paraId="26ECF051"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Pressure injury risk assessment tool:</w:t>
            </w:r>
          </w:p>
          <w:p w14:paraId="6ACC09F9" w14:textId="77777777" w:rsidR="00B764CC" w:rsidRPr="00B764CC" w:rsidRDefault="00B764CC">
            <w:pPr>
              <w:numPr>
                <w:ilvl w:val="0"/>
                <w:numId w:val="2"/>
              </w:numPr>
              <w:spacing w:line="240" w:lineRule="auto"/>
              <w:contextualSpacing/>
              <w:rPr>
                <w:rFonts w:ascii="Arial" w:eastAsia="Calibri" w:hAnsi="Arial" w:cs="Arial"/>
                <w:sz w:val="18"/>
                <w:szCs w:val="18"/>
                <w:lang w:eastAsia="en-GB"/>
              </w:rPr>
            </w:pPr>
            <w:r w:rsidRPr="00B764CC">
              <w:rPr>
                <w:rFonts w:ascii="Arial" w:eastAsia="Calibri" w:hAnsi="Arial" w:cs="Arial"/>
                <w:sz w:val="18"/>
                <w:szCs w:val="18"/>
                <w:lang w:eastAsia="en-GB"/>
              </w:rPr>
              <w:t xml:space="preserve">Baden Scale for Predicting Sore Risk </w:t>
            </w:r>
          </w:p>
          <w:p w14:paraId="30A7784A" w14:textId="77777777" w:rsidR="00B764CC" w:rsidRPr="00B764CC" w:rsidRDefault="00B764CC" w:rsidP="00B764CC">
            <w:pPr>
              <w:spacing w:line="240" w:lineRule="auto"/>
              <w:rPr>
                <w:rFonts w:ascii="Arial" w:eastAsia="Calibri" w:hAnsi="Arial" w:cs="Arial"/>
                <w:sz w:val="18"/>
                <w:szCs w:val="18"/>
                <w:lang w:eastAsia="en-GB"/>
              </w:rPr>
            </w:pPr>
          </w:p>
          <w:p w14:paraId="23BE78D7" w14:textId="77777777" w:rsidR="00B764CC" w:rsidRPr="00B764CC" w:rsidRDefault="00B764CC" w:rsidP="00B764CC">
            <w:pPr>
              <w:spacing w:line="240" w:lineRule="auto"/>
              <w:rPr>
                <w:rFonts w:ascii="Arial" w:eastAsia="Calibri" w:hAnsi="Arial" w:cs="Arial"/>
                <w:i/>
                <w:iCs/>
                <w:sz w:val="18"/>
                <w:szCs w:val="18"/>
                <w:lang w:eastAsia="en-GB"/>
              </w:rPr>
            </w:pPr>
            <w:r w:rsidRPr="00B764CC">
              <w:rPr>
                <w:rFonts w:ascii="Arial" w:eastAsia="Calibri" w:hAnsi="Arial" w:cs="Arial"/>
                <w:i/>
                <w:iCs/>
                <w:sz w:val="18"/>
                <w:szCs w:val="18"/>
                <w:lang w:eastAsia="en-GB"/>
              </w:rPr>
              <w:t xml:space="preserve">Other clinical assessments for PI risk: </w:t>
            </w:r>
          </w:p>
          <w:p w14:paraId="5D2E8E4B" w14:textId="77777777" w:rsidR="00B764CC" w:rsidRPr="00B764CC" w:rsidRDefault="00B764CC">
            <w:pPr>
              <w:numPr>
                <w:ilvl w:val="0"/>
                <w:numId w:val="13"/>
              </w:numPr>
              <w:spacing w:line="240" w:lineRule="auto"/>
              <w:contextualSpacing/>
              <w:rPr>
                <w:rFonts w:ascii="Arial" w:eastAsia="Calibri" w:hAnsi="Arial" w:cs="Arial"/>
                <w:bCs/>
                <w:sz w:val="18"/>
                <w:szCs w:val="18"/>
                <w:lang w:eastAsia="en-GB"/>
              </w:rPr>
            </w:pPr>
            <w:r w:rsidRPr="00B764CC">
              <w:rPr>
                <w:rFonts w:ascii="Arial" w:eastAsia="Calibri" w:hAnsi="Arial" w:cs="Arial"/>
                <w:bCs/>
                <w:sz w:val="18"/>
                <w:szCs w:val="18"/>
                <w:lang w:eastAsia="en-GB"/>
              </w:rPr>
              <w:t>None reported</w:t>
            </w:r>
          </w:p>
        </w:tc>
        <w:tc>
          <w:tcPr>
            <w:tcW w:w="4622" w:type="dxa"/>
          </w:tcPr>
          <w:p w14:paraId="5E15CA4E"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04FF043B"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 xml:space="preserve">Braden Scale for Predicting Pressure Sore Risk is a clinically validated risk assessment tool. Sub-scores identifying risk in six areas: (a) sensory perception, (b) moisture, (c) activity, (d) mobility, (e) nutrition, and (f) friction and shear. </w:t>
            </w:r>
          </w:p>
          <w:p w14:paraId="46520281"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A prevention program based on the Braden Scale might consist of interventions focusing on each of the sub-scores.</w:t>
            </w:r>
            <w:r w:rsidRPr="00B764CC">
              <w:rPr>
                <w:rFonts w:ascii="Arial" w:eastAsia="Calibri" w:hAnsi="Arial" w:cs="Arial"/>
                <w:bCs/>
                <w:sz w:val="18"/>
                <w:szCs w:val="18"/>
                <w:lang w:eastAsia="en-GB"/>
              </w:rPr>
              <w:tab/>
            </w:r>
          </w:p>
        </w:tc>
      </w:tr>
      <w:tr w:rsidR="00B764CC" w:rsidRPr="00B764CC" w14:paraId="65FE515B" w14:textId="77777777" w:rsidTr="003000D3">
        <w:trPr>
          <w:trHeight w:val="939"/>
        </w:trPr>
        <w:tc>
          <w:tcPr>
            <w:tcW w:w="1413" w:type="dxa"/>
          </w:tcPr>
          <w:p w14:paraId="7F729190"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sz w:val="18"/>
                <w:szCs w:val="18"/>
                <w:lang w:eastAsia="en-GB"/>
              </w:rPr>
              <w:t>Ferris et al. (</w:t>
            </w:r>
            <w:r w:rsidRPr="00B764CC">
              <w:rPr>
                <w:rFonts w:ascii="Arial" w:eastAsia="Calibri" w:hAnsi="Arial" w:cs="Arial"/>
                <w:bCs/>
                <w:color w:val="000000"/>
                <w:sz w:val="18"/>
                <w:szCs w:val="18"/>
                <w:lang w:eastAsia="en-GB"/>
              </w:rPr>
              <w:t>2019) United Kingdom (Wales) [15]</w:t>
            </w:r>
          </w:p>
          <w:p w14:paraId="694747E2" w14:textId="77777777" w:rsidR="00B764CC" w:rsidRPr="00B764CC" w:rsidRDefault="00B764CC" w:rsidP="00B764CC">
            <w:pPr>
              <w:spacing w:line="240" w:lineRule="auto"/>
              <w:rPr>
                <w:rFonts w:ascii="Arial" w:eastAsia="Times New Roman" w:hAnsi="Arial" w:cs="Arial"/>
                <w:bCs/>
                <w:sz w:val="18"/>
                <w:szCs w:val="18"/>
                <w:lang w:eastAsia="en-AU"/>
              </w:rPr>
            </w:pPr>
          </w:p>
        </w:tc>
        <w:tc>
          <w:tcPr>
            <w:tcW w:w="3260" w:type="dxa"/>
          </w:tcPr>
          <w:p w14:paraId="6E9D8BA1"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Aims</w:t>
            </w:r>
            <w:r w:rsidRPr="00B764CC">
              <w:rPr>
                <w:rFonts w:ascii="Arial" w:eastAsia="Calibri" w:hAnsi="Arial" w:cs="Arial"/>
                <w:sz w:val="18"/>
                <w:szCs w:val="18"/>
                <w:lang w:eastAsia="en-GB"/>
              </w:rPr>
              <w:t xml:space="preserve">: </w:t>
            </w:r>
          </w:p>
          <w:p w14:paraId="2D029A39"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To quantify the prevalence and incidence of PI in patients receiving palliative care and identify the risk factors for PI development in these patients as well as the temporal relationship between PI development and death.</w:t>
            </w:r>
          </w:p>
          <w:p w14:paraId="57E34490" w14:textId="77777777" w:rsidR="00B764CC" w:rsidRPr="00B764CC" w:rsidRDefault="00B764CC" w:rsidP="00B764CC">
            <w:pPr>
              <w:spacing w:line="240" w:lineRule="auto"/>
              <w:rPr>
                <w:rFonts w:ascii="Arial" w:eastAsia="Calibri" w:hAnsi="Arial" w:cs="Arial"/>
                <w:i/>
                <w:iCs/>
                <w:sz w:val="18"/>
                <w:szCs w:val="18"/>
                <w:lang w:eastAsia="en-GB"/>
              </w:rPr>
            </w:pPr>
          </w:p>
          <w:p w14:paraId="44CA2992"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Methods</w:t>
            </w:r>
            <w:r w:rsidRPr="00B764CC">
              <w:rPr>
                <w:rFonts w:ascii="Arial" w:eastAsia="Calibri" w:hAnsi="Arial" w:cs="Arial"/>
                <w:sz w:val="18"/>
                <w:szCs w:val="18"/>
                <w:lang w:eastAsia="en-GB"/>
              </w:rPr>
              <w:t>:</w:t>
            </w:r>
          </w:p>
          <w:p w14:paraId="1AA9970A"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lastRenderedPageBreak/>
              <w:t>Systematic review of 12 articles looking at palliative care patients identified as having PIs.</w:t>
            </w:r>
          </w:p>
        </w:tc>
        <w:tc>
          <w:tcPr>
            <w:tcW w:w="3119" w:type="dxa"/>
          </w:tcPr>
          <w:p w14:paraId="77141BAB"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lastRenderedPageBreak/>
              <w:t>Population</w:t>
            </w:r>
            <w:r w:rsidRPr="00B764CC">
              <w:rPr>
                <w:rFonts w:ascii="Arial" w:eastAsia="Calibri" w:hAnsi="Arial" w:cs="Arial"/>
                <w:sz w:val="18"/>
                <w:szCs w:val="18"/>
                <w:lang w:eastAsia="en-GB"/>
              </w:rPr>
              <w:t xml:space="preserve">: </w:t>
            </w:r>
          </w:p>
          <w:p w14:paraId="5976626F"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 xml:space="preserve">Palliative care patients. </w:t>
            </w:r>
          </w:p>
          <w:p w14:paraId="2DAB2B25" w14:textId="77777777" w:rsidR="00B764CC" w:rsidRPr="00B764CC" w:rsidRDefault="00B764CC" w:rsidP="00B764CC">
            <w:pPr>
              <w:spacing w:line="240" w:lineRule="auto"/>
              <w:rPr>
                <w:rFonts w:ascii="Arial" w:eastAsia="Times New Roman" w:hAnsi="Arial" w:cs="Arial"/>
                <w:sz w:val="18"/>
                <w:szCs w:val="18"/>
              </w:rPr>
            </w:pPr>
          </w:p>
          <w:p w14:paraId="1AA2F6B9"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i/>
                <w:iCs/>
                <w:sz w:val="18"/>
                <w:szCs w:val="18"/>
                <w:lang w:eastAsia="en-AU"/>
              </w:rPr>
              <w:t>Sample size:</w:t>
            </w:r>
          </w:p>
          <w:p w14:paraId="78DFC73C" w14:textId="77777777" w:rsidR="00B764CC" w:rsidRPr="00B764CC" w:rsidRDefault="00B764CC">
            <w:pPr>
              <w:numPr>
                <w:ilvl w:val="0"/>
                <w:numId w:val="3"/>
              </w:numPr>
              <w:spacing w:line="240" w:lineRule="auto"/>
              <w:contextualSpacing/>
              <w:rPr>
                <w:rFonts w:ascii="Arial" w:eastAsia="Times New Roman" w:hAnsi="Arial" w:cs="Arial"/>
                <w:i/>
                <w:iCs/>
                <w:sz w:val="18"/>
                <w:szCs w:val="18"/>
                <w:lang w:eastAsia="en-AU"/>
              </w:rPr>
            </w:pPr>
            <w:r w:rsidRPr="00B764CC">
              <w:rPr>
                <w:rFonts w:ascii="Arial" w:eastAsia="Times New Roman" w:hAnsi="Arial" w:cs="Arial"/>
                <w:sz w:val="18"/>
                <w:szCs w:val="18"/>
                <w:lang w:eastAsia="en-AU"/>
              </w:rPr>
              <w:t xml:space="preserve">Retrospective cohort </w:t>
            </w:r>
            <w:r w:rsidRPr="00B764CC">
              <w:rPr>
                <w:rFonts w:ascii="Arial" w:eastAsia="Times New Roman" w:hAnsi="Arial" w:cs="Arial"/>
                <w:i/>
                <w:iCs/>
                <w:sz w:val="18"/>
                <w:szCs w:val="18"/>
                <w:lang w:eastAsia="en-AU"/>
              </w:rPr>
              <w:t xml:space="preserve">n = </w:t>
            </w:r>
            <w:r w:rsidRPr="00B764CC">
              <w:rPr>
                <w:rFonts w:ascii="Arial" w:eastAsia="Times New Roman" w:hAnsi="Arial" w:cs="Arial"/>
                <w:sz w:val="18"/>
                <w:szCs w:val="18"/>
                <w:lang w:eastAsia="en-AU"/>
              </w:rPr>
              <w:t>5</w:t>
            </w:r>
          </w:p>
          <w:p w14:paraId="3BEB3332" w14:textId="77777777" w:rsidR="00B764CC" w:rsidRPr="00B764CC" w:rsidRDefault="00B764CC">
            <w:pPr>
              <w:numPr>
                <w:ilvl w:val="0"/>
                <w:numId w:val="3"/>
              </w:numPr>
              <w:spacing w:line="240" w:lineRule="auto"/>
              <w:contextualSpacing/>
              <w:rPr>
                <w:rFonts w:ascii="Arial" w:eastAsia="Times New Roman" w:hAnsi="Arial" w:cs="Arial"/>
                <w:i/>
                <w:iCs/>
                <w:sz w:val="18"/>
                <w:szCs w:val="18"/>
                <w:lang w:eastAsia="en-AU"/>
              </w:rPr>
            </w:pPr>
            <w:r w:rsidRPr="00B764CC">
              <w:rPr>
                <w:rFonts w:ascii="Arial" w:eastAsia="Times New Roman" w:hAnsi="Arial" w:cs="Arial"/>
                <w:sz w:val="18"/>
                <w:szCs w:val="18"/>
                <w:lang w:eastAsia="en-AU"/>
              </w:rPr>
              <w:t xml:space="preserve">Prospective cohort </w:t>
            </w:r>
            <w:r w:rsidRPr="00B764CC">
              <w:rPr>
                <w:rFonts w:ascii="Arial" w:eastAsia="Times New Roman" w:hAnsi="Arial" w:cs="Arial"/>
                <w:i/>
                <w:iCs/>
                <w:sz w:val="18"/>
                <w:szCs w:val="18"/>
                <w:lang w:eastAsia="en-AU"/>
              </w:rPr>
              <w:t xml:space="preserve">n = </w:t>
            </w:r>
            <w:r w:rsidRPr="00B764CC">
              <w:rPr>
                <w:rFonts w:ascii="Arial" w:eastAsia="Times New Roman" w:hAnsi="Arial" w:cs="Arial"/>
                <w:sz w:val="18"/>
                <w:szCs w:val="18"/>
                <w:lang w:eastAsia="en-AU"/>
              </w:rPr>
              <w:t>4</w:t>
            </w:r>
          </w:p>
          <w:p w14:paraId="4917DC4E" w14:textId="77777777" w:rsidR="00B764CC" w:rsidRPr="00B764CC" w:rsidRDefault="00B764CC">
            <w:pPr>
              <w:numPr>
                <w:ilvl w:val="0"/>
                <w:numId w:val="3"/>
              </w:numPr>
              <w:spacing w:line="240" w:lineRule="auto"/>
              <w:contextualSpacing/>
              <w:rPr>
                <w:rFonts w:ascii="Arial" w:eastAsia="Times New Roman" w:hAnsi="Arial" w:cs="Arial"/>
                <w:i/>
                <w:iCs/>
                <w:sz w:val="18"/>
                <w:szCs w:val="18"/>
                <w:lang w:eastAsia="en-AU"/>
              </w:rPr>
            </w:pPr>
            <w:r w:rsidRPr="00B764CC">
              <w:rPr>
                <w:rFonts w:ascii="Arial" w:eastAsia="Times New Roman" w:hAnsi="Arial" w:cs="Arial"/>
                <w:sz w:val="18"/>
                <w:szCs w:val="18"/>
                <w:lang w:eastAsia="en-AU"/>
              </w:rPr>
              <w:t xml:space="preserve">Retrospective case control </w:t>
            </w:r>
            <w:r w:rsidRPr="00B764CC">
              <w:rPr>
                <w:rFonts w:ascii="Arial" w:eastAsia="Times New Roman" w:hAnsi="Arial" w:cs="Arial"/>
                <w:i/>
                <w:iCs/>
                <w:sz w:val="18"/>
                <w:szCs w:val="18"/>
                <w:lang w:eastAsia="en-AU"/>
              </w:rPr>
              <w:t xml:space="preserve">n = </w:t>
            </w:r>
            <w:r w:rsidRPr="00B764CC">
              <w:rPr>
                <w:rFonts w:ascii="Arial" w:eastAsia="Times New Roman" w:hAnsi="Arial" w:cs="Arial"/>
                <w:sz w:val="18"/>
                <w:szCs w:val="18"/>
                <w:lang w:eastAsia="en-AU"/>
              </w:rPr>
              <w:t>2</w:t>
            </w:r>
          </w:p>
          <w:p w14:paraId="336B7FB1" w14:textId="77777777" w:rsidR="00B764CC" w:rsidRPr="00B764CC" w:rsidRDefault="00B764CC">
            <w:pPr>
              <w:numPr>
                <w:ilvl w:val="0"/>
                <w:numId w:val="3"/>
              </w:numPr>
              <w:spacing w:line="240" w:lineRule="auto"/>
              <w:contextualSpacing/>
              <w:rPr>
                <w:rFonts w:ascii="Arial" w:eastAsia="Times New Roman" w:hAnsi="Arial" w:cs="Arial"/>
                <w:i/>
                <w:iCs/>
                <w:sz w:val="18"/>
                <w:szCs w:val="18"/>
                <w:lang w:eastAsia="en-AU"/>
              </w:rPr>
            </w:pPr>
            <w:r w:rsidRPr="00B764CC">
              <w:rPr>
                <w:rFonts w:ascii="Arial" w:eastAsia="Times New Roman" w:hAnsi="Arial" w:cs="Arial"/>
                <w:sz w:val="18"/>
                <w:szCs w:val="18"/>
                <w:lang w:eastAsia="en-AU"/>
              </w:rPr>
              <w:t xml:space="preserve">Audit </w:t>
            </w:r>
            <w:r w:rsidRPr="00B764CC">
              <w:rPr>
                <w:rFonts w:ascii="Arial" w:eastAsia="Times New Roman" w:hAnsi="Arial" w:cs="Arial"/>
                <w:i/>
                <w:iCs/>
                <w:sz w:val="18"/>
                <w:szCs w:val="18"/>
                <w:lang w:eastAsia="en-AU"/>
              </w:rPr>
              <w:t xml:space="preserve">n = </w:t>
            </w:r>
            <w:r w:rsidRPr="00B764CC">
              <w:rPr>
                <w:rFonts w:ascii="Arial" w:eastAsia="Times New Roman" w:hAnsi="Arial" w:cs="Arial"/>
                <w:sz w:val="18"/>
                <w:szCs w:val="18"/>
                <w:lang w:eastAsia="en-AU"/>
              </w:rPr>
              <w:t>1</w:t>
            </w:r>
          </w:p>
          <w:p w14:paraId="3E0E7D98"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 xml:space="preserve"> </w:t>
            </w:r>
          </w:p>
          <w:p w14:paraId="4CF51752"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N/A</w:t>
            </w:r>
          </w:p>
          <w:p w14:paraId="718C7C3A" w14:textId="77777777" w:rsidR="00B764CC" w:rsidRPr="00B764CC" w:rsidRDefault="00B764CC" w:rsidP="00B764CC">
            <w:pPr>
              <w:spacing w:line="240" w:lineRule="auto"/>
              <w:rPr>
                <w:rFonts w:ascii="Arial" w:eastAsia="Times New Roman" w:hAnsi="Arial" w:cs="Arial"/>
                <w:sz w:val="18"/>
                <w:szCs w:val="18"/>
                <w:lang w:eastAsia="en-AU"/>
              </w:rPr>
            </w:pPr>
          </w:p>
          <w:p w14:paraId="3586BC4D"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 N/A</w:t>
            </w:r>
          </w:p>
          <w:p w14:paraId="0CF299F0" w14:textId="77777777" w:rsidR="00B764CC" w:rsidRPr="00B764CC" w:rsidRDefault="00B764CC" w:rsidP="00B764CC">
            <w:pPr>
              <w:spacing w:line="240" w:lineRule="auto"/>
              <w:rPr>
                <w:rFonts w:ascii="Arial" w:eastAsia="Calibri" w:hAnsi="Arial" w:cs="Arial"/>
                <w:color w:val="000000"/>
                <w:sz w:val="18"/>
                <w:szCs w:val="18"/>
                <w:lang w:eastAsia="en-GB"/>
              </w:rPr>
            </w:pPr>
          </w:p>
          <w:p w14:paraId="520835FF" w14:textId="77777777" w:rsidR="00B764CC" w:rsidRPr="00B764CC" w:rsidRDefault="00B764CC" w:rsidP="00B764CC">
            <w:pPr>
              <w:spacing w:line="240" w:lineRule="auto"/>
              <w:rPr>
                <w:rFonts w:ascii="Arial" w:eastAsia="Calibri" w:hAnsi="Arial" w:cs="Arial"/>
                <w:color w:val="000000"/>
                <w:sz w:val="18"/>
                <w:szCs w:val="18"/>
                <w:lang w:eastAsia="en-GB"/>
              </w:rPr>
            </w:pPr>
            <w:r w:rsidRPr="00B764CC">
              <w:rPr>
                <w:rFonts w:ascii="Arial" w:eastAsia="Calibri" w:hAnsi="Arial" w:cs="Arial"/>
                <w:i/>
                <w:iCs/>
                <w:color w:val="000000"/>
                <w:sz w:val="18"/>
                <w:szCs w:val="18"/>
                <w:lang w:eastAsia="en-GB"/>
              </w:rPr>
              <w:t>Setting</w:t>
            </w:r>
            <w:r w:rsidRPr="00B764CC">
              <w:rPr>
                <w:rFonts w:ascii="Arial" w:eastAsia="Calibri" w:hAnsi="Arial" w:cs="Arial"/>
                <w:color w:val="000000"/>
                <w:sz w:val="18"/>
                <w:szCs w:val="18"/>
                <w:lang w:eastAsia="en-GB"/>
              </w:rPr>
              <w:t xml:space="preserve">: </w:t>
            </w:r>
          </w:p>
          <w:p w14:paraId="200C5F1D" w14:textId="77777777" w:rsidR="00B764CC" w:rsidRPr="00B764CC" w:rsidRDefault="00B764CC" w:rsidP="00B764CC">
            <w:pPr>
              <w:spacing w:line="240" w:lineRule="auto"/>
              <w:rPr>
                <w:rFonts w:ascii="Arial" w:eastAsia="Calibri" w:hAnsi="Arial" w:cs="Arial"/>
                <w:color w:val="000000"/>
                <w:sz w:val="18"/>
                <w:szCs w:val="18"/>
                <w:lang w:eastAsia="en-GB"/>
              </w:rPr>
            </w:pPr>
            <w:r w:rsidRPr="00B764CC">
              <w:rPr>
                <w:rFonts w:ascii="Arial" w:eastAsia="Calibri" w:hAnsi="Arial" w:cs="Arial"/>
                <w:color w:val="000000"/>
                <w:sz w:val="18"/>
                <w:szCs w:val="18"/>
                <w:lang w:eastAsia="en-GB"/>
              </w:rPr>
              <w:t>Community, inpatient</w:t>
            </w:r>
          </w:p>
        </w:tc>
        <w:tc>
          <w:tcPr>
            <w:tcW w:w="2976" w:type="dxa"/>
          </w:tcPr>
          <w:p w14:paraId="15A9AF75"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lastRenderedPageBreak/>
              <w:t>Pressure injury risk assessment tool:</w:t>
            </w:r>
          </w:p>
          <w:p w14:paraId="29BCDFC4" w14:textId="77777777" w:rsidR="00B764CC" w:rsidRPr="00B764CC" w:rsidRDefault="00B764CC">
            <w:pPr>
              <w:numPr>
                <w:ilvl w:val="0"/>
                <w:numId w:val="4"/>
              </w:numPr>
              <w:spacing w:line="240" w:lineRule="auto"/>
              <w:contextualSpacing/>
              <w:rPr>
                <w:rFonts w:ascii="Arial" w:eastAsia="Times New Roman" w:hAnsi="Arial" w:cs="Arial"/>
                <w:color w:val="000000" w:themeColor="text1"/>
                <w:sz w:val="18"/>
                <w:szCs w:val="18"/>
                <w:lang w:eastAsia="en-GB"/>
              </w:rPr>
            </w:pPr>
            <w:r w:rsidRPr="00B764CC">
              <w:rPr>
                <w:rFonts w:ascii="Arial" w:eastAsia="Times New Roman" w:hAnsi="Arial" w:cs="Arial"/>
                <w:color w:val="000000" w:themeColor="text1"/>
                <w:sz w:val="18"/>
                <w:szCs w:val="18"/>
                <w:lang w:eastAsia="en-GB"/>
              </w:rPr>
              <w:t>Waterlow Score</w:t>
            </w:r>
          </w:p>
          <w:p w14:paraId="4DE127E3" w14:textId="77777777" w:rsidR="00B764CC" w:rsidRPr="00B764CC" w:rsidRDefault="00B764CC" w:rsidP="00B764CC">
            <w:pPr>
              <w:spacing w:line="240" w:lineRule="auto"/>
              <w:rPr>
                <w:rFonts w:ascii="Arial" w:eastAsia="Times New Roman" w:hAnsi="Arial" w:cs="Arial"/>
                <w:i/>
                <w:iCs/>
                <w:color w:val="000000" w:themeColor="text1"/>
                <w:sz w:val="18"/>
                <w:szCs w:val="18"/>
                <w:lang w:eastAsia="en-GB"/>
              </w:rPr>
            </w:pPr>
          </w:p>
          <w:p w14:paraId="51C40675"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 xml:space="preserve">: </w:t>
            </w:r>
          </w:p>
          <w:p w14:paraId="68388BEC" w14:textId="77777777" w:rsidR="00B764CC" w:rsidRPr="00B764CC" w:rsidRDefault="00B764CC">
            <w:pPr>
              <w:numPr>
                <w:ilvl w:val="0"/>
                <w:numId w:val="13"/>
              </w:numPr>
              <w:spacing w:line="240" w:lineRule="auto"/>
              <w:contextualSpacing/>
              <w:rPr>
                <w:rFonts w:ascii="Arial" w:eastAsia="Calibri" w:hAnsi="Arial" w:cs="Arial"/>
                <w:bCs/>
                <w:sz w:val="18"/>
                <w:szCs w:val="18"/>
                <w:lang w:eastAsia="en-GB"/>
              </w:rPr>
            </w:pPr>
            <w:r w:rsidRPr="00B764CC">
              <w:rPr>
                <w:rFonts w:ascii="Arial" w:eastAsia="Calibri" w:hAnsi="Arial" w:cs="Arial"/>
                <w:bCs/>
                <w:sz w:val="18"/>
                <w:szCs w:val="18"/>
                <w:lang w:eastAsia="en-GB"/>
              </w:rPr>
              <w:t>None reported</w:t>
            </w:r>
          </w:p>
        </w:tc>
        <w:tc>
          <w:tcPr>
            <w:tcW w:w="4622" w:type="dxa"/>
          </w:tcPr>
          <w:p w14:paraId="5C5CB945"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6C3C726B"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Found a high Waterlow Score associated with PI development - (&gt;15 = high risk) in 93% of patients with PI development. Patients with a Waterlow Score average of 27.4 (very high risk) patients had PIs.</w:t>
            </w:r>
          </w:p>
        </w:tc>
      </w:tr>
      <w:tr w:rsidR="00B764CC" w:rsidRPr="00B764CC" w14:paraId="6FA14A63" w14:textId="77777777" w:rsidTr="003000D3">
        <w:trPr>
          <w:trHeight w:val="67"/>
        </w:trPr>
        <w:tc>
          <w:tcPr>
            <w:tcW w:w="1413" w:type="dxa"/>
          </w:tcPr>
          <w:p w14:paraId="6883EBD8"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sz w:val="18"/>
                <w:szCs w:val="18"/>
                <w:lang w:eastAsia="en-GB"/>
              </w:rPr>
              <w:t>Fromantin et al. (2</w:t>
            </w:r>
            <w:r w:rsidRPr="00B764CC">
              <w:rPr>
                <w:rFonts w:ascii="Arial" w:eastAsia="Calibri" w:hAnsi="Arial" w:cs="Arial"/>
                <w:bCs/>
                <w:color w:val="000000"/>
                <w:sz w:val="18"/>
                <w:szCs w:val="18"/>
                <w:lang w:eastAsia="en-GB"/>
              </w:rPr>
              <w:t>011) France [41]</w:t>
            </w:r>
          </w:p>
        </w:tc>
        <w:tc>
          <w:tcPr>
            <w:tcW w:w="3260" w:type="dxa"/>
          </w:tcPr>
          <w:p w14:paraId="27FBAADE"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Aims</w:t>
            </w:r>
            <w:r w:rsidRPr="00B764CC">
              <w:rPr>
                <w:rFonts w:ascii="Arial" w:eastAsia="Calibri" w:hAnsi="Arial" w:cs="Arial"/>
                <w:sz w:val="18"/>
                <w:szCs w:val="18"/>
                <w:lang w:eastAsia="en-GB"/>
              </w:rPr>
              <w:t xml:space="preserve">: </w:t>
            </w:r>
          </w:p>
          <w:p w14:paraId="7CD6C19D"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To assess the predictive validity and reliability of the new Curie scale for patients in oncology, with a view to how it could be improved or optimised.</w:t>
            </w:r>
          </w:p>
          <w:p w14:paraId="55CEA25D" w14:textId="77777777" w:rsidR="00B764CC" w:rsidRPr="00B764CC" w:rsidRDefault="00B764CC" w:rsidP="00B764CC">
            <w:pPr>
              <w:spacing w:line="240" w:lineRule="auto"/>
              <w:rPr>
                <w:rFonts w:ascii="Arial" w:eastAsia="Calibri" w:hAnsi="Arial" w:cs="Arial"/>
                <w:sz w:val="18"/>
                <w:szCs w:val="18"/>
                <w:lang w:eastAsia="en-GB"/>
              </w:rPr>
            </w:pPr>
          </w:p>
          <w:p w14:paraId="7337AD36"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Methods</w:t>
            </w:r>
            <w:r w:rsidRPr="00B764CC">
              <w:rPr>
                <w:rFonts w:ascii="Arial" w:eastAsia="Calibri" w:hAnsi="Arial" w:cs="Arial"/>
                <w:sz w:val="18"/>
                <w:szCs w:val="18"/>
                <w:lang w:eastAsia="en-GB"/>
              </w:rPr>
              <w:t xml:space="preserve">: </w:t>
            </w:r>
          </w:p>
          <w:p w14:paraId="39FCF23E"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sz w:val="18"/>
                <w:szCs w:val="18"/>
                <w:lang w:eastAsia="en-GB"/>
              </w:rPr>
              <w:t>Validity study – convergent validity to determine correlation.</w:t>
            </w:r>
          </w:p>
        </w:tc>
        <w:tc>
          <w:tcPr>
            <w:tcW w:w="3119" w:type="dxa"/>
          </w:tcPr>
          <w:p w14:paraId="37E617A8"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1126476C"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Advanced cancer patients.</w:t>
            </w:r>
          </w:p>
          <w:p w14:paraId="048EC757" w14:textId="77777777" w:rsidR="00B764CC" w:rsidRPr="00B764CC" w:rsidRDefault="00B764CC" w:rsidP="00B764CC">
            <w:pPr>
              <w:spacing w:line="240" w:lineRule="auto"/>
              <w:rPr>
                <w:rFonts w:ascii="Arial" w:eastAsia="Times New Roman" w:hAnsi="Arial" w:cs="Arial"/>
                <w:sz w:val="18"/>
                <w:szCs w:val="18"/>
              </w:rPr>
            </w:pPr>
          </w:p>
          <w:p w14:paraId="7482048F"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 xml:space="preserve">Sample size: </w:t>
            </w:r>
          </w:p>
          <w:p w14:paraId="3AF5C561" w14:textId="77777777" w:rsidR="00B764CC" w:rsidRPr="00B764CC" w:rsidRDefault="00B764CC" w:rsidP="00B764CC">
            <w:pPr>
              <w:spacing w:line="240" w:lineRule="auto"/>
              <w:rPr>
                <w:rFonts w:ascii="Arial" w:eastAsia="Times New Roman" w:hAnsi="Arial" w:cs="Arial"/>
                <w:color w:val="000000"/>
                <w:sz w:val="18"/>
                <w:szCs w:val="18"/>
                <w:lang w:eastAsia="en-AU"/>
              </w:rPr>
            </w:pPr>
            <w:r w:rsidRPr="00B764CC">
              <w:rPr>
                <w:rFonts w:ascii="Arial" w:eastAsia="Calibri" w:hAnsi="Arial" w:cs="Arial"/>
                <w:color w:val="000000"/>
                <w:sz w:val="18"/>
                <w:szCs w:val="18"/>
                <w:lang w:eastAsia="en-GB"/>
              </w:rPr>
              <w:t>Total 933 patients surveyed.</w:t>
            </w:r>
            <w:r w:rsidRPr="00B764CC">
              <w:rPr>
                <w:rFonts w:ascii="Arial" w:eastAsia="Calibri" w:hAnsi="Arial" w:cs="Arial"/>
                <w:color w:val="000000"/>
                <w:sz w:val="18"/>
                <w:szCs w:val="18"/>
                <w:lang w:eastAsia="en-GB"/>
              </w:rPr>
              <w:br/>
              <w:t xml:space="preserve">2002 survey: 351 patients </w:t>
            </w:r>
            <w:r w:rsidRPr="00B764CC">
              <w:rPr>
                <w:rFonts w:ascii="Arial" w:eastAsia="Calibri" w:hAnsi="Arial" w:cs="Arial"/>
                <w:color w:val="000000"/>
                <w:sz w:val="18"/>
                <w:szCs w:val="18"/>
                <w:lang w:eastAsia="en-GB"/>
              </w:rPr>
              <w:br/>
              <w:t xml:space="preserve">2009 survey: 582 patients  </w:t>
            </w:r>
          </w:p>
          <w:p w14:paraId="01A1F594" w14:textId="77777777" w:rsidR="00B764CC" w:rsidRPr="00B764CC" w:rsidRDefault="00B764CC" w:rsidP="00B764CC">
            <w:pPr>
              <w:spacing w:line="240" w:lineRule="auto"/>
              <w:rPr>
                <w:rFonts w:ascii="Arial" w:eastAsia="Times New Roman" w:hAnsi="Arial" w:cs="Arial"/>
                <w:sz w:val="18"/>
                <w:szCs w:val="18"/>
                <w:lang w:eastAsia="en-AU"/>
              </w:rPr>
            </w:pPr>
          </w:p>
          <w:p w14:paraId="3D56F25A"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w:t>
            </w:r>
          </w:p>
          <w:p w14:paraId="4B9C3A64"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sz w:val="18"/>
                <w:szCs w:val="18"/>
                <w:lang w:eastAsia="en-GB"/>
              </w:rPr>
              <w:t>2002: Median age 57 years (17-91)</w:t>
            </w:r>
            <w:r w:rsidRPr="00B764CC">
              <w:rPr>
                <w:rFonts w:ascii="Arial" w:eastAsia="Calibri" w:hAnsi="Arial" w:cs="Arial"/>
                <w:sz w:val="18"/>
                <w:szCs w:val="18"/>
                <w:lang w:eastAsia="en-GB"/>
              </w:rPr>
              <w:br/>
              <w:t>2009: Median age 60 years (16-89)</w:t>
            </w:r>
          </w:p>
          <w:p w14:paraId="4378EF83" w14:textId="77777777" w:rsidR="00B764CC" w:rsidRPr="00B764CC" w:rsidRDefault="00B764CC" w:rsidP="00B764CC">
            <w:pPr>
              <w:spacing w:line="240" w:lineRule="auto"/>
              <w:rPr>
                <w:rFonts w:ascii="Arial" w:eastAsia="Times New Roman" w:hAnsi="Arial" w:cs="Arial"/>
                <w:sz w:val="18"/>
                <w:szCs w:val="18"/>
                <w:lang w:eastAsia="en-AU"/>
              </w:rPr>
            </w:pPr>
          </w:p>
          <w:p w14:paraId="11893E9F" w14:textId="77777777" w:rsidR="00B764CC" w:rsidRPr="00B764CC" w:rsidRDefault="00B764CC" w:rsidP="00B764CC">
            <w:pPr>
              <w:spacing w:line="240" w:lineRule="auto"/>
              <w:rPr>
                <w:rFonts w:ascii="Arial" w:eastAsia="Calibri" w:hAnsi="Arial" w:cs="Arial"/>
                <w:bCs/>
                <w:sz w:val="18"/>
                <w:szCs w:val="18"/>
                <w:lang w:eastAsia="en-GB"/>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 xml:space="preserve">: </w:t>
            </w:r>
            <w:r w:rsidRPr="00B764CC">
              <w:rPr>
                <w:rFonts w:ascii="Arial" w:eastAsia="Calibri" w:hAnsi="Arial" w:cs="Arial"/>
                <w:bCs/>
                <w:sz w:val="18"/>
                <w:szCs w:val="18"/>
                <w:lang w:eastAsia="en-GB"/>
              </w:rPr>
              <w:t xml:space="preserve"> </w:t>
            </w:r>
          </w:p>
          <w:p w14:paraId="59341EEB"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 xml:space="preserve">2002: </w:t>
            </w:r>
          </w:p>
          <w:p w14:paraId="3F931050"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Male 100 (29%); Female 251 (72%)</w:t>
            </w:r>
          </w:p>
          <w:p w14:paraId="07E598F8"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2009:</w:t>
            </w:r>
          </w:p>
          <w:p w14:paraId="0E2A15A6"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Male 148 (25%); Female 434 (75%)</w:t>
            </w:r>
          </w:p>
          <w:p w14:paraId="7F8D3394" w14:textId="77777777" w:rsidR="00B764CC" w:rsidRPr="00B764CC" w:rsidRDefault="00B764CC" w:rsidP="00B764CC">
            <w:pPr>
              <w:spacing w:line="240" w:lineRule="auto"/>
              <w:ind w:firstLine="720"/>
              <w:rPr>
                <w:rFonts w:ascii="Arial" w:eastAsia="Times New Roman" w:hAnsi="Arial" w:cs="Arial"/>
                <w:sz w:val="18"/>
                <w:szCs w:val="18"/>
              </w:rPr>
            </w:pPr>
          </w:p>
          <w:p w14:paraId="6700B065" w14:textId="77777777" w:rsidR="00B764CC" w:rsidRPr="00B764CC" w:rsidRDefault="00B764CC" w:rsidP="00B764CC">
            <w:pPr>
              <w:spacing w:line="240" w:lineRule="auto"/>
              <w:rPr>
                <w:rFonts w:ascii="Arial" w:eastAsia="Calibri" w:hAnsi="Arial" w:cs="Arial"/>
                <w:color w:val="000000"/>
                <w:sz w:val="18"/>
                <w:szCs w:val="18"/>
                <w:lang w:eastAsia="en-GB"/>
              </w:rPr>
            </w:pPr>
            <w:r w:rsidRPr="00B764CC">
              <w:rPr>
                <w:rFonts w:ascii="Arial" w:eastAsia="Calibri" w:hAnsi="Arial" w:cs="Arial"/>
                <w:i/>
                <w:iCs/>
                <w:color w:val="000000"/>
                <w:sz w:val="18"/>
                <w:szCs w:val="18"/>
                <w:lang w:eastAsia="en-GB"/>
              </w:rPr>
              <w:t>Setting:</w:t>
            </w:r>
            <w:r w:rsidRPr="00B764CC">
              <w:rPr>
                <w:rFonts w:ascii="Arial" w:eastAsia="Calibri" w:hAnsi="Arial" w:cs="Arial"/>
                <w:color w:val="000000"/>
                <w:sz w:val="18"/>
                <w:szCs w:val="18"/>
                <w:lang w:eastAsia="en-GB"/>
              </w:rPr>
              <w:t xml:space="preserve"> </w:t>
            </w:r>
          </w:p>
          <w:p w14:paraId="207C07CE" w14:textId="77777777" w:rsidR="00B764CC" w:rsidRPr="00B764CC" w:rsidRDefault="00B764CC" w:rsidP="00B764CC">
            <w:pPr>
              <w:spacing w:line="240" w:lineRule="auto"/>
              <w:rPr>
                <w:rFonts w:ascii="Arial" w:eastAsia="Times New Roman" w:hAnsi="Arial" w:cs="Arial"/>
                <w:color w:val="000000"/>
                <w:sz w:val="18"/>
                <w:szCs w:val="18"/>
                <w:lang w:eastAsia="en-AU"/>
              </w:rPr>
            </w:pPr>
            <w:r w:rsidRPr="00B764CC">
              <w:rPr>
                <w:rFonts w:ascii="Arial" w:eastAsia="Calibri" w:hAnsi="Arial" w:cs="Arial"/>
                <w:color w:val="000000"/>
                <w:sz w:val="18"/>
                <w:szCs w:val="18"/>
                <w:lang w:eastAsia="en-GB"/>
              </w:rPr>
              <w:t>The Wound Care Unit (WCU) of the Curie Institute</w:t>
            </w:r>
          </w:p>
        </w:tc>
        <w:tc>
          <w:tcPr>
            <w:tcW w:w="2976" w:type="dxa"/>
          </w:tcPr>
          <w:p w14:paraId="51444001"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Pressure injury risk assessment tool:</w:t>
            </w:r>
          </w:p>
          <w:p w14:paraId="42583BDB" w14:textId="77777777" w:rsidR="00B764CC" w:rsidRPr="00B764CC" w:rsidRDefault="00B764CC">
            <w:pPr>
              <w:numPr>
                <w:ilvl w:val="0"/>
                <w:numId w:val="9"/>
              </w:numPr>
              <w:spacing w:line="240" w:lineRule="auto"/>
              <w:contextualSpacing/>
              <w:rPr>
                <w:rFonts w:ascii="Arial" w:eastAsia="Times New Roman" w:hAnsi="Arial" w:cs="Arial"/>
                <w:i/>
                <w:iCs/>
                <w:color w:val="000000" w:themeColor="text1"/>
                <w:sz w:val="18"/>
                <w:szCs w:val="18"/>
              </w:rPr>
            </w:pPr>
            <w:r w:rsidRPr="00B764CC">
              <w:rPr>
                <w:rFonts w:ascii="Arial" w:eastAsia="Times New Roman" w:hAnsi="Arial" w:cs="Arial"/>
                <w:color w:val="000000" w:themeColor="text1"/>
                <w:sz w:val="18"/>
                <w:szCs w:val="18"/>
              </w:rPr>
              <w:t>Braden Scale</w:t>
            </w:r>
          </w:p>
          <w:p w14:paraId="4DFD2410" w14:textId="77777777" w:rsidR="00B764CC" w:rsidRPr="00B764CC" w:rsidRDefault="00B764CC">
            <w:pPr>
              <w:numPr>
                <w:ilvl w:val="0"/>
                <w:numId w:val="9"/>
              </w:numPr>
              <w:spacing w:line="240" w:lineRule="auto"/>
              <w:contextualSpacing/>
              <w:rPr>
                <w:rFonts w:ascii="Arial" w:eastAsia="Times New Roman" w:hAnsi="Arial" w:cs="Arial"/>
                <w:i/>
                <w:iCs/>
                <w:color w:val="000000" w:themeColor="text1"/>
                <w:sz w:val="18"/>
                <w:szCs w:val="18"/>
              </w:rPr>
            </w:pPr>
            <w:r w:rsidRPr="00B764CC">
              <w:rPr>
                <w:rFonts w:ascii="Arial" w:eastAsia="Times New Roman" w:hAnsi="Arial" w:cs="Arial"/>
                <w:color w:val="000000" w:themeColor="text1"/>
                <w:sz w:val="18"/>
                <w:szCs w:val="18"/>
              </w:rPr>
              <w:t>Norton Scale</w:t>
            </w:r>
          </w:p>
          <w:p w14:paraId="035D5C0C" w14:textId="77777777" w:rsidR="00B764CC" w:rsidRPr="00B764CC" w:rsidRDefault="00B764CC">
            <w:pPr>
              <w:numPr>
                <w:ilvl w:val="0"/>
                <w:numId w:val="9"/>
              </w:numPr>
              <w:spacing w:line="240" w:lineRule="auto"/>
              <w:contextualSpacing/>
              <w:rPr>
                <w:rFonts w:ascii="Arial" w:eastAsia="Times New Roman" w:hAnsi="Arial" w:cs="Arial"/>
                <w:i/>
                <w:iCs/>
                <w:color w:val="000000" w:themeColor="text1"/>
                <w:sz w:val="18"/>
                <w:szCs w:val="18"/>
              </w:rPr>
            </w:pPr>
            <w:r w:rsidRPr="00B764CC">
              <w:rPr>
                <w:rFonts w:ascii="Arial" w:eastAsia="Times New Roman" w:hAnsi="Arial" w:cs="Arial"/>
                <w:color w:val="000000" w:themeColor="text1"/>
                <w:sz w:val="18"/>
                <w:szCs w:val="18"/>
              </w:rPr>
              <w:t>Curie scale</w:t>
            </w:r>
          </w:p>
          <w:p w14:paraId="2FA0F0DB" w14:textId="77777777" w:rsidR="00B764CC" w:rsidRPr="00B764CC" w:rsidRDefault="00B764CC">
            <w:pPr>
              <w:numPr>
                <w:ilvl w:val="0"/>
                <w:numId w:val="9"/>
              </w:numPr>
              <w:spacing w:line="240" w:lineRule="auto"/>
              <w:contextualSpacing/>
              <w:rPr>
                <w:rFonts w:ascii="Arial" w:eastAsia="Times New Roman" w:hAnsi="Arial" w:cs="Arial"/>
                <w:i/>
                <w:iCs/>
                <w:color w:val="000000" w:themeColor="text1"/>
                <w:sz w:val="18"/>
                <w:szCs w:val="18"/>
              </w:rPr>
            </w:pPr>
            <w:r w:rsidRPr="00B764CC">
              <w:rPr>
                <w:rFonts w:ascii="Arial" w:eastAsia="Times New Roman" w:hAnsi="Arial" w:cs="Arial"/>
                <w:color w:val="000000" w:themeColor="text1"/>
                <w:sz w:val="18"/>
                <w:szCs w:val="18"/>
              </w:rPr>
              <w:t xml:space="preserve">Pressure Ulcer Scale Oncology </w:t>
            </w:r>
          </w:p>
          <w:p w14:paraId="4C44D9C0" w14:textId="77777777" w:rsidR="00B764CC" w:rsidRPr="00B764CC" w:rsidRDefault="00B764CC" w:rsidP="00B764CC">
            <w:pPr>
              <w:spacing w:line="240" w:lineRule="auto"/>
              <w:rPr>
                <w:rFonts w:ascii="Arial" w:eastAsia="Times New Roman" w:hAnsi="Arial" w:cs="Arial"/>
                <w:i/>
                <w:iCs/>
                <w:color w:val="000000" w:themeColor="text1"/>
                <w:sz w:val="18"/>
                <w:szCs w:val="18"/>
                <w:lang w:eastAsia="en-GB"/>
              </w:rPr>
            </w:pPr>
          </w:p>
          <w:p w14:paraId="08626C93"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 xml:space="preserve">: </w:t>
            </w:r>
          </w:p>
          <w:p w14:paraId="42EC045E" w14:textId="77777777" w:rsidR="00B764CC" w:rsidRPr="00B764CC" w:rsidRDefault="00B764CC">
            <w:pPr>
              <w:numPr>
                <w:ilvl w:val="0"/>
                <w:numId w:val="14"/>
              </w:numPr>
              <w:spacing w:line="240" w:lineRule="auto"/>
              <w:contextualSpacing/>
              <w:rPr>
                <w:rFonts w:ascii="Arial" w:eastAsia="Calibri" w:hAnsi="Arial" w:cs="Arial"/>
                <w:bCs/>
                <w:sz w:val="18"/>
                <w:szCs w:val="18"/>
                <w:lang w:eastAsia="en-GB"/>
              </w:rPr>
            </w:pPr>
            <w:r w:rsidRPr="00B764CC">
              <w:rPr>
                <w:rFonts w:ascii="Arial" w:eastAsia="Calibri" w:hAnsi="Arial" w:cs="Arial"/>
                <w:bCs/>
                <w:sz w:val="18"/>
                <w:szCs w:val="18"/>
                <w:lang w:eastAsia="en-GB"/>
              </w:rPr>
              <w:t>None reported</w:t>
            </w:r>
          </w:p>
        </w:tc>
        <w:tc>
          <w:tcPr>
            <w:tcW w:w="4622" w:type="dxa"/>
          </w:tcPr>
          <w:p w14:paraId="73705021"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36BEF4DB"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 xml:space="preserve">(1) Curie scale: Cut-off values of &gt;14 and 14 were identified for the Norton Scale, using Youden index, demonstrating a strong correlation with PI prevalence. </w:t>
            </w:r>
          </w:p>
          <w:p w14:paraId="56C43A91"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Only three individuals (1.3%) with a score &gt;14 developed a PI, while 15 (12.4%) with a score 14 developed a PI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 xml:space="preserve">&lt;0.0001). </w:t>
            </w:r>
          </w:p>
          <w:p w14:paraId="4107B1AE"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Cut-offs for the Curie scale - values determined were 3 and &gt;3, with a PI prevalence rate of 0.4% for a Curie scale score 3 and 16.5% for a score &gt;3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 xml:space="preserve">&lt;0.0001). </w:t>
            </w:r>
          </w:p>
          <w:p w14:paraId="5F38345B"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A high score on the Curie scale (indicating PI risk) is correlated with a lower score on the Norton Scale (also indicating PI risk). The Curie scale, expressed according to the cutoffs 3 and &gt;3, gave a high Kappa value of 0.69, which was highly significant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&lt;0.0001). The Waterlow scale was found to be poorly adapted to oncology, containing many irrelevant items.</w:t>
            </w:r>
          </w:p>
          <w:p w14:paraId="0A3D603A"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(2) The Pressure Ulcer Scale Oncology: The Curie scale presented good agreement with the Braden Scale, with a Spearman rho value of -0.83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&lt;0.001) for quantitative scores. The Curie scale, with cut-offs 3 and &gt;3 as defined earlier, again gave a very high Kappa value of 0.60, which was highly significant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&lt;0.0001). There was a strong correlation between the Pressure Ulcer Scale Oncology score and the PI prevalence rate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&lt;0.0001)</w:t>
            </w:r>
          </w:p>
        </w:tc>
      </w:tr>
      <w:tr w:rsidR="00B764CC" w:rsidRPr="00B764CC" w14:paraId="7C6C4660" w14:textId="77777777" w:rsidTr="003000D3">
        <w:trPr>
          <w:trHeight w:val="67"/>
        </w:trPr>
        <w:tc>
          <w:tcPr>
            <w:tcW w:w="1413" w:type="dxa"/>
          </w:tcPr>
          <w:p w14:paraId="19AFB672"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sz w:val="18"/>
                <w:szCs w:val="18"/>
                <w:lang w:eastAsia="en-GB"/>
              </w:rPr>
              <w:t>Galvin (</w:t>
            </w:r>
            <w:r w:rsidRPr="00B764CC">
              <w:rPr>
                <w:rFonts w:ascii="Arial" w:eastAsia="Calibri" w:hAnsi="Arial" w:cs="Arial"/>
                <w:bCs/>
                <w:color w:val="000000"/>
                <w:sz w:val="18"/>
                <w:szCs w:val="18"/>
                <w:lang w:eastAsia="en-GB"/>
              </w:rPr>
              <w:t>2002) United Kingdom [42]</w:t>
            </w:r>
          </w:p>
        </w:tc>
        <w:tc>
          <w:tcPr>
            <w:tcW w:w="3260" w:type="dxa"/>
          </w:tcPr>
          <w:p w14:paraId="04F6FE45"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Aims</w:t>
            </w:r>
            <w:r w:rsidRPr="00B764CC">
              <w:rPr>
                <w:rFonts w:ascii="Arial" w:eastAsia="Calibri" w:hAnsi="Arial" w:cs="Arial"/>
                <w:sz w:val="18"/>
                <w:szCs w:val="18"/>
                <w:lang w:eastAsia="en-GB"/>
              </w:rPr>
              <w:t>:</w:t>
            </w:r>
          </w:p>
          <w:p w14:paraId="12856227"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 xml:space="preserve">To describe the implementation and findings of a PI audit monitoring the incidence of PI in a 16-bedded </w:t>
            </w:r>
          </w:p>
          <w:p w14:paraId="221337C7"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specialist palliative care inpatient unit over a 2-year period.</w:t>
            </w:r>
          </w:p>
          <w:p w14:paraId="564F9D51" w14:textId="77777777" w:rsidR="00B764CC" w:rsidRPr="00B764CC" w:rsidRDefault="00B764CC" w:rsidP="00B764CC">
            <w:pPr>
              <w:spacing w:line="240" w:lineRule="auto"/>
              <w:rPr>
                <w:rFonts w:ascii="Arial" w:eastAsia="Calibri" w:hAnsi="Arial" w:cs="Arial"/>
                <w:sz w:val="18"/>
                <w:szCs w:val="18"/>
                <w:lang w:eastAsia="en-GB"/>
              </w:rPr>
            </w:pPr>
          </w:p>
          <w:p w14:paraId="475305F7"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Methods</w:t>
            </w:r>
            <w:r w:rsidRPr="00B764CC">
              <w:rPr>
                <w:rFonts w:ascii="Arial" w:eastAsia="Calibri" w:hAnsi="Arial" w:cs="Arial"/>
                <w:sz w:val="18"/>
                <w:szCs w:val="18"/>
                <w:lang w:eastAsia="en-GB"/>
              </w:rPr>
              <w:t>:</w:t>
            </w:r>
          </w:p>
          <w:p w14:paraId="5718B0E4"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sz w:val="18"/>
                <w:szCs w:val="18"/>
                <w:lang w:eastAsia="en-GB"/>
              </w:rPr>
              <w:t>Retrospective audit of PI incidence within a specialist unit over 2 years.</w:t>
            </w:r>
          </w:p>
        </w:tc>
        <w:tc>
          <w:tcPr>
            <w:tcW w:w="3119" w:type="dxa"/>
          </w:tcPr>
          <w:p w14:paraId="694704B3"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648C3A1E"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Palliative Care patients.</w:t>
            </w:r>
          </w:p>
          <w:p w14:paraId="729E6ABC" w14:textId="77777777" w:rsidR="00B764CC" w:rsidRPr="00B764CC" w:rsidRDefault="00B764CC" w:rsidP="00B764CC">
            <w:pPr>
              <w:spacing w:line="240" w:lineRule="auto"/>
              <w:rPr>
                <w:rFonts w:ascii="Arial" w:eastAsia="Calibri" w:hAnsi="Arial" w:cs="Arial"/>
                <w:sz w:val="18"/>
                <w:szCs w:val="18"/>
                <w:lang w:eastAsia="en-GB"/>
              </w:rPr>
            </w:pPr>
          </w:p>
          <w:p w14:paraId="4271A655"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i/>
                <w:iCs/>
                <w:sz w:val="18"/>
                <w:szCs w:val="18"/>
                <w:lang w:eastAsia="en-AU"/>
              </w:rPr>
              <w:t xml:space="preserve">Sample size: </w:t>
            </w:r>
          </w:p>
          <w:p w14:paraId="1D06E46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543</w:t>
            </w:r>
          </w:p>
          <w:p w14:paraId="2C75B909" w14:textId="77777777" w:rsidR="00B764CC" w:rsidRPr="00B764CC" w:rsidRDefault="00B764CC" w:rsidP="00B764CC">
            <w:pPr>
              <w:spacing w:line="240" w:lineRule="auto"/>
              <w:rPr>
                <w:rFonts w:ascii="Arial" w:eastAsia="Times New Roman" w:hAnsi="Arial" w:cs="Arial"/>
                <w:sz w:val="18"/>
                <w:szCs w:val="18"/>
                <w:lang w:eastAsia="en-AU"/>
              </w:rPr>
            </w:pPr>
          </w:p>
          <w:p w14:paraId="3B4851C8"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xml:space="preserve">: </w:t>
            </w:r>
          </w:p>
          <w:p w14:paraId="60763262"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Average age 68 (range 35-90)</w:t>
            </w:r>
          </w:p>
          <w:p w14:paraId="3177B371" w14:textId="77777777" w:rsidR="00B764CC" w:rsidRPr="00B764CC" w:rsidRDefault="00B764CC" w:rsidP="00B764CC">
            <w:pPr>
              <w:spacing w:line="240" w:lineRule="auto"/>
              <w:rPr>
                <w:rFonts w:ascii="Arial" w:eastAsia="Times New Roman" w:hAnsi="Arial" w:cs="Arial"/>
                <w:sz w:val="18"/>
                <w:szCs w:val="18"/>
                <w:lang w:eastAsia="en-AU"/>
              </w:rPr>
            </w:pPr>
          </w:p>
          <w:p w14:paraId="582BC7B9"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w:t>
            </w:r>
          </w:p>
          <w:p w14:paraId="2299DD99"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Male and female</w:t>
            </w:r>
          </w:p>
          <w:p w14:paraId="03D704D0" w14:textId="77777777" w:rsidR="00B764CC" w:rsidRPr="00B764CC" w:rsidRDefault="00B764CC" w:rsidP="00B764CC">
            <w:pPr>
              <w:spacing w:line="240" w:lineRule="auto"/>
              <w:rPr>
                <w:rFonts w:ascii="Arial" w:eastAsia="Times New Roman" w:hAnsi="Arial" w:cs="Arial"/>
                <w:i/>
                <w:iCs/>
                <w:sz w:val="18"/>
                <w:szCs w:val="18"/>
                <w:lang w:eastAsia="en-AU"/>
              </w:rPr>
            </w:pPr>
          </w:p>
          <w:p w14:paraId="6AE044F3"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p>
          <w:p w14:paraId="38C2109E"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t>Specialist palliative care unit</w:t>
            </w:r>
          </w:p>
        </w:tc>
        <w:tc>
          <w:tcPr>
            <w:tcW w:w="2976" w:type="dxa"/>
          </w:tcPr>
          <w:p w14:paraId="08045E6F"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Pressure injury risk assessment tool:</w:t>
            </w:r>
          </w:p>
          <w:p w14:paraId="2AA7846B" w14:textId="77777777" w:rsidR="00B764CC" w:rsidRPr="00B764CC" w:rsidRDefault="00B764CC">
            <w:pPr>
              <w:numPr>
                <w:ilvl w:val="0"/>
                <w:numId w:val="8"/>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Waterlow Score</w:t>
            </w:r>
          </w:p>
          <w:p w14:paraId="778FCA45" w14:textId="77777777" w:rsidR="00B764CC" w:rsidRPr="00B764CC" w:rsidRDefault="00B764CC" w:rsidP="00B764CC">
            <w:pPr>
              <w:spacing w:line="240" w:lineRule="auto"/>
              <w:rPr>
                <w:rFonts w:ascii="Arial" w:eastAsia="Times New Roman" w:hAnsi="Arial" w:cs="Arial"/>
                <w:i/>
                <w:iCs/>
                <w:color w:val="000000" w:themeColor="text1"/>
                <w:sz w:val="18"/>
                <w:szCs w:val="18"/>
              </w:rPr>
            </w:pPr>
          </w:p>
          <w:p w14:paraId="624FAB41"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 xml:space="preserve">: </w:t>
            </w:r>
          </w:p>
          <w:p w14:paraId="2569D5ED" w14:textId="77777777" w:rsidR="00B764CC" w:rsidRPr="00B764CC" w:rsidRDefault="00B764CC">
            <w:pPr>
              <w:numPr>
                <w:ilvl w:val="0"/>
                <w:numId w:val="8"/>
              </w:numPr>
              <w:spacing w:line="240" w:lineRule="auto"/>
              <w:contextualSpacing/>
              <w:rPr>
                <w:rFonts w:ascii="Arial" w:eastAsia="Times New Roman" w:hAnsi="Arial" w:cs="Arial"/>
                <w:bCs/>
                <w:color w:val="000000" w:themeColor="text1"/>
                <w:sz w:val="18"/>
                <w:szCs w:val="18"/>
                <w:lang w:eastAsia="en-GB"/>
              </w:rPr>
            </w:pPr>
            <w:r w:rsidRPr="00B764CC">
              <w:rPr>
                <w:rFonts w:ascii="Arial" w:eastAsia="Times New Roman" w:hAnsi="Arial" w:cs="Arial"/>
                <w:bCs/>
                <w:color w:val="000000" w:themeColor="text1"/>
                <w:sz w:val="18"/>
                <w:szCs w:val="18"/>
                <w:lang w:eastAsia="en-GB"/>
              </w:rPr>
              <w:t>None reported</w:t>
            </w:r>
          </w:p>
          <w:p w14:paraId="68409B7E" w14:textId="77777777" w:rsidR="00B764CC" w:rsidRPr="00B764CC" w:rsidRDefault="00B764CC" w:rsidP="00B764CC">
            <w:pPr>
              <w:spacing w:line="240" w:lineRule="auto"/>
              <w:rPr>
                <w:rFonts w:ascii="Arial" w:eastAsia="Calibri" w:hAnsi="Arial" w:cs="Arial"/>
                <w:sz w:val="18"/>
                <w:szCs w:val="18"/>
                <w:lang w:eastAsia="en-GB"/>
              </w:rPr>
            </w:pPr>
          </w:p>
        </w:tc>
        <w:tc>
          <w:tcPr>
            <w:tcW w:w="4622" w:type="dxa"/>
          </w:tcPr>
          <w:p w14:paraId="119A2C09"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62980107"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Over the 2-year period the Waterlow Pressure Sore Risk Assessment Tool accurately predicted 95.3% of those who developed pressure damage as being in the high and very high-risk groups.</w:t>
            </w:r>
          </w:p>
        </w:tc>
      </w:tr>
      <w:tr w:rsidR="00B764CC" w:rsidRPr="00B764CC" w14:paraId="48E8BF1E" w14:textId="77777777" w:rsidTr="003000D3">
        <w:trPr>
          <w:trHeight w:val="689"/>
        </w:trPr>
        <w:tc>
          <w:tcPr>
            <w:tcW w:w="1413" w:type="dxa"/>
          </w:tcPr>
          <w:p w14:paraId="60D4D319"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sz w:val="18"/>
                <w:szCs w:val="18"/>
                <w:lang w:eastAsia="en-GB"/>
              </w:rPr>
              <w:t>Guo et al. (</w:t>
            </w:r>
            <w:r w:rsidRPr="00B764CC">
              <w:rPr>
                <w:rFonts w:ascii="Arial" w:eastAsia="Calibri" w:hAnsi="Arial" w:cs="Arial"/>
                <w:bCs/>
                <w:color w:val="000000"/>
                <w:sz w:val="18"/>
                <w:szCs w:val="18"/>
                <w:lang w:eastAsia="en-GB"/>
              </w:rPr>
              <w:t>2022) United States [43]</w:t>
            </w:r>
          </w:p>
        </w:tc>
        <w:tc>
          <w:tcPr>
            <w:tcW w:w="3260" w:type="dxa"/>
          </w:tcPr>
          <w:p w14:paraId="5FB35A98"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Aims</w:t>
            </w:r>
            <w:r w:rsidRPr="00B764CC">
              <w:rPr>
                <w:rFonts w:ascii="Arial" w:eastAsia="Calibri" w:hAnsi="Arial" w:cs="Arial"/>
                <w:sz w:val="18"/>
                <w:szCs w:val="18"/>
                <w:lang w:eastAsia="en-GB"/>
              </w:rPr>
              <w:t>:</w:t>
            </w:r>
          </w:p>
          <w:p w14:paraId="7EA7645D"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To assess risk factors associated with overall survival (OS) of hospitalised cancer patients with PI.</w:t>
            </w:r>
          </w:p>
          <w:p w14:paraId="76C23A3E" w14:textId="77777777" w:rsidR="00B764CC" w:rsidRPr="00B764CC" w:rsidRDefault="00B764CC" w:rsidP="00B764CC">
            <w:pPr>
              <w:spacing w:line="240" w:lineRule="auto"/>
              <w:rPr>
                <w:rFonts w:ascii="Arial" w:eastAsia="Calibri" w:hAnsi="Arial" w:cs="Arial"/>
                <w:i/>
                <w:iCs/>
                <w:sz w:val="18"/>
                <w:szCs w:val="18"/>
                <w:lang w:eastAsia="en-GB"/>
              </w:rPr>
            </w:pPr>
          </w:p>
          <w:p w14:paraId="14416379"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Methods</w:t>
            </w:r>
            <w:r w:rsidRPr="00B764CC">
              <w:rPr>
                <w:rFonts w:ascii="Arial" w:eastAsia="Calibri" w:hAnsi="Arial" w:cs="Arial"/>
                <w:sz w:val="18"/>
                <w:szCs w:val="18"/>
                <w:lang w:eastAsia="en-GB"/>
              </w:rPr>
              <w:t>:</w:t>
            </w:r>
          </w:p>
          <w:p w14:paraId="2B91D1AE"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Retrospective review of patient chart.</w:t>
            </w:r>
          </w:p>
        </w:tc>
        <w:tc>
          <w:tcPr>
            <w:tcW w:w="3119" w:type="dxa"/>
          </w:tcPr>
          <w:p w14:paraId="1425C6F2"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lastRenderedPageBreak/>
              <w:t>Population</w:t>
            </w:r>
            <w:r w:rsidRPr="00B764CC">
              <w:rPr>
                <w:rFonts w:ascii="Arial" w:eastAsia="Calibri" w:hAnsi="Arial" w:cs="Arial"/>
                <w:sz w:val="18"/>
                <w:szCs w:val="18"/>
                <w:lang w:eastAsia="en-GB"/>
              </w:rPr>
              <w:t xml:space="preserve">: </w:t>
            </w:r>
          </w:p>
          <w:p w14:paraId="084DF760"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Inpatients NCI-Designated Cancer Centre, referred to Wound Ostomy Continence Care nurse for PI.</w:t>
            </w:r>
          </w:p>
          <w:p w14:paraId="3217DFF7" w14:textId="77777777" w:rsidR="00B764CC" w:rsidRPr="00B764CC" w:rsidRDefault="00B764CC" w:rsidP="00B764CC">
            <w:pPr>
              <w:spacing w:line="240" w:lineRule="auto"/>
              <w:rPr>
                <w:rFonts w:ascii="Arial" w:eastAsia="Times New Roman" w:hAnsi="Arial" w:cs="Arial"/>
                <w:i/>
                <w:iCs/>
                <w:sz w:val="18"/>
                <w:szCs w:val="18"/>
                <w:lang w:eastAsia="en-AU"/>
              </w:rPr>
            </w:pPr>
          </w:p>
          <w:p w14:paraId="58F7C226"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i/>
                <w:iCs/>
                <w:sz w:val="18"/>
                <w:szCs w:val="18"/>
                <w:lang w:eastAsia="en-AU"/>
              </w:rPr>
              <w:t xml:space="preserve">Sample size: </w:t>
            </w:r>
          </w:p>
          <w:p w14:paraId="33E00738"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445</w:t>
            </w:r>
          </w:p>
          <w:p w14:paraId="3481B9E6" w14:textId="77777777" w:rsidR="00B764CC" w:rsidRPr="00B764CC" w:rsidRDefault="00B764CC" w:rsidP="00B764CC">
            <w:pPr>
              <w:spacing w:line="240" w:lineRule="auto"/>
              <w:rPr>
                <w:rFonts w:ascii="Arial" w:eastAsia="Times New Roman" w:hAnsi="Arial" w:cs="Arial"/>
                <w:sz w:val="18"/>
                <w:szCs w:val="18"/>
                <w:lang w:eastAsia="en-AU"/>
              </w:rPr>
            </w:pPr>
          </w:p>
          <w:p w14:paraId="6FC57C20"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xml:space="preserve">: </w:t>
            </w:r>
          </w:p>
          <w:p w14:paraId="0637D416"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62.3 (SD 13.5)</w:t>
            </w:r>
          </w:p>
          <w:p w14:paraId="26CFF83B" w14:textId="77777777" w:rsidR="00B764CC" w:rsidRPr="00B764CC" w:rsidRDefault="00B764CC" w:rsidP="00B764CC">
            <w:pPr>
              <w:spacing w:line="240" w:lineRule="auto"/>
              <w:rPr>
                <w:rFonts w:ascii="Arial" w:eastAsia="Times New Roman" w:hAnsi="Arial" w:cs="Arial"/>
                <w:sz w:val="18"/>
                <w:szCs w:val="18"/>
                <w:lang w:eastAsia="en-AU"/>
              </w:rPr>
            </w:pPr>
          </w:p>
          <w:p w14:paraId="1372B7AB"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 xml:space="preserve">: </w:t>
            </w:r>
          </w:p>
          <w:p w14:paraId="32FCD27F"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Female 42.9% (</w:t>
            </w:r>
            <w:r w:rsidRPr="00B764CC">
              <w:rPr>
                <w:rFonts w:ascii="Arial" w:eastAsia="Times New Roman" w:hAnsi="Arial" w:cs="Arial"/>
                <w:i/>
                <w:iCs/>
                <w:sz w:val="18"/>
                <w:szCs w:val="18"/>
                <w:lang w:eastAsia="en-AU"/>
              </w:rPr>
              <w:t>n</w:t>
            </w:r>
            <w:r w:rsidRPr="00B764CC">
              <w:rPr>
                <w:rFonts w:ascii="Arial" w:eastAsia="Times New Roman" w:hAnsi="Arial" w:cs="Arial"/>
                <w:sz w:val="18"/>
                <w:szCs w:val="18"/>
                <w:lang w:eastAsia="en-AU"/>
              </w:rPr>
              <w:t xml:space="preserve"> = 191)</w:t>
            </w:r>
          </w:p>
          <w:p w14:paraId="28240E88" w14:textId="77777777" w:rsidR="00B764CC" w:rsidRPr="00B764CC" w:rsidRDefault="00B764CC" w:rsidP="00B764CC">
            <w:pPr>
              <w:spacing w:line="240" w:lineRule="auto"/>
              <w:rPr>
                <w:rFonts w:ascii="Arial" w:eastAsia="Times New Roman" w:hAnsi="Arial" w:cs="Arial"/>
                <w:i/>
                <w:iCs/>
                <w:sz w:val="18"/>
                <w:szCs w:val="18"/>
                <w:lang w:eastAsia="en-AU"/>
              </w:rPr>
            </w:pPr>
          </w:p>
          <w:p w14:paraId="0A4E3A52"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p>
          <w:p w14:paraId="76201721"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t>Cancer centres</w:t>
            </w:r>
          </w:p>
        </w:tc>
        <w:tc>
          <w:tcPr>
            <w:tcW w:w="2976" w:type="dxa"/>
          </w:tcPr>
          <w:p w14:paraId="482447CC"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lastRenderedPageBreak/>
              <w:t>Pressure injury risk assessment tool:</w:t>
            </w:r>
          </w:p>
          <w:p w14:paraId="32E32BDC" w14:textId="77777777" w:rsidR="00B764CC" w:rsidRPr="00B764CC" w:rsidRDefault="00B764CC">
            <w:pPr>
              <w:numPr>
                <w:ilvl w:val="0"/>
                <w:numId w:val="8"/>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Braden Scale</w:t>
            </w:r>
          </w:p>
          <w:p w14:paraId="50166D17" w14:textId="77777777" w:rsidR="00B764CC" w:rsidRPr="00B764CC" w:rsidRDefault="00B764CC" w:rsidP="00B764CC">
            <w:pPr>
              <w:spacing w:line="240" w:lineRule="auto"/>
              <w:rPr>
                <w:rFonts w:ascii="Arial" w:eastAsia="Times New Roman" w:hAnsi="Arial" w:cs="Arial"/>
                <w:i/>
                <w:iCs/>
                <w:color w:val="000000" w:themeColor="text1"/>
                <w:sz w:val="18"/>
                <w:szCs w:val="18"/>
              </w:rPr>
            </w:pPr>
          </w:p>
          <w:p w14:paraId="0763E0DA"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lastRenderedPageBreak/>
              <w:t>Other clinical assessments for PI risk</w:t>
            </w:r>
            <w:r w:rsidRPr="00B764CC">
              <w:rPr>
                <w:rFonts w:ascii="Arial" w:eastAsia="Calibri" w:hAnsi="Arial" w:cs="Arial"/>
                <w:sz w:val="18"/>
                <w:szCs w:val="18"/>
                <w:lang w:eastAsia="en-GB"/>
              </w:rPr>
              <w:t xml:space="preserve">: </w:t>
            </w:r>
          </w:p>
          <w:p w14:paraId="1DB5C857" w14:textId="77777777" w:rsidR="00B764CC" w:rsidRPr="00B764CC" w:rsidRDefault="00B764CC">
            <w:pPr>
              <w:numPr>
                <w:ilvl w:val="0"/>
                <w:numId w:val="8"/>
              </w:numPr>
              <w:spacing w:line="240" w:lineRule="auto"/>
              <w:contextualSpacing/>
              <w:rPr>
                <w:rFonts w:ascii="Arial" w:eastAsia="Calibri" w:hAnsi="Arial" w:cs="Arial"/>
                <w:bCs/>
                <w:sz w:val="18"/>
                <w:szCs w:val="18"/>
                <w:lang w:eastAsia="en-GB"/>
              </w:rPr>
            </w:pPr>
            <w:r w:rsidRPr="00B764CC">
              <w:rPr>
                <w:rFonts w:ascii="Arial" w:eastAsia="Calibri" w:hAnsi="Arial" w:cs="Arial"/>
                <w:bCs/>
                <w:sz w:val="18"/>
                <w:szCs w:val="18"/>
                <w:lang w:eastAsia="en-GB"/>
              </w:rPr>
              <w:t>None reported</w:t>
            </w:r>
          </w:p>
        </w:tc>
        <w:tc>
          <w:tcPr>
            <w:tcW w:w="4622" w:type="dxa"/>
          </w:tcPr>
          <w:p w14:paraId="61D36D79"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lastRenderedPageBreak/>
              <w:t>Key findings</w:t>
            </w:r>
            <w:r w:rsidRPr="00B764CC">
              <w:rPr>
                <w:rFonts w:ascii="Arial" w:eastAsia="Times New Roman" w:hAnsi="Arial" w:cs="Arial"/>
                <w:sz w:val="18"/>
                <w:szCs w:val="18"/>
              </w:rPr>
              <w:t>:</w:t>
            </w:r>
          </w:p>
          <w:p w14:paraId="071B99D2"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Lower Braden score is significantly associated with shorter OS of cancer patients with PI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 xml:space="preserve">&lt;0.0001). The median survival time for patients with Braden score &lt;/= </w:t>
            </w:r>
            <w:r w:rsidRPr="00B764CC">
              <w:rPr>
                <w:rFonts w:ascii="Arial" w:eastAsia="Calibri" w:hAnsi="Arial" w:cs="Arial"/>
                <w:sz w:val="18"/>
                <w:szCs w:val="18"/>
                <w:lang w:eastAsia="en-GB"/>
              </w:rPr>
              <w:lastRenderedPageBreak/>
              <w:t xml:space="preserve">14, 15-18, and &gt;/=19 are 0.4 months (95% confidence interval [CI]: 0.4-0.6),5.2 months (95% CI: 3.0-9.2), and 8.4 months (95% CI: 4.9-NA), respectively. In a multivariate Cox model, adjusted for advanced disease, Braden score of 15-18 and &gt;/= 19 is shown to be significantly associated with longer OS time when compared with patients with Braden score &lt;/= 14 (HR=0.44, </w:t>
            </w:r>
            <w:r w:rsidRPr="00B764CC">
              <w:rPr>
                <w:rFonts w:ascii="Arial" w:eastAsia="Calibri" w:hAnsi="Arial" w:cs="Arial"/>
                <w:i/>
                <w:iCs/>
                <w:sz w:val="18"/>
                <w:szCs w:val="18"/>
                <w:lang w:eastAsia="en-GB"/>
              </w:rPr>
              <w:t xml:space="preserve">p </w:t>
            </w:r>
            <w:r w:rsidRPr="00B764CC">
              <w:rPr>
                <w:rFonts w:ascii="Arial" w:eastAsia="Calibri" w:hAnsi="Arial" w:cs="Arial"/>
                <w:sz w:val="18"/>
                <w:szCs w:val="18"/>
                <w:lang w:eastAsia="en-GB"/>
              </w:rPr>
              <w:t xml:space="preserve">&lt;0.0001; HR=0.47,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&lt;0.0001, respectively).</w:t>
            </w:r>
          </w:p>
        </w:tc>
      </w:tr>
      <w:tr w:rsidR="00B764CC" w:rsidRPr="00B764CC" w14:paraId="4D537A15" w14:textId="77777777" w:rsidTr="003000D3">
        <w:trPr>
          <w:trHeight w:val="67"/>
        </w:trPr>
        <w:tc>
          <w:tcPr>
            <w:tcW w:w="1413" w:type="dxa"/>
          </w:tcPr>
          <w:p w14:paraId="23F8B3B9"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bCs/>
                <w:sz w:val="18"/>
                <w:szCs w:val="18"/>
                <w:lang w:eastAsia="en-GB"/>
              </w:rPr>
              <w:lastRenderedPageBreak/>
              <w:t>Hendrichova et al.</w:t>
            </w:r>
          </w:p>
          <w:p w14:paraId="1713812C" w14:textId="77777777" w:rsidR="00B764CC" w:rsidRPr="00B764CC" w:rsidRDefault="00B764CC" w:rsidP="00B764CC">
            <w:pPr>
              <w:spacing w:line="240" w:lineRule="auto"/>
              <w:rPr>
                <w:rFonts w:ascii="Arial" w:eastAsia="Times New Roman" w:hAnsi="Arial" w:cs="Arial"/>
                <w:bCs/>
                <w:sz w:val="18"/>
                <w:szCs w:val="18"/>
                <w:lang w:eastAsia="en-AU"/>
              </w:rPr>
            </w:pPr>
            <w:r w:rsidRPr="00B764CC">
              <w:rPr>
                <w:rFonts w:ascii="Arial" w:eastAsia="Calibri" w:hAnsi="Arial" w:cs="Arial"/>
                <w:bCs/>
                <w:sz w:val="18"/>
                <w:szCs w:val="18"/>
                <w:lang w:eastAsia="en-GB"/>
              </w:rPr>
              <w:t>(2010) Italy [44]</w:t>
            </w:r>
          </w:p>
        </w:tc>
        <w:tc>
          <w:tcPr>
            <w:tcW w:w="3260" w:type="dxa"/>
          </w:tcPr>
          <w:p w14:paraId="624F3AF7"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Aims</w:t>
            </w:r>
            <w:r w:rsidRPr="00B764CC">
              <w:rPr>
                <w:rFonts w:ascii="Arial" w:eastAsia="Calibri" w:hAnsi="Arial" w:cs="Arial"/>
                <w:sz w:val="18"/>
                <w:szCs w:val="18"/>
                <w:lang w:eastAsia="en-GB"/>
              </w:rPr>
              <w:t>:</w:t>
            </w:r>
          </w:p>
          <w:p w14:paraId="14960899"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To contribute to the knowledge base about pressure ulcers in palliative care through the description of prevalence and incidence of pressure ulcers in terminally ill cancer patients in an Italian palliative care service.</w:t>
            </w:r>
          </w:p>
          <w:p w14:paraId="5AD49A84" w14:textId="77777777" w:rsidR="00B764CC" w:rsidRPr="00B764CC" w:rsidRDefault="00B764CC" w:rsidP="00B764CC">
            <w:pPr>
              <w:spacing w:line="240" w:lineRule="auto"/>
              <w:rPr>
                <w:rFonts w:ascii="Arial" w:eastAsia="Calibri" w:hAnsi="Arial" w:cs="Arial"/>
                <w:i/>
                <w:iCs/>
                <w:sz w:val="18"/>
                <w:szCs w:val="18"/>
                <w:lang w:eastAsia="en-GB"/>
              </w:rPr>
            </w:pPr>
          </w:p>
          <w:p w14:paraId="293897FD"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Methods</w:t>
            </w:r>
            <w:r w:rsidRPr="00B764CC">
              <w:rPr>
                <w:rFonts w:ascii="Arial" w:eastAsia="Calibri" w:hAnsi="Arial" w:cs="Arial"/>
                <w:sz w:val="18"/>
                <w:szCs w:val="18"/>
                <w:lang w:eastAsia="en-GB"/>
              </w:rPr>
              <w:t xml:space="preserve">: </w:t>
            </w:r>
          </w:p>
          <w:p w14:paraId="7B2B9D2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Descriptive study conducted using a retrospective analysis of clinical records.</w:t>
            </w:r>
          </w:p>
        </w:tc>
        <w:tc>
          <w:tcPr>
            <w:tcW w:w="3119" w:type="dxa"/>
          </w:tcPr>
          <w:p w14:paraId="5339A023"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64C141FE"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 xml:space="preserve">Terminally ill cancer patients </w:t>
            </w:r>
          </w:p>
          <w:p w14:paraId="650DA0F6" w14:textId="77777777" w:rsidR="00B764CC" w:rsidRPr="00B764CC" w:rsidRDefault="00B764CC" w:rsidP="00B764CC">
            <w:pPr>
              <w:spacing w:line="240" w:lineRule="auto"/>
              <w:rPr>
                <w:rFonts w:ascii="Arial" w:eastAsia="Times New Roman" w:hAnsi="Arial" w:cs="Arial"/>
                <w:i/>
                <w:iCs/>
                <w:sz w:val="18"/>
                <w:szCs w:val="18"/>
                <w:lang w:eastAsia="en-AU"/>
              </w:rPr>
            </w:pPr>
          </w:p>
          <w:p w14:paraId="56E4E897"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i/>
                <w:iCs/>
                <w:sz w:val="18"/>
                <w:szCs w:val="18"/>
                <w:lang w:eastAsia="en-AU"/>
              </w:rPr>
              <w:t xml:space="preserve">Sample size: </w:t>
            </w:r>
          </w:p>
          <w:p w14:paraId="26BBBFED"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414</w:t>
            </w:r>
          </w:p>
          <w:p w14:paraId="0BBE9D20" w14:textId="77777777" w:rsidR="00B764CC" w:rsidRPr="00B764CC" w:rsidRDefault="00B764CC" w:rsidP="00B764CC">
            <w:pPr>
              <w:spacing w:line="240" w:lineRule="auto"/>
              <w:rPr>
                <w:rFonts w:ascii="Arial" w:eastAsia="Times New Roman" w:hAnsi="Arial" w:cs="Arial"/>
                <w:sz w:val="18"/>
                <w:szCs w:val="18"/>
                <w:lang w:eastAsia="en-AU"/>
              </w:rPr>
            </w:pPr>
          </w:p>
          <w:p w14:paraId="2A9E86AE" w14:textId="77777777" w:rsidR="00B764CC" w:rsidRPr="00B764CC" w:rsidRDefault="00B764CC" w:rsidP="00B764CC">
            <w:pPr>
              <w:spacing w:line="240" w:lineRule="auto"/>
              <w:rPr>
                <w:rFonts w:ascii="Arial" w:eastAsia="Calibri" w:hAnsi="Arial" w:cs="Arial"/>
                <w:bCs/>
                <w:sz w:val="18"/>
                <w:szCs w:val="18"/>
                <w:lang w:eastAsia="en-GB"/>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w:t>
            </w:r>
            <w:r w:rsidRPr="00B764CC">
              <w:rPr>
                <w:rFonts w:ascii="Arial" w:eastAsia="Calibri" w:hAnsi="Arial" w:cs="Arial"/>
                <w:bCs/>
                <w:sz w:val="18"/>
                <w:szCs w:val="18"/>
                <w:lang w:eastAsia="en-GB"/>
              </w:rPr>
              <w:t xml:space="preserve"> </w:t>
            </w:r>
          </w:p>
          <w:p w14:paraId="1EA18194"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Mean 74</w:t>
            </w:r>
          </w:p>
          <w:p w14:paraId="34F4BF5E" w14:textId="77777777" w:rsidR="00B764CC" w:rsidRPr="00B764CC" w:rsidRDefault="00B764CC" w:rsidP="00B764CC">
            <w:pPr>
              <w:spacing w:line="240" w:lineRule="auto"/>
              <w:rPr>
                <w:rFonts w:ascii="Arial" w:eastAsia="Times New Roman" w:hAnsi="Arial" w:cs="Arial"/>
                <w:sz w:val="18"/>
                <w:szCs w:val="18"/>
                <w:lang w:eastAsia="en-AU"/>
              </w:rPr>
            </w:pPr>
          </w:p>
          <w:p w14:paraId="2C5E4042" w14:textId="77777777" w:rsidR="00B764CC" w:rsidRPr="00B764CC" w:rsidRDefault="00B764CC" w:rsidP="00B764CC">
            <w:pPr>
              <w:spacing w:line="240" w:lineRule="auto"/>
              <w:rPr>
                <w:rFonts w:ascii="Arial" w:eastAsia="Calibri" w:hAnsi="Arial" w:cs="Arial"/>
                <w:bCs/>
                <w:sz w:val="18"/>
                <w:szCs w:val="18"/>
                <w:lang w:eastAsia="en-GB"/>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w:t>
            </w:r>
            <w:r w:rsidRPr="00B764CC">
              <w:rPr>
                <w:rFonts w:ascii="Arial" w:eastAsia="Calibri" w:hAnsi="Arial" w:cs="Arial"/>
                <w:bCs/>
                <w:sz w:val="18"/>
                <w:szCs w:val="18"/>
                <w:lang w:eastAsia="en-GB"/>
              </w:rPr>
              <w:t xml:space="preserve"> </w:t>
            </w:r>
          </w:p>
          <w:p w14:paraId="36D3E5EA"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Male 49.7% (</w:t>
            </w:r>
            <w:r w:rsidRPr="00B764CC">
              <w:rPr>
                <w:rFonts w:ascii="Arial" w:eastAsia="Times New Roman" w:hAnsi="Arial" w:cs="Arial"/>
                <w:i/>
                <w:iCs/>
                <w:sz w:val="18"/>
                <w:szCs w:val="18"/>
                <w:lang w:eastAsia="en-AU"/>
              </w:rPr>
              <w:t xml:space="preserve">n </w:t>
            </w:r>
            <w:r w:rsidRPr="00B764CC">
              <w:rPr>
                <w:rFonts w:ascii="Arial" w:eastAsia="Times New Roman" w:hAnsi="Arial" w:cs="Arial"/>
                <w:sz w:val="18"/>
                <w:szCs w:val="18"/>
                <w:lang w:eastAsia="en-AU"/>
              </w:rPr>
              <w:t>= 206)</w:t>
            </w:r>
          </w:p>
          <w:p w14:paraId="7A2815D9"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Female 50.3% (</w:t>
            </w:r>
            <w:r w:rsidRPr="00B764CC">
              <w:rPr>
                <w:rFonts w:ascii="Arial" w:eastAsia="Times New Roman" w:hAnsi="Arial" w:cs="Arial"/>
                <w:i/>
                <w:iCs/>
                <w:sz w:val="18"/>
                <w:szCs w:val="18"/>
                <w:lang w:eastAsia="en-AU"/>
              </w:rPr>
              <w:t xml:space="preserve">n </w:t>
            </w:r>
            <w:r w:rsidRPr="00B764CC">
              <w:rPr>
                <w:rFonts w:ascii="Arial" w:eastAsia="Times New Roman" w:hAnsi="Arial" w:cs="Arial"/>
                <w:sz w:val="18"/>
                <w:szCs w:val="18"/>
                <w:lang w:eastAsia="en-AU"/>
              </w:rPr>
              <w:t>= 208)</w:t>
            </w:r>
          </w:p>
          <w:p w14:paraId="6EDB2FD9" w14:textId="77777777" w:rsidR="00B764CC" w:rsidRPr="00B764CC" w:rsidRDefault="00B764CC" w:rsidP="00B764CC">
            <w:pPr>
              <w:spacing w:line="240" w:lineRule="auto"/>
              <w:rPr>
                <w:rFonts w:ascii="Arial" w:eastAsia="Times New Roman" w:hAnsi="Arial" w:cs="Arial"/>
                <w:i/>
                <w:iCs/>
                <w:sz w:val="18"/>
                <w:szCs w:val="18"/>
                <w:lang w:eastAsia="en-AU"/>
              </w:rPr>
            </w:pPr>
          </w:p>
          <w:p w14:paraId="69C78826"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p>
          <w:p w14:paraId="26BEFE6F"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t>Inpatient hospital</w:t>
            </w:r>
          </w:p>
        </w:tc>
        <w:tc>
          <w:tcPr>
            <w:tcW w:w="2976" w:type="dxa"/>
          </w:tcPr>
          <w:p w14:paraId="0833BFFE"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Pressure injury risk assessment tool:</w:t>
            </w:r>
          </w:p>
          <w:p w14:paraId="44593AAE" w14:textId="77777777" w:rsidR="00B764CC" w:rsidRPr="00B764CC" w:rsidRDefault="00B764CC">
            <w:pPr>
              <w:numPr>
                <w:ilvl w:val="0"/>
                <w:numId w:val="8"/>
              </w:numPr>
              <w:spacing w:line="240" w:lineRule="auto"/>
              <w:contextualSpacing/>
              <w:rPr>
                <w:rFonts w:ascii="Arial" w:eastAsia="Times New Roman" w:hAnsi="Arial" w:cs="Arial"/>
                <w:i/>
                <w:iCs/>
                <w:color w:val="000000" w:themeColor="text1"/>
                <w:sz w:val="18"/>
                <w:szCs w:val="18"/>
                <w:lang w:eastAsia="en-GB"/>
              </w:rPr>
            </w:pPr>
            <w:r w:rsidRPr="00B764CC">
              <w:rPr>
                <w:rFonts w:ascii="Arial" w:eastAsia="Times New Roman" w:hAnsi="Arial" w:cs="Arial"/>
                <w:color w:val="000000" w:themeColor="text1"/>
                <w:sz w:val="18"/>
                <w:szCs w:val="18"/>
                <w:lang w:eastAsia="en-GB"/>
              </w:rPr>
              <w:t>Braden Scale</w:t>
            </w:r>
          </w:p>
          <w:p w14:paraId="2E2D0306" w14:textId="77777777" w:rsidR="00B764CC" w:rsidRPr="00B764CC" w:rsidRDefault="00B764CC" w:rsidP="00B764CC">
            <w:pPr>
              <w:spacing w:line="240" w:lineRule="auto"/>
              <w:rPr>
                <w:rFonts w:ascii="Arial" w:eastAsia="Calibri" w:hAnsi="Arial" w:cs="Arial"/>
                <w:i/>
                <w:iCs/>
                <w:sz w:val="18"/>
                <w:szCs w:val="18"/>
                <w:lang w:eastAsia="en-GB"/>
              </w:rPr>
            </w:pPr>
          </w:p>
          <w:p w14:paraId="0FD9C08B"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w:t>
            </w:r>
          </w:p>
          <w:p w14:paraId="2FBC534A" w14:textId="77777777" w:rsidR="00B764CC" w:rsidRPr="00B764CC" w:rsidRDefault="00B764CC">
            <w:pPr>
              <w:numPr>
                <w:ilvl w:val="0"/>
                <w:numId w:val="2"/>
              </w:numPr>
              <w:spacing w:line="240" w:lineRule="auto"/>
              <w:contextualSpacing/>
              <w:rPr>
                <w:rFonts w:ascii="Arial" w:eastAsia="Calibri" w:hAnsi="Arial" w:cs="Arial"/>
                <w:sz w:val="18"/>
                <w:szCs w:val="18"/>
                <w:lang w:eastAsia="en-GB"/>
              </w:rPr>
            </w:pPr>
            <w:r w:rsidRPr="00B764CC">
              <w:rPr>
                <w:rFonts w:ascii="Arial" w:eastAsia="Calibri" w:hAnsi="Arial" w:cs="Arial"/>
                <w:sz w:val="18"/>
                <w:szCs w:val="18"/>
                <w:lang w:eastAsia="en-GB"/>
              </w:rPr>
              <w:t>Karnofsky Performance Scale</w:t>
            </w:r>
          </w:p>
        </w:tc>
        <w:tc>
          <w:tcPr>
            <w:tcW w:w="4622" w:type="dxa"/>
          </w:tcPr>
          <w:p w14:paraId="66D3F999"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6D1B59DE"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In palliative care, performance status is measured with the Karnofsky Performance Scale Index or with the Palliative Performance Scale which are used interchangeably. Within palliative care, these scales are also commonly used instead of the Braden Scale, a measure specifically aimed at evaluating the risk of developing PIs, as the Palliative Performance Scale shows a significant relationship with the Braden score. Scores of the Karnofsky Performance Scale index were distributed with significant difference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&lt;0.001) between patients who had PI when admitted and those without PIs at admission. The Karnofsky Performance Scale indicates 20 and 30 were frequent inpatients with PIs at admission.</w:t>
            </w:r>
          </w:p>
        </w:tc>
      </w:tr>
      <w:tr w:rsidR="00B764CC" w:rsidRPr="00B764CC" w14:paraId="24F84F86" w14:textId="77777777" w:rsidTr="003000D3">
        <w:trPr>
          <w:trHeight w:val="67"/>
        </w:trPr>
        <w:tc>
          <w:tcPr>
            <w:tcW w:w="1413" w:type="dxa"/>
          </w:tcPr>
          <w:p w14:paraId="167F48C7"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sz w:val="18"/>
                <w:szCs w:val="18"/>
                <w:lang w:eastAsia="en-GB"/>
              </w:rPr>
              <w:t>Henoch and Gustafsson (</w:t>
            </w:r>
            <w:r w:rsidRPr="00B764CC">
              <w:rPr>
                <w:rFonts w:ascii="Arial" w:eastAsia="Calibri" w:hAnsi="Arial" w:cs="Arial"/>
                <w:bCs/>
                <w:color w:val="000000"/>
                <w:sz w:val="18"/>
                <w:szCs w:val="18"/>
                <w:lang w:eastAsia="en-GB"/>
              </w:rPr>
              <w:t>2003) Sweden [45]</w:t>
            </w:r>
          </w:p>
        </w:tc>
        <w:tc>
          <w:tcPr>
            <w:tcW w:w="3260" w:type="dxa"/>
          </w:tcPr>
          <w:p w14:paraId="2C17C945"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Aims</w:t>
            </w:r>
            <w:r w:rsidRPr="00B764CC">
              <w:rPr>
                <w:rFonts w:ascii="Arial" w:eastAsia="Calibri" w:hAnsi="Arial" w:cs="Arial"/>
                <w:sz w:val="18"/>
                <w:szCs w:val="18"/>
                <w:lang w:eastAsia="en-GB"/>
              </w:rPr>
              <w:t>:</w:t>
            </w:r>
            <w:r w:rsidRPr="00B764CC">
              <w:rPr>
                <w:rFonts w:ascii="Arial" w:eastAsia="Calibri" w:hAnsi="Arial" w:cs="Arial"/>
                <w:sz w:val="18"/>
                <w:szCs w:val="18"/>
                <w:lang w:eastAsia="en-GB"/>
              </w:rPr>
              <w:br/>
              <w:t>- To compare the occurrence of risk factors from the modified Norton, the Braden, the Waterlow and the RAPS scales with the occurrence of pressure ulcers in palliative care.</w:t>
            </w:r>
            <w:r w:rsidRPr="00B764CC">
              <w:rPr>
                <w:rFonts w:ascii="Arial" w:eastAsia="Calibri" w:hAnsi="Arial" w:cs="Arial"/>
                <w:sz w:val="18"/>
                <w:szCs w:val="18"/>
                <w:lang w:eastAsia="en-GB"/>
              </w:rPr>
              <w:br/>
              <w:t>- To construct scales for the assessment of pressure ulcer risk appropriate for use in palliative care using the results from the above comparisons</w:t>
            </w:r>
            <w:r w:rsidRPr="00B764CC">
              <w:rPr>
                <w:rFonts w:ascii="Arial" w:eastAsia="Calibri" w:hAnsi="Arial" w:cs="Arial"/>
                <w:sz w:val="18"/>
                <w:szCs w:val="18"/>
                <w:lang w:eastAsia="en-GB"/>
              </w:rPr>
              <w:br/>
              <w:t>- To determine the most appropriate scale for this group of patients by calculations of validity and significant differences in prediction scores between the patients with and without pressure ulcers when using the constructed scales.</w:t>
            </w:r>
          </w:p>
          <w:p w14:paraId="279120C7" w14:textId="77777777" w:rsidR="00B764CC" w:rsidRPr="00B764CC" w:rsidRDefault="00B764CC" w:rsidP="00B764CC">
            <w:pPr>
              <w:spacing w:line="240" w:lineRule="auto"/>
              <w:rPr>
                <w:rFonts w:ascii="Arial" w:eastAsia="Calibri" w:hAnsi="Arial" w:cs="Arial"/>
                <w:i/>
                <w:iCs/>
                <w:sz w:val="18"/>
                <w:szCs w:val="18"/>
                <w:lang w:eastAsia="en-GB"/>
              </w:rPr>
            </w:pPr>
          </w:p>
          <w:p w14:paraId="05A33B6D"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Methods</w:t>
            </w:r>
            <w:r w:rsidRPr="00B764CC">
              <w:rPr>
                <w:rFonts w:ascii="Arial" w:eastAsia="Calibri" w:hAnsi="Arial" w:cs="Arial"/>
                <w:sz w:val="18"/>
                <w:szCs w:val="18"/>
                <w:lang w:eastAsia="en-GB"/>
              </w:rPr>
              <w:t>:</w:t>
            </w:r>
          </w:p>
          <w:p w14:paraId="622B82DC"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lastRenderedPageBreak/>
              <w:t>Quality improvement study for the development if a hospice PU risk assessment scale.</w:t>
            </w:r>
          </w:p>
        </w:tc>
        <w:tc>
          <w:tcPr>
            <w:tcW w:w="3119" w:type="dxa"/>
          </w:tcPr>
          <w:p w14:paraId="3A482FF4"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lastRenderedPageBreak/>
              <w:t>Population</w:t>
            </w:r>
            <w:r w:rsidRPr="00B764CC">
              <w:rPr>
                <w:rFonts w:ascii="Arial" w:eastAsia="Calibri" w:hAnsi="Arial" w:cs="Arial"/>
                <w:sz w:val="18"/>
                <w:szCs w:val="18"/>
                <w:lang w:eastAsia="en-GB"/>
              </w:rPr>
              <w:t xml:space="preserve">: </w:t>
            </w:r>
          </w:p>
          <w:p w14:paraId="7E646B0B"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Advanced cancer patients</w:t>
            </w:r>
          </w:p>
          <w:p w14:paraId="6D6B892B" w14:textId="77777777" w:rsidR="00B764CC" w:rsidRPr="00B764CC" w:rsidRDefault="00B764CC" w:rsidP="00B764CC">
            <w:pPr>
              <w:spacing w:line="240" w:lineRule="auto"/>
              <w:rPr>
                <w:rFonts w:ascii="Arial" w:eastAsia="Times New Roman" w:hAnsi="Arial" w:cs="Arial"/>
                <w:i/>
                <w:iCs/>
                <w:sz w:val="18"/>
                <w:szCs w:val="18"/>
                <w:lang w:eastAsia="en-AU"/>
              </w:rPr>
            </w:pPr>
          </w:p>
          <w:p w14:paraId="517A2058"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i/>
                <w:iCs/>
                <w:sz w:val="18"/>
                <w:szCs w:val="18"/>
                <w:lang w:eastAsia="en-AU"/>
              </w:rPr>
              <w:t xml:space="preserve">Sample size: </w:t>
            </w:r>
          </w:p>
          <w:p w14:paraId="5537B532"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98</w:t>
            </w:r>
          </w:p>
          <w:p w14:paraId="552F2836" w14:textId="77777777" w:rsidR="00B764CC" w:rsidRPr="00B764CC" w:rsidRDefault="00B764CC" w:rsidP="00B764CC">
            <w:pPr>
              <w:spacing w:line="240" w:lineRule="auto"/>
              <w:rPr>
                <w:rFonts w:ascii="Arial" w:eastAsia="Times New Roman" w:hAnsi="Arial" w:cs="Arial"/>
                <w:sz w:val="18"/>
                <w:szCs w:val="18"/>
                <w:lang w:eastAsia="en-AU"/>
              </w:rPr>
            </w:pPr>
          </w:p>
          <w:p w14:paraId="0D2692C9"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xml:space="preserve">: </w:t>
            </w:r>
          </w:p>
          <w:p w14:paraId="1BD9E377"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26-95 years old</w:t>
            </w:r>
          </w:p>
          <w:p w14:paraId="10F819C9" w14:textId="77777777" w:rsidR="00B764CC" w:rsidRPr="00B764CC" w:rsidRDefault="00B764CC" w:rsidP="00B764CC">
            <w:pPr>
              <w:spacing w:line="240" w:lineRule="auto"/>
              <w:rPr>
                <w:rFonts w:ascii="Arial" w:eastAsia="Times New Roman" w:hAnsi="Arial" w:cs="Arial"/>
                <w:sz w:val="18"/>
                <w:szCs w:val="18"/>
                <w:lang w:eastAsia="en-AU"/>
              </w:rPr>
            </w:pPr>
          </w:p>
          <w:p w14:paraId="1901E76C" w14:textId="77777777" w:rsidR="00B764CC" w:rsidRPr="00B764CC" w:rsidRDefault="00B764CC" w:rsidP="00B764CC">
            <w:pPr>
              <w:spacing w:line="240" w:lineRule="auto"/>
              <w:rPr>
                <w:rFonts w:ascii="Arial" w:eastAsia="Calibri" w:hAnsi="Arial" w:cs="Arial"/>
                <w:bCs/>
                <w:sz w:val="18"/>
                <w:szCs w:val="18"/>
                <w:lang w:eastAsia="en-GB"/>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w:t>
            </w:r>
            <w:r w:rsidRPr="00B764CC">
              <w:rPr>
                <w:rFonts w:ascii="Arial" w:eastAsia="Calibri" w:hAnsi="Arial" w:cs="Arial"/>
                <w:bCs/>
                <w:sz w:val="18"/>
                <w:szCs w:val="18"/>
                <w:lang w:eastAsia="en-GB"/>
              </w:rPr>
              <w:t xml:space="preserve"> </w:t>
            </w:r>
          </w:p>
          <w:p w14:paraId="7917E4EF"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Male 35.7% (</w:t>
            </w:r>
            <w:r w:rsidRPr="00B764CC">
              <w:rPr>
                <w:rFonts w:ascii="Arial" w:eastAsia="Times New Roman" w:hAnsi="Arial" w:cs="Arial"/>
                <w:i/>
                <w:iCs/>
                <w:sz w:val="18"/>
                <w:szCs w:val="18"/>
                <w:lang w:eastAsia="en-AU"/>
              </w:rPr>
              <w:t xml:space="preserve">n </w:t>
            </w:r>
            <w:r w:rsidRPr="00B764CC">
              <w:rPr>
                <w:rFonts w:ascii="Arial" w:eastAsia="Times New Roman" w:hAnsi="Arial" w:cs="Arial"/>
                <w:sz w:val="18"/>
                <w:szCs w:val="18"/>
                <w:lang w:eastAsia="en-AU"/>
              </w:rPr>
              <w:t>= 35)</w:t>
            </w:r>
          </w:p>
          <w:p w14:paraId="24B6A8B3"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Female 64.3% (</w:t>
            </w:r>
            <w:r w:rsidRPr="00B764CC">
              <w:rPr>
                <w:rFonts w:ascii="Arial" w:eastAsia="Times New Roman" w:hAnsi="Arial" w:cs="Arial"/>
                <w:i/>
                <w:iCs/>
                <w:sz w:val="18"/>
                <w:szCs w:val="18"/>
                <w:lang w:eastAsia="en-AU"/>
              </w:rPr>
              <w:t>n</w:t>
            </w:r>
            <w:r w:rsidRPr="00B764CC">
              <w:rPr>
                <w:rFonts w:ascii="Arial" w:eastAsia="Times New Roman" w:hAnsi="Arial" w:cs="Arial"/>
                <w:sz w:val="18"/>
                <w:szCs w:val="18"/>
                <w:lang w:eastAsia="en-AU"/>
              </w:rPr>
              <w:t xml:space="preserve"> = 63)</w:t>
            </w:r>
          </w:p>
          <w:p w14:paraId="0E72A8E2" w14:textId="77777777" w:rsidR="00B764CC" w:rsidRPr="00B764CC" w:rsidRDefault="00B764CC" w:rsidP="00B764CC">
            <w:pPr>
              <w:spacing w:line="240" w:lineRule="auto"/>
              <w:rPr>
                <w:rFonts w:ascii="Arial" w:eastAsia="Times New Roman" w:hAnsi="Arial" w:cs="Arial"/>
                <w:i/>
                <w:iCs/>
                <w:sz w:val="18"/>
                <w:szCs w:val="18"/>
                <w:lang w:eastAsia="en-AU"/>
              </w:rPr>
            </w:pPr>
          </w:p>
          <w:p w14:paraId="5FC58F03"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p>
          <w:p w14:paraId="390C46A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t>Hospice</w:t>
            </w:r>
          </w:p>
        </w:tc>
        <w:tc>
          <w:tcPr>
            <w:tcW w:w="2976" w:type="dxa"/>
          </w:tcPr>
          <w:p w14:paraId="2700137F"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Pressure injury risk assessment tool:</w:t>
            </w:r>
          </w:p>
          <w:p w14:paraId="48F8AEE7" w14:textId="77777777" w:rsidR="00B764CC" w:rsidRPr="00B764CC" w:rsidRDefault="00B764CC">
            <w:pPr>
              <w:numPr>
                <w:ilvl w:val="0"/>
                <w:numId w:val="8"/>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Modified Norton Scale</w:t>
            </w:r>
          </w:p>
          <w:p w14:paraId="075A9D80" w14:textId="77777777" w:rsidR="00B764CC" w:rsidRPr="00B764CC" w:rsidRDefault="00B764CC">
            <w:pPr>
              <w:numPr>
                <w:ilvl w:val="0"/>
                <w:numId w:val="8"/>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Braden Scale</w:t>
            </w:r>
          </w:p>
          <w:p w14:paraId="3A58F936" w14:textId="77777777" w:rsidR="00B764CC" w:rsidRPr="00B764CC" w:rsidRDefault="00B764CC">
            <w:pPr>
              <w:numPr>
                <w:ilvl w:val="0"/>
                <w:numId w:val="8"/>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Waterlow Score</w:t>
            </w:r>
          </w:p>
          <w:p w14:paraId="025D71ED" w14:textId="77777777" w:rsidR="00B764CC" w:rsidRPr="00B764CC" w:rsidRDefault="00B764CC">
            <w:pPr>
              <w:numPr>
                <w:ilvl w:val="0"/>
                <w:numId w:val="8"/>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RAPS</w:t>
            </w:r>
          </w:p>
          <w:p w14:paraId="55E83463" w14:textId="77777777" w:rsidR="00B764CC" w:rsidRPr="00B764CC" w:rsidRDefault="00B764CC">
            <w:pPr>
              <w:numPr>
                <w:ilvl w:val="0"/>
                <w:numId w:val="8"/>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Hospice Pressure Ulcer Risk Assessment Scale</w:t>
            </w:r>
          </w:p>
          <w:p w14:paraId="482EA903" w14:textId="77777777" w:rsidR="00B764CC" w:rsidRPr="00B764CC" w:rsidRDefault="00B764CC" w:rsidP="00B764CC">
            <w:pPr>
              <w:spacing w:line="240" w:lineRule="auto"/>
              <w:rPr>
                <w:rFonts w:ascii="Arial" w:eastAsia="Times New Roman" w:hAnsi="Arial" w:cs="Arial"/>
                <w:i/>
                <w:iCs/>
                <w:color w:val="000000" w:themeColor="text1"/>
                <w:sz w:val="18"/>
                <w:szCs w:val="18"/>
                <w:lang w:eastAsia="en-GB"/>
              </w:rPr>
            </w:pPr>
          </w:p>
          <w:p w14:paraId="4116A9E9"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w:t>
            </w:r>
          </w:p>
          <w:p w14:paraId="1D8136F9" w14:textId="77777777" w:rsidR="00B764CC" w:rsidRPr="00B764CC" w:rsidRDefault="00B764CC">
            <w:pPr>
              <w:numPr>
                <w:ilvl w:val="0"/>
                <w:numId w:val="15"/>
              </w:numPr>
              <w:spacing w:line="240" w:lineRule="auto"/>
              <w:contextualSpacing/>
              <w:rPr>
                <w:rFonts w:ascii="Arial" w:eastAsia="Calibri" w:hAnsi="Arial" w:cs="Arial"/>
                <w:bCs/>
                <w:sz w:val="18"/>
                <w:szCs w:val="18"/>
                <w:lang w:eastAsia="en-GB"/>
              </w:rPr>
            </w:pPr>
            <w:r w:rsidRPr="00B764CC">
              <w:rPr>
                <w:rFonts w:ascii="Arial" w:eastAsia="Calibri" w:hAnsi="Arial" w:cs="Arial"/>
                <w:bCs/>
                <w:sz w:val="18"/>
                <w:szCs w:val="18"/>
                <w:lang w:eastAsia="en-GB"/>
              </w:rPr>
              <w:t>None reported</w:t>
            </w:r>
          </w:p>
        </w:tc>
        <w:tc>
          <w:tcPr>
            <w:tcW w:w="4622" w:type="dxa"/>
          </w:tcPr>
          <w:p w14:paraId="0126B472"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44E51F8D"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After the modified Norton Scale and the nine constructed scales were tested, only scale X showed both statistically significant differences between the groups of patients with and without PIs and had high validity both on admission and at time of development of PIs. Following these results scale X was named the Hospice Pressure Ulcer Risk Assessment Scale. This includes the following assessment items: Physical activity, Mobility, Age.</w:t>
            </w:r>
          </w:p>
        </w:tc>
      </w:tr>
      <w:tr w:rsidR="00B764CC" w:rsidRPr="00B764CC" w14:paraId="5F5191F0" w14:textId="77777777" w:rsidTr="003000D3">
        <w:trPr>
          <w:trHeight w:val="67"/>
        </w:trPr>
        <w:tc>
          <w:tcPr>
            <w:tcW w:w="1413" w:type="dxa"/>
          </w:tcPr>
          <w:p w14:paraId="650F8AD0" w14:textId="77777777" w:rsidR="00B764CC" w:rsidRPr="00B764CC" w:rsidRDefault="00B764CC" w:rsidP="00B764CC">
            <w:pPr>
              <w:spacing w:line="240" w:lineRule="auto"/>
              <w:rPr>
                <w:rFonts w:ascii="Arial" w:eastAsia="Calibri" w:hAnsi="Arial" w:cs="Arial"/>
                <w:color w:val="000000"/>
                <w:sz w:val="18"/>
                <w:szCs w:val="18"/>
                <w:lang w:eastAsia="en-GB"/>
              </w:rPr>
            </w:pPr>
            <w:r w:rsidRPr="00B764CC">
              <w:rPr>
                <w:rFonts w:ascii="Arial" w:eastAsia="Calibri" w:hAnsi="Arial" w:cs="Arial"/>
                <w:bCs/>
                <w:sz w:val="18"/>
                <w:szCs w:val="18"/>
                <w:lang w:eastAsia="en-GB"/>
              </w:rPr>
              <w:t xml:space="preserve">Jakobsen et al. </w:t>
            </w:r>
          </w:p>
          <w:p w14:paraId="204D442D" w14:textId="77777777" w:rsidR="00B764CC" w:rsidRPr="00B764CC" w:rsidRDefault="00B764CC" w:rsidP="00B764CC">
            <w:pPr>
              <w:spacing w:line="240" w:lineRule="auto"/>
              <w:rPr>
                <w:rFonts w:ascii="Arial" w:eastAsia="Calibri" w:hAnsi="Arial" w:cs="Arial"/>
                <w:color w:val="000000"/>
                <w:sz w:val="18"/>
                <w:szCs w:val="18"/>
                <w:lang w:eastAsia="en-GB"/>
              </w:rPr>
            </w:pPr>
            <w:r w:rsidRPr="00B764CC">
              <w:rPr>
                <w:rFonts w:ascii="Arial" w:eastAsia="Calibri" w:hAnsi="Arial" w:cs="Arial"/>
                <w:bCs/>
                <w:color w:val="000000"/>
                <w:sz w:val="18"/>
                <w:szCs w:val="18"/>
                <w:lang w:eastAsia="en-GB"/>
              </w:rPr>
              <w:t>(2020) Italy [46]</w:t>
            </w:r>
          </w:p>
          <w:p w14:paraId="4F3D3A6E" w14:textId="77777777" w:rsidR="00B764CC" w:rsidRPr="00B764CC" w:rsidRDefault="00B764CC" w:rsidP="00B764CC">
            <w:pPr>
              <w:spacing w:line="240" w:lineRule="auto"/>
              <w:rPr>
                <w:rFonts w:ascii="Arial" w:eastAsia="Times New Roman" w:hAnsi="Arial" w:cs="Arial"/>
                <w:bCs/>
                <w:color w:val="000000"/>
                <w:sz w:val="18"/>
                <w:szCs w:val="18"/>
                <w:lang w:eastAsia="en-AU"/>
              </w:rPr>
            </w:pPr>
          </w:p>
        </w:tc>
        <w:tc>
          <w:tcPr>
            <w:tcW w:w="3260" w:type="dxa"/>
          </w:tcPr>
          <w:p w14:paraId="7AF75DC2"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Aims</w:t>
            </w:r>
            <w:r w:rsidRPr="00B764CC">
              <w:rPr>
                <w:rFonts w:ascii="Arial" w:eastAsia="Times New Roman" w:hAnsi="Arial" w:cs="Arial"/>
                <w:sz w:val="18"/>
                <w:szCs w:val="18"/>
              </w:rPr>
              <w:t>:</w:t>
            </w:r>
          </w:p>
          <w:p w14:paraId="7ED4C678"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To measure the incidence and prevalence of pressure ulcers in a Hospice environment; evaluate the risk factors associated with pressure ulcers; and calculate the incidence of Kennedy Terminal Pressure Ulcers.</w:t>
            </w:r>
          </w:p>
          <w:p w14:paraId="43CEF87B" w14:textId="77777777" w:rsidR="00B764CC" w:rsidRPr="00B764CC" w:rsidRDefault="00B764CC" w:rsidP="00B764CC">
            <w:pPr>
              <w:spacing w:line="240" w:lineRule="auto"/>
              <w:rPr>
                <w:rFonts w:ascii="Arial" w:eastAsia="Times New Roman" w:hAnsi="Arial" w:cs="Arial"/>
                <w:i/>
                <w:iCs/>
                <w:sz w:val="18"/>
                <w:szCs w:val="18"/>
                <w:lang w:eastAsia="en-AU"/>
              </w:rPr>
            </w:pPr>
          </w:p>
          <w:p w14:paraId="761F6F81"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Methods</w:t>
            </w:r>
            <w:r w:rsidRPr="00B764CC">
              <w:rPr>
                <w:rFonts w:ascii="Arial" w:eastAsia="Times New Roman" w:hAnsi="Arial" w:cs="Arial"/>
                <w:sz w:val="18"/>
                <w:szCs w:val="18"/>
                <w:lang w:eastAsia="en-AU"/>
              </w:rPr>
              <w:t>:</w:t>
            </w:r>
          </w:p>
          <w:p w14:paraId="2F05AC7D"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An observational prospective cohort study.</w:t>
            </w:r>
          </w:p>
        </w:tc>
        <w:tc>
          <w:tcPr>
            <w:tcW w:w="3119" w:type="dxa"/>
          </w:tcPr>
          <w:p w14:paraId="07B6FE5F"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12493684"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Cancer patients in advanced phase</w:t>
            </w:r>
          </w:p>
          <w:p w14:paraId="1DBD1BAE" w14:textId="77777777" w:rsidR="00B764CC" w:rsidRPr="00B764CC" w:rsidRDefault="00B764CC" w:rsidP="00B764CC">
            <w:pPr>
              <w:spacing w:line="240" w:lineRule="auto"/>
              <w:rPr>
                <w:rFonts w:ascii="Arial" w:eastAsia="Times New Roman" w:hAnsi="Arial" w:cs="Arial"/>
                <w:i/>
                <w:iCs/>
                <w:sz w:val="18"/>
                <w:szCs w:val="18"/>
                <w:lang w:eastAsia="en-AU"/>
              </w:rPr>
            </w:pPr>
          </w:p>
          <w:p w14:paraId="7ADB9EC0"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i/>
                <w:iCs/>
                <w:sz w:val="18"/>
                <w:szCs w:val="18"/>
                <w:lang w:eastAsia="en-AU"/>
              </w:rPr>
              <w:t xml:space="preserve">Sample size: </w:t>
            </w:r>
          </w:p>
          <w:p w14:paraId="566622F6"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sz w:val="18"/>
                <w:szCs w:val="18"/>
                <w:lang w:eastAsia="en-AU"/>
              </w:rPr>
              <w:t>440</w:t>
            </w:r>
          </w:p>
          <w:p w14:paraId="275810E9" w14:textId="77777777" w:rsidR="00B764CC" w:rsidRPr="00B764CC" w:rsidRDefault="00B764CC" w:rsidP="00B764CC">
            <w:pPr>
              <w:spacing w:line="240" w:lineRule="auto"/>
              <w:rPr>
                <w:rFonts w:ascii="Arial" w:eastAsia="Times New Roman" w:hAnsi="Arial" w:cs="Arial"/>
                <w:sz w:val="18"/>
                <w:szCs w:val="18"/>
                <w:lang w:eastAsia="en-AU"/>
              </w:rPr>
            </w:pPr>
          </w:p>
          <w:p w14:paraId="788D7071"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xml:space="preserve">: </w:t>
            </w:r>
          </w:p>
          <w:p w14:paraId="651F88E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t>73.7 years (range 37-98)</w:t>
            </w:r>
          </w:p>
          <w:p w14:paraId="05D4B8E7" w14:textId="77777777" w:rsidR="00B764CC" w:rsidRPr="00B764CC" w:rsidRDefault="00B764CC" w:rsidP="00B764CC">
            <w:pPr>
              <w:spacing w:line="240" w:lineRule="auto"/>
              <w:rPr>
                <w:rFonts w:ascii="Arial" w:eastAsia="Times New Roman" w:hAnsi="Arial" w:cs="Arial"/>
                <w:sz w:val="18"/>
                <w:szCs w:val="18"/>
                <w:lang w:eastAsia="en-AU"/>
              </w:rPr>
            </w:pPr>
          </w:p>
          <w:p w14:paraId="4CC6305D" w14:textId="77777777" w:rsidR="00B764CC" w:rsidRPr="00B764CC" w:rsidRDefault="00B764CC" w:rsidP="00B764CC">
            <w:pPr>
              <w:spacing w:line="240" w:lineRule="auto"/>
              <w:rPr>
                <w:rFonts w:ascii="Arial" w:eastAsia="Times New Roman" w:hAnsi="Arial" w:cs="Arial"/>
                <w:sz w:val="18"/>
                <w:szCs w:val="18"/>
                <w:lang w:eastAsia="en-AU"/>
              </w:rPr>
            </w:pPr>
          </w:p>
          <w:p w14:paraId="6A3A2D55" w14:textId="77777777" w:rsidR="00B764CC" w:rsidRPr="00B764CC" w:rsidRDefault="00B764CC" w:rsidP="00B764CC">
            <w:pPr>
              <w:spacing w:line="240" w:lineRule="auto"/>
              <w:rPr>
                <w:rFonts w:ascii="Arial" w:eastAsia="Calibri" w:hAnsi="Arial" w:cs="Arial"/>
                <w:bCs/>
                <w:sz w:val="18"/>
                <w:szCs w:val="18"/>
                <w:lang w:eastAsia="en-GB"/>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w:t>
            </w:r>
            <w:r w:rsidRPr="00B764CC">
              <w:rPr>
                <w:rFonts w:ascii="Arial" w:eastAsia="Calibri" w:hAnsi="Arial" w:cs="Arial"/>
                <w:bCs/>
                <w:sz w:val="18"/>
                <w:szCs w:val="18"/>
                <w:lang w:eastAsia="en-GB"/>
              </w:rPr>
              <w:t xml:space="preserve"> </w:t>
            </w:r>
          </w:p>
          <w:p w14:paraId="54EA1601"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Male 51.4% (</w:t>
            </w:r>
            <w:r w:rsidRPr="00B764CC">
              <w:rPr>
                <w:rFonts w:ascii="Arial" w:eastAsia="Times New Roman" w:hAnsi="Arial" w:cs="Arial"/>
                <w:i/>
                <w:iCs/>
                <w:sz w:val="18"/>
                <w:szCs w:val="18"/>
                <w:lang w:eastAsia="en-AU"/>
              </w:rPr>
              <w:t>n</w:t>
            </w:r>
            <w:r w:rsidRPr="00B764CC">
              <w:rPr>
                <w:rFonts w:ascii="Arial" w:eastAsia="Times New Roman" w:hAnsi="Arial" w:cs="Arial"/>
                <w:sz w:val="18"/>
                <w:szCs w:val="18"/>
                <w:lang w:eastAsia="en-AU"/>
              </w:rPr>
              <w:t xml:space="preserve"> = 226)</w:t>
            </w:r>
          </w:p>
          <w:p w14:paraId="335B156E"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Female 48.6% (</w:t>
            </w:r>
            <w:r w:rsidRPr="00B764CC">
              <w:rPr>
                <w:rFonts w:ascii="Arial" w:eastAsia="Times New Roman" w:hAnsi="Arial" w:cs="Arial"/>
                <w:i/>
                <w:iCs/>
                <w:sz w:val="18"/>
                <w:szCs w:val="18"/>
                <w:lang w:eastAsia="en-AU"/>
              </w:rPr>
              <w:t>n</w:t>
            </w:r>
            <w:r w:rsidRPr="00B764CC">
              <w:rPr>
                <w:rFonts w:ascii="Arial" w:eastAsia="Times New Roman" w:hAnsi="Arial" w:cs="Arial"/>
                <w:sz w:val="18"/>
                <w:szCs w:val="18"/>
                <w:lang w:eastAsia="en-AU"/>
              </w:rPr>
              <w:t xml:space="preserve"> = 214)</w:t>
            </w:r>
          </w:p>
          <w:p w14:paraId="4851FA79" w14:textId="77777777" w:rsidR="00B764CC" w:rsidRPr="00B764CC" w:rsidRDefault="00B764CC" w:rsidP="00B764CC">
            <w:pPr>
              <w:spacing w:line="240" w:lineRule="auto"/>
              <w:rPr>
                <w:rFonts w:ascii="Arial" w:eastAsia="Times New Roman" w:hAnsi="Arial" w:cs="Arial"/>
                <w:i/>
                <w:iCs/>
                <w:sz w:val="18"/>
                <w:szCs w:val="18"/>
                <w:lang w:eastAsia="en-AU"/>
              </w:rPr>
            </w:pPr>
          </w:p>
          <w:p w14:paraId="0C02C1D0"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r w:rsidRPr="00B764CC">
              <w:rPr>
                <w:rFonts w:ascii="Arial" w:eastAsia="Calibri" w:hAnsi="Arial" w:cs="Arial"/>
                <w:color w:val="000000"/>
                <w:sz w:val="18"/>
                <w:szCs w:val="18"/>
                <w:lang w:eastAsia="en-GB"/>
              </w:rPr>
              <w:t>Hospice</w:t>
            </w:r>
          </w:p>
        </w:tc>
        <w:tc>
          <w:tcPr>
            <w:tcW w:w="2976" w:type="dxa"/>
          </w:tcPr>
          <w:p w14:paraId="60D1F179"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Pressure injury risk assessment tool:</w:t>
            </w:r>
          </w:p>
          <w:p w14:paraId="71298F89" w14:textId="77777777" w:rsidR="00B764CC" w:rsidRPr="00B764CC" w:rsidRDefault="00B764CC">
            <w:pPr>
              <w:numPr>
                <w:ilvl w:val="0"/>
                <w:numId w:val="10"/>
              </w:numPr>
              <w:spacing w:line="240" w:lineRule="auto"/>
              <w:contextualSpacing/>
              <w:rPr>
                <w:rFonts w:ascii="Arial" w:eastAsia="Times New Roman" w:hAnsi="Arial" w:cs="Arial"/>
                <w:sz w:val="18"/>
                <w:szCs w:val="18"/>
              </w:rPr>
            </w:pPr>
            <w:r w:rsidRPr="00B764CC">
              <w:rPr>
                <w:rFonts w:ascii="Arial" w:eastAsia="Times New Roman" w:hAnsi="Arial" w:cs="Arial"/>
                <w:sz w:val="18"/>
                <w:szCs w:val="18"/>
              </w:rPr>
              <w:t>Braden Scale</w:t>
            </w:r>
          </w:p>
          <w:p w14:paraId="62748024" w14:textId="77777777" w:rsidR="00B764CC" w:rsidRPr="00B764CC" w:rsidRDefault="00B764CC" w:rsidP="00B764CC">
            <w:pPr>
              <w:spacing w:line="240" w:lineRule="auto"/>
              <w:rPr>
                <w:rFonts w:ascii="Arial" w:eastAsia="Times New Roman" w:hAnsi="Arial" w:cs="Arial"/>
                <w:i/>
                <w:iCs/>
                <w:sz w:val="18"/>
                <w:szCs w:val="18"/>
                <w:lang w:eastAsia="en-GB"/>
              </w:rPr>
            </w:pPr>
          </w:p>
          <w:p w14:paraId="2A64CB35"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w:t>
            </w:r>
          </w:p>
          <w:p w14:paraId="77D479D5" w14:textId="77777777" w:rsidR="00B764CC" w:rsidRPr="00B764CC" w:rsidRDefault="00B764CC">
            <w:pPr>
              <w:numPr>
                <w:ilvl w:val="0"/>
                <w:numId w:val="10"/>
              </w:numPr>
              <w:spacing w:line="240" w:lineRule="auto"/>
              <w:contextualSpacing/>
              <w:rPr>
                <w:rFonts w:ascii="Arial" w:eastAsia="Calibri" w:hAnsi="Arial" w:cs="Arial"/>
                <w:sz w:val="18"/>
                <w:szCs w:val="18"/>
                <w:lang w:eastAsia="en-GB"/>
              </w:rPr>
            </w:pPr>
            <w:r w:rsidRPr="00B764CC">
              <w:rPr>
                <w:rFonts w:ascii="Arial" w:eastAsia="Calibri" w:hAnsi="Arial" w:cs="Arial"/>
                <w:sz w:val="18"/>
                <w:szCs w:val="18"/>
                <w:lang w:eastAsia="en-GB"/>
              </w:rPr>
              <w:t>BMI</w:t>
            </w:r>
          </w:p>
        </w:tc>
        <w:tc>
          <w:tcPr>
            <w:tcW w:w="4622" w:type="dxa"/>
          </w:tcPr>
          <w:p w14:paraId="2D52C875"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5BE0EF84"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The Braden score in the patients who developed a new PI was not different from the score on the general population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=0.7996).</w:t>
            </w:r>
          </w:p>
        </w:tc>
      </w:tr>
      <w:tr w:rsidR="00B764CC" w:rsidRPr="00B764CC" w14:paraId="06FB7869" w14:textId="77777777" w:rsidTr="003000D3">
        <w:trPr>
          <w:trHeight w:val="67"/>
        </w:trPr>
        <w:tc>
          <w:tcPr>
            <w:tcW w:w="1413" w:type="dxa"/>
          </w:tcPr>
          <w:p w14:paraId="57588F1C"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sz w:val="18"/>
                <w:szCs w:val="18"/>
                <w:lang w:eastAsia="en-GB"/>
              </w:rPr>
              <w:t>Langemo et al. (</w:t>
            </w:r>
            <w:r w:rsidRPr="00B764CC">
              <w:rPr>
                <w:rFonts w:ascii="Arial" w:eastAsia="Calibri" w:hAnsi="Arial" w:cs="Arial"/>
                <w:bCs/>
                <w:color w:val="000000"/>
                <w:sz w:val="18"/>
                <w:szCs w:val="18"/>
                <w:lang w:eastAsia="en-GB"/>
              </w:rPr>
              <w:t>2010) United States [47]</w:t>
            </w:r>
          </w:p>
        </w:tc>
        <w:tc>
          <w:tcPr>
            <w:tcW w:w="3260" w:type="dxa"/>
          </w:tcPr>
          <w:p w14:paraId="7B7706BA"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Aims</w:t>
            </w:r>
            <w:r w:rsidRPr="00B764CC">
              <w:rPr>
                <w:rFonts w:ascii="Arial" w:eastAsia="Times New Roman" w:hAnsi="Arial" w:cs="Arial"/>
                <w:sz w:val="18"/>
                <w:szCs w:val="18"/>
              </w:rPr>
              <w:t>:</w:t>
            </w:r>
          </w:p>
          <w:p w14:paraId="2049FA72"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To review and summarise the current scientific evidence for prevention and care of a PrU in a palliative care patient.</w:t>
            </w:r>
          </w:p>
          <w:p w14:paraId="5119980B" w14:textId="77777777" w:rsidR="00B764CC" w:rsidRPr="00B764CC" w:rsidRDefault="00B764CC" w:rsidP="00B764CC">
            <w:pPr>
              <w:spacing w:line="240" w:lineRule="auto"/>
              <w:rPr>
                <w:rFonts w:ascii="Arial" w:eastAsia="Times New Roman" w:hAnsi="Arial" w:cs="Arial"/>
                <w:i/>
                <w:iCs/>
                <w:sz w:val="18"/>
                <w:szCs w:val="18"/>
                <w:lang w:eastAsia="en-AU"/>
              </w:rPr>
            </w:pPr>
          </w:p>
          <w:p w14:paraId="5DEAB36A"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Methods</w:t>
            </w:r>
            <w:r w:rsidRPr="00B764CC">
              <w:rPr>
                <w:rFonts w:ascii="Arial" w:eastAsia="Times New Roman" w:hAnsi="Arial" w:cs="Arial"/>
                <w:sz w:val="18"/>
                <w:szCs w:val="18"/>
                <w:lang w:eastAsia="en-AU"/>
              </w:rPr>
              <w:t>:</w:t>
            </w:r>
          </w:p>
          <w:p w14:paraId="0FF1C60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Review article summarising evidence for prevention and care of PU.</w:t>
            </w:r>
          </w:p>
        </w:tc>
        <w:tc>
          <w:tcPr>
            <w:tcW w:w="3119" w:type="dxa"/>
          </w:tcPr>
          <w:p w14:paraId="49477A59"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562D86D1"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 xml:space="preserve">Individuals receiving palliative care. </w:t>
            </w:r>
          </w:p>
          <w:p w14:paraId="2B99DBA4" w14:textId="77777777" w:rsidR="00B764CC" w:rsidRPr="00B764CC" w:rsidRDefault="00B764CC" w:rsidP="00B764CC">
            <w:pPr>
              <w:spacing w:line="240" w:lineRule="auto"/>
              <w:rPr>
                <w:rFonts w:ascii="Arial" w:eastAsia="Times New Roman" w:hAnsi="Arial" w:cs="Arial"/>
                <w:i/>
                <w:iCs/>
                <w:sz w:val="18"/>
                <w:szCs w:val="18"/>
                <w:lang w:eastAsia="en-AU"/>
              </w:rPr>
            </w:pPr>
          </w:p>
          <w:p w14:paraId="488BE2A4"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i/>
                <w:iCs/>
                <w:sz w:val="18"/>
                <w:szCs w:val="18"/>
                <w:lang w:eastAsia="en-AU"/>
              </w:rPr>
              <w:t xml:space="preserve">Sample size: </w:t>
            </w:r>
          </w:p>
          <w:p w14:paraId="39829308"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Not reported</w:t>
            </w:r>
          </w:p>
          <w:p w14:paraId="614F717F" w14:textId="77777777" w:rsidR="00B764CC" w:rsidRPr="00B764CC" w:rsidRDefault="00B764CC" w:rsidP="00B764CC">
            <w:pPr>
              <w:spacing w:line="240" w:lineRule="auto"/>
              <w:rPr>
                <w:rFonts w:ascii="Arial" w:eastAsia="Times New Roman" w:hAnsi="Arial" w:cs="Arial"/>
                <w:sz w:val="18"/>
                <w:szCs w:val="18"/>
                <w:lang w:eastAsia="en-AU"/>
              </w:rPr>
            </w:pPr>
          </w:p>
          <w:p w14:paraId="3FC1FBF0"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xml:space="preserve">: </w:t>
            </w:r>
          </w:p>
          <w:p w14:paraId="0FEB081F"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Not reported</w:t>
            </w:r>
          </w:p>
          <w:p w14:paraId="46A3503F" w14:textId="77777777" w:rsidR="00B764CC" w:rsidRPr="00B764CC" w:rsidRDefault="00B764CC" w:rsidP="00B764CC">
            <w:pPr>
              <w:spacing w:line="240" w:lineRule="auto"/>
              <w:rPr>
                <w:rFonts w:ascii="Arial" w:eastAsia="Times New Roman" w:hAnsi="Arial" w:cs="Arial"/>
                <w:sz w:val="18"/>
                <w:szCs w:val="18"/>
                <w:lang w:eastAsia="en-AU"/>
              </w:rPr>
            </w:pPr>
          </w:p>
          <w:p w14:paraId="024A6991"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 xml:space="preserve">: </w:t>
            </w:r>
          </w:p>
          <w:p w14:paraId="7BC089A2"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Not reported</w:t>
            </w:r>
          </w:p>
          <w:p w14:paraId="246D0145" w14:textId="77777777" w:rsidR="00B764CC" w:rsidRPr="00B764CC" w:rsidRDefault="00B764CC" w:rsidP="00B764CC">
            <w:pPr>
              <w:spacing w:line="240" w:lineRule="auto"/>
              <w:rPr>
                <w:rFonts w:ascii="Arial" w:eastAsia="Times New Roman" w:hAnsi="Arial" w:cs="Arial"/>
                <w:i/>
                <w:iCs/>
                <w:sz w:val="18"/>
                <w:szCs w:val="18"/>
                <w:lang w:eastAsia="en-AU"/>
              </w:rPr>
            </w:pPr>
          </w:p>
          <w:p w14:paraId="04D67063"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p>
          <w:p w14:paraId="31A241E9"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t>Non-specific</w:t>
            </w:r>
          </w:p>
        </w:tc>
        <w:tc>
          <w:tcPr>
            <w:tcW w:w="2976" w:type="dxa"/>
          </w:tcPr>
          <w:p w14:paraId="38C7471C"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Pressure injury risk assessment tool:</w:t>
            </w:r>
          </w:p>
          <w:p w14:paraId="4FFFD13E" w14:textId="77777777" w:rsidR="00B764CC" w:rsidRPr="00B764CC" w:rsidRDefault="00B764CC">
            <w:pPr>
              <w:numPr>
                <w:ilvl w:val="0"/>
                <w:numId w:val="10"/>
              </w:numPr>
              <w:spacing w:line="240" w:lineRule="auto"/>
              <w:contextualSpacing/>
              <w:rPr>
                <w:rFonts w:ascii="Arial" w:eastAsia="Times New Roman" w:hAnsi="Arial" w:cs="Arial"/>
                <w:sz w:val="18"/>
                <w:szCs w:val="18"/>
              </w:rPr>
            </w:pPr>
            <w:r w:rsidRPr="00B764CC">
              <w:rPr>
                <w:rFonts w:ascii="Arial" w:eastAsia="Times New Roman" w:hAnsi="Arial" w:cs="Arial"/>
                <w:sz w:val="18"/>
                <w:szCs w:val="18"/>
              </w:rPr>
              <w:t>Braden Scale</w:t>
            </w:r>
          </w:p>
          <w:p w14:paraId="240B09B9" w14:textId="77777777" w:rsidR="00B764CC" w:rsidRPr="00B764CC" w:rsidRDefault="00B764CC">
            <w:pPr>
              <w:numPr>
                <w:ilvl w:val="0"/>
                <w:numId w:val="10"/>
              </w:numPr>
              <w:spacing w:line="240" w:lineRule="auto"/>
              <w:contextualSpacing/>
              <w:rPr>
                <w:rFonts w:ascii="Arial" w:eastAsia="Times New Roman" w:hAnsi="Arial" w:cs="Arial"/>
                <w:sz w:val="18"/>
                <w:szCs w:val="18"/>
              </w:rPr>
            </w:pPr>
            <w:r w:rsidRPr="00B764CC">
              <w:rPr>
                <w:rFonts w:ascii="Arial" w:eastAsia="Calibri" w:hAnsi="Arial" w:cs="Arial"/>
                <w:sz w:val="18"/>
                <w:szCs w:val="18"/>
                <w:lang w:eastAsia="en-GB"/>
              </w:rPr>
              <w:t>Hunters Hill Marie Curie Centre Risk Assessment Tool</w:t>
            </w:r>
          </w:p>
          <w:p w14:paraId="5680BBA6" w14:textId="77777777" w:rsidR="00B764CC" w:rsidRPr="00B764CC" w:rsidRDefault="00B764CC">
            <w:pPr>
              <w:numPr>
                <w:ilvl w:val="0"/>
                <w:numId w:val="10"/>
              </w:numPr>
              <w:spacing w:line="240" w:lineRule="auto"/>
              <w:contextualSpacing/>
              <w:rPr>
                <w:rFonts w:ascii="Arial" w:eastAsia="Times New Roman" w:hAnsi="Arial" w:cs="Arial"/>
                <w:sz w:val="18"/>
                <w:szCs w:val="18"/>
              </w:rPr>
            </w:pPr>
            <w:r w:rsidRPr="00B764CC">
              <w:rPr>
                <w:rFonts w:ascii="Arial" w:eastAsia="Times New Roman" w:hAnsi="Arial" w:cs="Arial"/>
                <w:sz w:val="18"/>
                <w:szCs w:val="18"/>
              </w:rPr>
              <w:t>Norton Scale</w:t>
            </w:r>
          </w:p>
          <w:p w14:paraId="23ABA70C" w14:textId="77777777" w:rsidR="00B764CC" w:rsidRPr="00B764CC" w:rsidRDefault="00B764CC" w:rsidP="00B764CC">
            <w:pPr>
              <w:spacing w:line="240" w:lineRule="auto"/>
              <w:rPr>
                <w:rFonts w:ascii="Arial" w:eastAsia="Times New Roman" w:hAnsi="Arial" w:cs="Arial"/>
                <w:i/>
                <w:iCs/>
                <w:sz w:val="18"/>
                <w:szCs w:val="18"/>
              </w:rPr>
            </w:pPr>
          </w:p>
          <w:p w14:paraId="0B3445BD"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 xml:space="preserve">: </w:t>
            </w:r>
          </w:p>
          <w:p w14:paraId="6F6416FC" w14:textId="77777777" w:rsidR="00B764CC" w:rsidRPr="00B764CC" w:rsidRDefault="00B764CC">
            <w:pPr>
              <w:numPr>
                <w:ilvl w:val="0"/>
                <w:numId w:val="12"/>
              </w:numPr>
              <w:spacing w:line="240" w:lineRule="auto"/>
              <w:contextualSpacing/>
              <w:rPr>
                <w:rFonts w:ascii="Arial" w:eastAsia="Calibri" w:hAnsi="Arial" w:cs="Arial"/>
                <w:sz w:val="18"/>
                <w:szCs w:val="18"/>
                <w:lang w:eastAsia="en-GB"/>
              </w:rPr>
            </w:pPr>
            <w:r w:rsidRPr="00B764CC">
              <w:rPr>
                <w:rFonts w:ascii="Arial" w:eastAsia="Calibri" w:hAnsi="Arial" w:cs="Arial"/>
                <w:sz w:val="18"/>
                <w:szCs w:val="18"/>
                <w:lang w:eastAsia="en-GB"/>
              </w:rPr>
              <w:t>Clinical judgement</w:t>
            </w:r>
          </w:p>
          <w:p w14:paraId="6DD2ABA5" w14:textId="77777777" w:rsidR="00B764CC" w:rsidRPr="00B764CC" w:rsidRDefault="00B764CC" w:rsidP="00B764CC">
            <w:pPr>
              <w:spacing w:line="240" w:lineRule="auto"/>
              <w:rPr>
                <w:rFonts w:ascii="Arial" w:eastAsia="Times New Roman" w:hAnsi="Arial" w:cs="Arial"/>
                <w:sz w:val="18"/>
                <w:szCs w:val="18"/>
              </w:rPr>
            </w:pPr>
          </w:p>
        </w:tc>
        <w:tc>
          <w:tcPr>
            <w:tcW w:w="4622" w:type="dxa"/>
          </w:tcPr>
          <w:p w14:paraId="460FBA93"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647566F4"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Assess the risk for new PI development at the time of admission and on a regular basis in the patient receiving palliative care by using a validated risk assessment tool. Use the Hunters Hill Marie Curie Centre Risk Assessment Tool, specific to the patient receiving palliative care, or a general screening tool, such as the Braden Scale, Norton Scale, or other age-appropriate tool, in conjunction with clinical judgment for the adult individual.</w:t>
            </w:r>
          </w:p>
        </w:tc>
      </w:tr>
      <w:tr w:rsidR="00B764CC" w:rsidRPr="00B764CC" w14:paraId="766A5B41" w14:textId="77777777" w:rsidTr="003000D3">
        <w:trPr>
          <w:trHeight w:val="67"/>
        </w:trPr>
        <w:tc>
          <w:tcPr>
            <w:tcW w:w="1413" w:type="dxa"/>
          </w:tcPr>
          <w:p w14:paraId="7846F87B"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sz w:val="18"/>
                <w:szCs w:val="18"/>
                <w:lang w:eastAsia="en-GB"/>
              </w:rPr>
              <w:t xml:space="preserve">Maida et al. (2008) </w:t>
            </w:r>
            <w:r w:rsidRPr="00B764CC">
              <w:rPr>
                <w:rFonts w:ascii="Arial" w:eastAsia="Calibri" w:hAnsi="Arial" w:cs="Arial"/>
                <w:bCs/>
                <w:color w:val="000000"/>
                <w:sz w:val="18"/>
                <w:szCs w:val="18"/>
                <w:lang w:eastAsia="en-GB"/>
              </w:rPr>
              <w:t>Canada [48]</w:t>
            </w:r>
          </w:p>
        </w:tc>
        <w:tc>
          <w:tcPr>
            <w:tcW w:w="3260" w:type="dxa"/>
          </w:tcPr>
          <w:p w14:paraId="55B78A8E"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Aims</w:t>
            </w:r>
            <w:r w:rsidRPr="00B764CC">
              <w:rPr>
                <w:rFonts w:ascii="Arial" w:eastAsia="Times New Roman" w:hAnsi="Arial" w:cs="Arial"/>
                <w:sz w:val="18"/>
                <w:szCs w:val="18"/>
              </w:rPr>
              <w:t>:</w:t>
            </w:r>
          </w:p>
          <w:p w14:paraId="7D4B5DCC"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sz w:val="18"/>
                <w:szCs w:val="18"/>
              </w:rPr>
              <w:t>Not stated</w:t>
            </w:r>
          </w:p>
          <w:p w14:paraId="4F5A50BF" w14:textId="77777777" w:rsidR="00B764CC" w:rsidRPr="00B764CC" w:rsidRDefault="00B764CC" w:rsidP="00B764CC">
            <w:pPr>
              <w:spacing w:line="240" w:lineRule="auto"/>
              <w:rPr>
                <w:rFonts w:ascii="Arial" w:eastAsia="Times New Roman" w:hAnsi="Arial" w:cs="Arial"/>
                <w:i/>
                <w:iCs/>
                <w:sz w:val="18"/>
                <w:szCs w:val="18"/>
                <w:lang w:eastAsia="en-AU"/>
              </w:rPr>
            </w:pPr>
          </w:p>
          <w:p w14:paraId="56D8901E"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Methods</w:t>
            </w:r>
            <w:r w:rsidRPr="00B764CC">
              <w:rPr>
                <w:rFonts w:ascii="Arial" w:eastAsia="Times New Roman" w:hAnsi="Arial" w:cs="Arial"/>
                <w:sz w:val="18"/>
                <w:szCs w:val="18"/>
                <w:lang w:eastAsia="en-AU"/>
              </w:rPr>
              <w:t>:</w:t>
            </w:r>
          </w:p>
          <w:p w14:paraId="4D1DBBD8" w14:textId="056ECA70"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sz w:val="18"/>
                <w:szCs w:val="18"/>
              </w:rPr>
              <w:t>Validity study describing the correlation between the Braden Scale and the Palliative Performance Scale</w:t>
            </w:r>
            <w:r w:rsidR="00E7546A">
              <w:rPr>
                <w:rFonts w:ascii="Arial" w:eastAsia="Times New Roman" w:hAnsi="Arial" w:cs="Arial"/>
                <w:sz w:val="18"/>
                <w:szCs w:val="18"/>
              </w:rPr>
              <w:t>.</w:t>
            </w:r>
          </w:p>
        </w:tc>
        <w:tc>
          <w:tcPr>
            <w:tcW w:w="3119" w:type="dxa"/>
          </w:tcPr>
          <w:p w14:paraId="08BC2B5C"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35D80C63"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Patients referred for supportive and palliative care in a combined community and hospital-based palliative medicine programme.</w:t>
            </w:r>
          </w:p>
          <w:p w14:paraId="3C6012FF" w14:textId="77777777" w:rsidR="00B764CC" w:rsidRPr="00B764CC" w:rsidRDefault="00B764CC" w:rsidP="00B764CC">
            <w:pPr>
              <w:spacing w:line="240" w:lineRule="auto"/>
              <w:rPr>
                <w:rFonts w:ascii="Arial" w:eastAsia="Times New Roman" w:hAnsi="Arial" w:cs="Arial"/>
                <w:i/>
                <w:iCs/>
                <w:sz w:val="18"/>
                <w:szCs w:val="18"/>
                <w:lang w:eastAsia="en-AU"/>
              </w:rPr>
            </w:pPr>
          </w:p>
          <w:p w14:paraId="4CC5A318" w14:textId="77777777" w:rsidR="00B764CC" w:rsidRPr="00B764CC" w:rsidRDefault="00B764CC" w:rsidP="00B764CC">
            <w:pPr>
              <w:spacing w:line="240" w:lineRule="auto"/>
              <w:rPr>
                <w:rFonts w:ascii="Arial" w:eastAsia="Calibri" w:hAnsi="Arial" w:cs="Arial"/>
                <w:bCs/>
                <w:sz w:val="18"/>
                <w:szCs w:val="18"/>
                <w:lang w:eastAsia="en-GB"/>
              </w:rPr>
            </w:pPr>
            <w:r w:rsidRPr="00B764CC">
              <w:rPr>
                <w:rFonts w:ascii="Arial" w:eastAsia="Times New Roman" w:hAnsi="Arial" w:cs="Arial"/>
                <w:i/>
                <w:iCs/>
                <w:sz w:val="18"/>
                <w:szCs w:val="18"/>
                <w:lang w:eastAsia="en-AU"/>
              </w:rPr>
              <w:t>Sample size:</w:t>
            </w:r>
            <w:r w:rsidRPr="00B764CC">
              <w:rPr>
                <w:rFonts w:ascii="Arial" w:eastAsia="Calibri" w:hAnsi="Arial" w:cs="Arial"/>
                <w:bCs/>
                <w:sz w:val="18"/>
                <w:szCs w:val="18"/>
                <w:lang w:eastAsia="en-GB"/>
              </w:rPr>
              <w:t xml:space="preserve"> </w:t>
            </w:r>
          </w:p>
          <w:p w14:paraId="550E9D1E"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sz w:val="18"/>
                <w:szCs w:val="18"/>
                <w:lang w:eastAsia="en-AU"/>
              </w:rPr>
              <w:t>664</w:t>
            </w:r>
          </w:p>
          <w:p w14:paraId="2CAE7A17" w14:textId="77777777" w:rsidR="00B764CC" w:rsidRPr="00B764CC" w:rsidRDefault="00B764CC" w:rsidP="00B764CC">
            <w:pPr>
              <w:spacing w:line="240" w:lineRule="auto"/>
              <w:rPr>
                <w:rFonts w:ascii="Arial" w:eastAsia="Times New Roman" w:hAnsi="Arial" w:cs="Arial"/>
                <w:sz w:val="18"/>
                <w:szCs w:val="18"/>
                <w:lang w:eastAsia="en-AU"/>
              </w:rPr>
            </w:pPr>
          </w:p>
          <w:p w14:paraId="3C8E974D"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xml:space="preserve">: </w:t>
            </w:r>
          </w:p>
          <w:p w14:paraId="454F41B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mean 74.9 (range 19-103)</w:t>
            </w:r>
          </w:p>
          <w:p w14:paraId="0C999E32" w14:textId="77777777" w:rsidR="00B764CC" w:rsidRPr="00B764CC" w:rsidRDefault="00B764CC" w:rsidP="00B764CC">
            <w:pPr>
              <w:spacing w:line="240" w:lineRule="auto"/>
              <w:rPr>
                <w:rFonts w:ascii="Arial" w:eastAsia="Times New Roman" w:hAnsi="Arial" w:cs="Arial"/>
                <w:sz w:val="18"/>
                <w:szCs w:val="18"/>
                <w:lang w:eastAsia="en-AU"/>
              </w:rPr>
            </w:pPr>
          </w:p>
          <w:p w14:paraId="7C568FEB" w14:textId="77777777" w:rsidR="00B764CC" w:rsidRPr="00B764CC" w:rsidRDefault="00B764CC" w:rsidP="00B764CC">
            <w:pPr>
              <w:spacing w:line="240" w:lineRule="auto"/>
              <w:rPr>
                <w:rFonts w:ascii="Arial" w:eastAsia="Calibri" w:hAnsi="Arial" w:cs="Arial"/>
                <w:bCs/>
                <w:sz w:val="18"/>
                <w:szCs w:val="18"/>
                <w:lang w:eastAsia="en-GB"/>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w:t>
            </w:r>
            <w:r w:rsidRPr="00B764CC">
              <w:rPr>
                <w:rFonts w:ascii="Arial" w:eastAsia="Calibri" w:hAnsi="Arial" w:cs="Arial"/>
                <w:bCs/>
                <w:sz w:val="18"/>
                <w:szCs w:val="18"/>
                <w:lang w:eastAsia="en-GB"/>
              </w:rPr>
              <w:t xml:space="preserve"> </w:t>
            </w:r>
          </w:p>
          <w:p w14:paraId="1FDC2D93"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Male 49.7% (</w:t>
            </w:r>
            <w:r w:rsidRPr="00B764CC">
              <w:rPr>
                <w:rFonts w:ascii="Arial" w:eastAsia="Times New Roman" w:hAnsi="Arial" w:cs="Arial"/>
                <w:i/>
                <w:iCs/>
                <w:sz w:val="18"/>
                <w:szCs w:val="18"/>
                <w:lang w:eastAsia="en-AU"/>
              </w:rPr>
              <w:t>n</w:t>
            </w:r>
            <w:r w:rsidRPr="00B764CC">
              <w:rPr>
                <w:rFonts w:ascii="Arial" w:eastAsia="Times New Roman" w:hAnsi="Arial" w:cs="Arial"/>
                <w:sz w:val="18"/>
                <w:szCs w:val="18"/>
                <w:lang w:eastAsia="en-AU"/>
              </w:rPr>
              <w:t xml:space="preserve"> = 330)</w:t>
            </w:r>
          </w:p>
          <w:p w14:paraId="5CCD15FA" w14:textId="77777777" w:rsidR="00B764CC" w:rsidRPr="00B764CC" w:rsidRDefault="00B764CC" w:rsidP="00B764CC">
            <w:pPr>
              <w:spacing w:line="240" w:lineRule="auto"/>
              <w:rPr>
                <w:rFonts w:ascii="Arial" w:eastAsia="Times New Roman" w:hAnsi="Arial" w:cs="Arial"/>
                <w:i/>
                <w:iCs/>
                <w:sz w:val="18"/>
                <w:szCs w:val="18"/>
                <w:lang w:eastAsia="en-AU"/>
              </w:rPr>
            </w:pPr>
          </w:p>
          <w:p w14:paraId="42D0ECCA"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p>
          <w:p w14:paraId="6418DA78"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lastRenderedPageBreak/>
              <w:t>Community and hospital-based palliative medicine programme</w:t>
            </w:r>
          </w:p>
        </w:tc>
        <w:tc>
          <w:tcPr>
            <w:tcW w:w="2976" w:type="dxa"/>
          </w:tcPr>
          <w:p w14:paraId="28822CAD"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lastRenderedPageBreak/>
              <w:t>Pressure injury risk assessment tool:</w:t>
            </w:r>
          </w:p>
          <w:p w14:paraId="24F89EB9" w14:textId="77777777" w:rsidR="00B764CC" w:rsidRPr="00B764CC" w:rsidRDefault="00B764CC">
            <w:pPr>
              <w:numPr>
                <w:ilvl w:val="0"/>
                <w:numId w:val="11"/>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Braden Scale</w:t>
            </w:r>
          </w:p>
          <w:p w14:paraId="70EDE9AF" w14:textId="77777777" w:rsidR="00B764CC" w:rsidRPr="00B764CC" w:rsidRDefault="00B764CC" w:rsidP="00B764CC">
            <w:pPr>
              <w:spacing w:line="240" w:lineRule="auto"/>
              <w:rPr>
                <w:rFonts w:ascii="Arial" w:eastAsia="Times New Roman" w:hAnsi="Arial" w:cs="Arial"/>
                <w:i/>
                <w:iCs/>
                <w:color w:val="000000" w:themeColor="text1"/>
                <w:sz w:val="18"/>
                <w:szCs w:val="18"/>
              </w:rPr>
            </w:pPr>
          </w:p>
          <w:p w14:paraId="722ACD8A"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 xml:space="preserve">: </w:t>
            </w:r>
          </w:p>
          <w:p w14:paraId="6F1C27C8" w14:textId="77777777" w:rsidR="00B764CC" w:rsidRPr="00B764CC" w:rsidRDefault="00B764CC">
            <w:pPr>
              <w:numPr>
                <w:ilvl w:val="0"/>
                <w:numId w:val="11"/>
              </w:numPr>
              <w:spacing w:line="240" w:lineRule="auto"/>
              <w:contextualSpacing/>
              <w:rPr>
                <w:rFonts w:ascii="Arial" w:eastAsia="Times New Roman" w:hAnsi="Arial" w:cs="Arial"/>
                <w:sz w:val="18"/>
                <w:szCs w:val="18"/>
              </w:rPr>
            </w:pPr>
            <w:r w:rsidRPr="00B764CC">
              <w:rPr>
                <w:rFonts w:ascii="Arial" w:eastAsia="Times New Roman" w:hAnsi="Arial" w:cs="Arial"/>
                <w:sz w:val="18"/>
                <w:szCs w:val="18"/>
              </w:rPr>
              <w:t>Palliative Performance Scale</w:t>
            </w:r>
          </w:p>
        </w:tc>
        <w:tc>
          <w:tcPr>
            <w:tcW w:w="4622" w:type="dxa"/>
          </w:tcPr>
          <w:p w14:paraId="262F1F37"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78CD48AF"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sz w:val="18"/>
                <w:szCs w:val="18"/>
              </w:rPr>
              <w:t>This study shows a strong linear correlation between Braden Scale and Palliative Performance Scale in the setting of patients with advanced illness referred for supportive and palliative care. A strong linear trend was shown between the initial Braden Scale and the initial Palliative Performance Scale scores. The significant correlation between Palliative Performance Scale and Braden Scale persisted whether the effect of other factors were removed or not (</w:t>
            </w:r>
            <w:r w:rsidRPr="00B764CC">
              <w:rPr>
                <w:rFonts w:ascii="Arial" w:eastAsia="Times New Roman" w:hAnsi="Arial" w:cs="Arial"/>
                <w:i/>
                <w:iCs/>
                <w:sz w:val="18"/>
                <w:szCs w:val="18"/>
              </w:rPr>
              <w:t>r</w:t>
            </w:r>
            <w:r w:rsidRPr="00B764CC">
              <w:rPr>
                <w:rFonts w:ascii="Arial" w:eastAsia="Times New Roman" w:hAnsi="Arial" w:cs="Arial"/>
                <w:sz w:val="18"/>
                <w:szCs w:val="18"/>
              </w:rPr>
              <w:t xml:space="preserve"> =0.936 before and </w:t>
            </w:r>
            <w:r w:rsidRPr="00B764CC">
              <w:rPr>
                <w:rFonts w:ascii="Arial" w:eastAsia="Times New Roman" w:hAnsi="Arial" w:cs="Arial"/>
                <w:i/>
                <w:iCs/>
                <w:sz w:val="18"/>
                <w:szCs w:val="18"/>
              </w:rPr>
              <w:t>r</w:t>
            </w:r>
            <w:r w:rsidRPr="00B764CC">
              <w:rPr>
                <w:rFonts w:ascii="Arial" w:eastAsia="Times New Roman" w:hAnsi="Arial" w:cs="Arial"/>
                <w:sz w:val="18"/>
                <w:szCs w:val="18"/>
              </w:rPr>
              <w:t xml:space="preserve">=0.885 after, both </w:t>
            </w:r>
            <w:r w:rsidRPr="00B764CC">
              <w:rPr>
                <w:rFonts w:ascii="Arial" w:eastAsia="Times New Roman" w:hAnsi="Arial" w:cs="Arial"/>
                <w:i/>
                <w:iCs/>
                <w:sz w:val="18"/>
                <w:szCs w:val="18"/>
              </w:rPr>
              <w:t>p</w:t>
            </w:r>
            <w:r w:rsidRPr="00B764CC">
              <w:rPr>
                <w:rFonts w:ascii="Arial" w:eastAsia="Times New Roman" w:hAnsi="Arial" w:cs="Arial"/>
                <w:sz w:val="18"/>
                <w:szCs w:val="18"/>
              </w:rPr>
              <w:t>&lt;0.001).</w:t>
            </w:r>
          </w:p>
        </w:tc>
      </w:tr>
      <w:tr w:rsidR="00B764CC" w:rsidRPr="00B764CC" w14:paraId="44DCC4E5" w14:textId="77777777" w:rsidTr="003000D3">
        <w:trPr>
          <w:trHeight w:val="67"/>
        </w:trPr>
        <w:tc>
          <w:tcPr>
            <w:tcW w:w="1413" w:type="dxa"/>
          </w:tcPr>
          <w:p w14:paraId="693BCC37"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sz w:val="18"/>
                <w:szCs w:val="18"/>
                <w:lang w:eastAsia="en-GB"/>
              </w:rPr>
              <w:t>McGill and Chaplin (</w:t>
            </w:r>
            <w:r w:rsidRPr="00B764CC">
              <w:rPr>
                <w:rFonts w:ascii="Arial" w:eastAsia="Times New Roman" w:hAnsi="Arial" w:cs="Arial"/>
                <w:bCs/>
                <w:color w:val="000000"/>
                <w:sz w:val="18"/>
                <w:szCs w:val="18"/>
                <w:lang w:eastAsia="en-AU"/>
              </w:rPr>
              <w:t>2002) United Kingdom [49]</w:t>
            </w:r>
          </w:p>
        </w:tc>
        <w:tc>
          <w:tcPr>
            <w:tcW w:w="3260" w:type="dxa"/>
          </w:tcPr>
          <w:p w14:paraId="361640B5"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Aims</w:t>
            </w:r>
            <w:r w:rsidRPr="00B764CC">
              <w:rPr>
                <w:rFonts w:ascii="Arial" w:eastAsia="Times New Roman" w:hAnsi="Arial" w:cs="Arial"/>
                <w:sz w:val="18"/>
                <w:szCs w:val="18"/>
              </w:rPr>
              <w:t>:</w:t>
            </w:r>
          </w:p>
          <w:p w14:paraId="0EBD3AB8"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To determine current pressure ulcer prevention policy in palliative care inpatient units in the UK and to determine the elements included in pressure ulcer prevention policies and to identify which pressure ulcer risk assessment tools are used in palliative care inpatient units.</w:t>
            </w:r>
          </w:p>
          <w:p w14:paraId="0C826BF4" w14:textId="77777777" w:rsidR="00B764CC" w:rsidRPr="00B764CC" w:rsidRDefault="00B764CC" w:rsidP="00B764CC">
            <w:pPr>
              <w:spacing w:line="240" w:lineRule="auto"/>
              <w:rPr>
                <w:rFonts w:ascii="Arial" w:eastAsia="Times New Roman" w:hAnsi="Arial" w:cs="Arial"/>
                <w:i/>
                <w:iCs/>
                <w:sz w:val="18"/>
                <w:szCs w:val="18"/>
                <w:lang w:eastAsia="en-AU"/>
              </w:rPr>
            </w:pPr>
          </w:p>
          <w:p w14:paraId="02743195"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Methods</w:t>
            </w:r>
            <w:r w:rsidRPr="00B764CC">
              <w:rPr>
                <w:rFonts w:ascii="Arial" w:eastAsia="Times New Roman" w:hAnsi="Arial" w:cs="Arial"/>
                <w:sz w:val="18"/>
                <w:szCs w:val="18"/>
                <w:lang w:eastAsia="en-AU"/>
              </w:rPr>
              <w:t>:</w:t>
            </w:r>
          </w:p>
          <w:p w14:paraId="3E9ECE9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Article reports part 1 of the results of a postal questionnaire survey.</w:t>
            </w:r>
          </w:p>
        </w:tc>
        <w:tc>
          <w:tcPr>
            <w:tcW w:w="3119" w:type="dxa"/>
          </w:tcPr>
          <w:p w14:paraId="6D691A54"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7423E952"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UK specialist palliative care inpatient units.</w:t>
            </w:r>
          </w:p>
          <w:p w14:paraId="20BAE2B5" w14:textId="77777777" w:rsidR="00B764CC" w:rsidRPr="00B764CC" w:rsidRDefault="00B764CC" w:rsidP="00B764CC">
            <w:pPr>
              <w:spacing w:line="240" w:lineRule="auto"/>
              <w:rPr>
                <w:rFonts w:ascii="Arial" w:eastAsia="Times New Roman" w:hAnsi="Arial" w:cs="Arial"/>
                <w:i/>
                <w:iCs/>
                <w:sz w:val="18"/>
                <w:szCs w:val="18"/>
                <w:lang w:eastAsia="en-AU"/>
              </w:rPr>
            </w:pPr>
          </w:p>
          <w:p w14:paraId="3C97ED3B"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Sample size</w:t>
            </w:r>
            <w:r w:rsidRPr="00B764CC">
              <w:rPr>
                <w:rFonts w:ascii="Arial" w:eastAsia="Times New Roman" w:hAnsi="Arial" w:cs="Arial"/>
                <w:sz w:val="18"/>
                <w:szCs w:val="18"/>
                <w:lang w:eastAsia="en-AU"/>
              </w:rPr>
              <w:t xml:space="preserve">: </w:t>
            </w:r>
          </w:p>
          <w:p w14:paraId="2B74C21B"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102/206 PCUs (completed survey)</w:t>
            </w:r>
          </w:p>
          <w:p w14:paraId="39475F33"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sz w:val="18"/>
                <w:szCs w:val="18"/>
                <w:lang w:eastAsia="en-AU"/>
              </w:rPr>
              <w:t>Response rate 49.5%</w:t>
            </w:r>
          </w:p>
          <w:p w14:paraId="021BF5C2" w14:textId="77777777" w:rsidR="00B764CC" w:rsidRPr="00B764CC" w:rsidRDefault="00B764CC" w:rsidP="00B764CC">
            <w:pPr>
              <w:spacing w:line="240" w:lineRule="auto"/>
              <w:rPr>
                <w:rFonts w:ascii="Arial" w:eastAsia="Times New Roman" w:hAnsi="Arial" w:cs="Arial"/>
                <w:sz w:val="18"/>
                <w:szCs w:val="18"/>
                <w:lang w:eastAsia="en-AU"/>
              </w:rPr>
            </w:pPr>
          </w:p>
          <w:p w14:paraId="05AFB8DF"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xml:space="preserve">: </w:t>
            </w:r>
          </w:p>
          <w:p w14:paraId="4153E8A1"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Not reported</w:t>
            </w:r>
          </w:p>
          <w:p w14:paraId="4B103A00" w14:textId="77777777" w:rsidR="00B764CC" w:rsidRPr="00B764CC" w:rsidRDefault="00B764CC" w:rsidP="00B764CC">
            <w:pPr>
              <w:spacing w:line="240" w:lineRule="auto"/>
              <w:rPr>
                <w:rFonts w:ascii="Arial" w:eastAsia="Times New Roman" w:hAnsi="Arial" w:cs="Arial"/>
                <w:sz w:val="18"/>
                <w:szCs w:val="18"/>
                <w:lang w:eastAsia="en-AU"/>
              </w:rPr>
            </w:pPr>
          </w:p>
          <w:p w14:paraId="488DF488"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 xml:space="preserve">: </w:t>
            </w:r>
          </w:p>
          <w:p w14:paraId="08EAD9C7"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Not reported</w:t>
            </w:r>
          </w:p>
          <w:p w14:paraId="34B16F00" w14:textId="77777777" w:rsidR="00B764CC" w:rsidRPr="00B764CC" w:rsidRDefault="00B764CC" w:rsidP="00B764CC">
            <w:pPr>
              <w:spacing w:line="240" w:lineRule="auto"/>
              <w:rPr>
                <w:rFonts w:ascii="Arial" w:eastAsia="Times New Roman" w:hAnsi="Arial" w:cs="Arial"/>
                <w:i/>
                <w:iCs/>
                <w:sz w:val="18"/>
                <w:szCs w:val="18"/>
                <w:lang w:eastAsia="en-AU"/>
              </w:rPr>
            </w:pPr>
          </w:p>
          <w:p w14:paraId="15FC2653"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p>
          <w:p w14:paraId="0556F108"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t>Inpatient hospital.</w:t>
            </w:r>
          </w:p>
        </w:tc>
        <w:tc>
          <w:tcPr>
            <w:tcW w:w="2976" w:type="dxa"/>
          </w:tcPr>
          <w:p w14:paraId="73698031"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Pressure injury risk assessment tool:</w:t>
            </w:r>
          </w:p>
          <w:p w14:paraId="3167D229" w14:textId="77777777" w:rsidR="00B764CC" w:rsidRPr="00B764CC" w:rsidRDefault="00B764CC">
            <w:pPr>
              <w:numPr>
                <w:ilvl w:val="0"/>
                <w:numId w:val="2"/>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Braden Scale</w:t>
            </w:r>
          </w:p>
          <w:p w14:paraId="76F63A32" w14:textId="77777777" w:rsidR="00B764CC" w:rsidRPr="00B764CC" w:rsidRDefault="00B764CC">
            <w:pPr>
              <w:numPr>
                <w:ilvl w:val="0"/>
                <w:numId w:val="2"/>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Douglas</w:t>
            </w:r>
          </w:p>
          <w:p w14:paraId="5F237F0E" w14:textId="77777777" w:rsidR="00B764CC" w:rsidRPr="00B764CC" w:rsidRDefault="00B764CC">
            <w:pPr>
              <w:numPr>
                <w:ilvl w:val="0"/>
                <w:numId w:val="2"/>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Hunters Hill risk assessment</w:t>
            </w:r>
          </w:p>
          <w:p w14:paraId="6FCE35B1" w14:textId="77777777" w:rsidR="00B764CC" w:rsidRPr="00B764CC" w:rsidRDefault="00B764CC">
            <w:pPr>
              <w:numPr>
                <w:ilvl w:val="0"/>
                <w:numId w:val="2"/>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Norton Scale</w:t>
            </w:r>
          </w:p>
          <w:p w14:paraId="54EEBFEF" w14:textId="77777777" w:rsidR="00B764CC" w:rsidRPr="00B764CC" w:rsidRDefault="00B764CC">
            <w:pPr>
              <w:numPr>
                <w:ilvl w:val="0"/>
                <w:numId w:val="2"/>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Waterlow Score</w:t>
            </w:r>
          </w:p>
          <w:p w14:paraId="66461EBF" w14:textId="77777777" w:rsidR="00B764CC" w:rsidRPr="00B764CC" w:rsidRDefault="00B764CC" w:rsidP="00B764CC">
            <w:pPr>
              <w:spacing w:line="240" w:lineRule="auto"/>
              <w:rPr>
                <w:rFonts w:ascii="Arial" w:eastAsia="Times New Roman" w:hAnsi="Arial" w:cs="Arial"/>
                <w:color w:val="000000" w:themeColor="text1"/>
                <w:sz w:val="18"/>
                <w:szCs w:val="18"/>
              </w:rPr>
            </w:pPr>
          </w:p>
          <w:p w14:paraId="2B1666F2" w14:textId="77777777" w:rsidR="00B764CC" w:rsidRPr="00B764CC" w:rsidRDefault="00B764CC" w:rsidP="00B764CC">
            <w:pPr>
              <w:spacing w:line="240" w:lineRule="auto"/>
              <w:rPr>
                <w:rFonts w:ascii="Arial" w:eastAsia="Times New Roman" w:hAnsi="Arial" w:cs="Arial"/>
                <w:i/>
                <w:iCs/>
                <w:color w:val="000000" w:themeColor="text1"/>
                <w:sz w:val="18"/>
                <w:szCs w:val="18"/>
              </w:rPr>
            </w:pPr>
          </w:p>
          <w:p w14:paraId="1578186D"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 xml:space="preserve">: </w:t>
            </w:r>
          </w:p>
          <w:p w14:paraId="3B4DBE27" w14:textId="77777777" w:rsidR="00B764CC" w:rsidRPr="00B764CC" w:rsidRDefault="00B764CC">
            <w:pPr>
              <w:numPr>
                <w:ilvl w:val="0"/>
                <w:numId w:val="12"/>
              </w:numPr>
              <w:spacing w:line="240" w:lineRule="auto"/>
              <w:contextualSpacing/>
              <w:rPr>
                <w:rFonts w:ascii="Arial" w:eastAsia="Calibri" w:hAnsi="Arial" w:cs="Arial"/>
                <w:bCs/>
                <w:sz w:val="18"/>
                <w:szCs w:val="18"/>
                <w:lang w:eastAsia="en-GB"/>
              </w:rPr>
            </w:pPr>
            <w:r w:rsidRPr="00B764CC">
              <w:rPr>
                <w:rFonts w:ascii="Arial" w:eastAsia="Calibri" w:hAnsi="Arial" w:cs="Arial"/>
                <w:bCs/>
                <w:sz w:val="18"/>
                <w:szCs w:val="18"/>
                <w:lang w:eastAsia="en-GB"/>
              </w:rPr>
              <w:t>None reported</w:t>
            </w:r>
          </w:p>
          <w:p w14:paraId="3084AC9F" w14:textId="77777777" w:rsidR="00B764CC" w:rsidRPr="00B764CC" w:rsidRDefault="00B764CC" w:rsidP="00B764CC">
            <w:pPr>
              <w:spacing w:line="240" w:lineRule="auto"/>
              <w:rPr>
                <w:rFonts w:ascii="Arial" w:eastAsia="Times New Roman" w:hAnsi="Arial" w:cs="Arial"/>
                <w:sz w:val="18"/>
                <w:szCs w:val="18"/>
              </w:rPr>
            </w:pPr>
          </w:p>
        </w:tc>
        <w:tc>
          <w:tcPr>
            <w:tcW w:w="4622" w:type="dxa"/>
          </w:tcPr>
          <w:p w14:paraId="6CDF0A0E"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4391A110"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Waterlow was the most commonly reported PI risk assessment tool in use in palliative care inpatient units (</w:t>
            </w:r>
            <w:r w:rsidRPr="00B764CC">
              <w:rPr>
                <w:rFonts w:ascii="Arial" w:eastAsia="Calibri" w:hAnsi="Arial" w:cs="Arial"/>
                <w:i/>
                <w:sz w:val="18"/>
                <w:szCs w:val="18"/>
                <w:lang w:eastAsia="en-GB"/>
              </w:rPr>
              <w:t xml:space="preserve">n = </w:t>
            </w:r>
            <w:r w:rsidRPr="00B764CC">
              <w:rPr>
                <w:rFonts w:ascii="Arial" w:eastAsia="Calibri" w:hAnsi="Arial" w:cs="Arial"/>
                <w:sz w:val="18"/>
                <w:szCs w:val="18"/>
                <w:lang w:eastAsia="en-GB"/>
              </w:rPr>
              <w:t>100) (71%). Other tools in use include Norton (5%), Braden (3%) and Douglas (3%); 4% of respondents indicated that they used no risk assessment tool, 2% used the Hunters Hill risk assessment tool. The most commonly cited reasons for using the chosen tool were because it was: the most appropriate, familiar, or that it was the policy of the hospital/trust. 34% of all respondents (</w:t>
            </w:r>
            <w:r w:rsidRPr="00B764CC">
              <w:rPr>
                <w:rFonts w:ascii="Arial" w:eastAsia="Calibri" w:hAnsi="Arial" w:cs="Arial"/>
                <w:i/>
                <w:iCs/>
                <w:sz w:val="18"/>
                <w:szCs w:val="18"/>
                <w:lang w:eastAsia="en-GB"/>
              </w:rPr>
              <w:t xml:space="preserve">n = </w:t>
            </w:r>
            <w:r w:rsidRPr="00B764CC">
              <w:rPr>
                <w:rFonts w:ascii="Arial" w:eastAsia="Calibri" w:hAnsi="Arial" w:cs="Arial"/>
                <w:sz w:val="18"/>
                <w:szCs w:val="18"/>
                <w:lang w:eastAsia="en-GB"/>
              </w:rPr>
              <w:t>100) identified problems in using their selected tool. Waterlow risk assessment tool (</w:t>
            </w:r>
            <w:r w:rsidRPr="00B764CC">
              <w:rPr>
                <w:rFonts w:ascii="Arial" w:eastAsia="Calibri" w:hAnsi="Arial" w:cs="Arial"/>
                <w:i/>
                <w:sz w:val="18"/>
                <w:szCs w:val="18"/>
                <w:lang w:eastAsia="en-GB"/>
              </w:rPr>
              <w:t xml:space="preserve">n = </w:t>
            </w:r>
            <w:r w:rsidRPr="00B764CC">
              <w:rPr>
                <w:rFonts w:ascii="Arial" w:eastAsia="Calibri" w:hAnsi="Arial" w:cs="Arial"/>
                <w:sz w:val="18"/>
                <w:szCs w:val="18"/>
                <w:lang w:eastAsia="en-GB"/>
              </w:rPr>
              <w:t>71) identified a range of problems. The two most commonly cited were that it was non-specific to palliative care patients and that it tended to score most patients as high risk.</w:t>
            </w:r>
          </w:p>
        </w:tc>
      </w:tr>
      <w:tr w:rsidR="00B764CC" w:rsidRPr="00B764CC" w14:paraId="2720C4E7" w14:textId="77777777" w:rsidTr="003000D3">
        <w:trPr>
          <w:trHeight w:val="67"/>
        </w:trPr>
        <w:tc>
          <w:tcPr>
            <w:tcW w:w="1413" w:type="dxa"/>
          </w:tcPr>
          <w:p w14:paraId="647A561D"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sz w:val="18"/>
                <w:szCs w:val="18"/>
                <w:lang w:eastAsia="en-GB"/>
              </w:rPr>
              <w:t>Sopata et al. (</w:t>
            </w:r>
            <w:r w:rsidRPr="00B764CC">
              <w:rPr>
                <w:rFonts w:ascii="Arial" w:eastAsia="Calibri" w:hAnsi="Arial" w:cs="Arial"/>
                <w:bCs/>
                <w:color w:val="000000"/>
                <w:sz w:val="18"/>
                <w:szCs w:val="18"/>
                <w:lang w:eastAsia="en-GB"/>
              </w:rPr>
              <w:t>2014) Poland [50]</w:t>
            </w:r>
          </w:p>
        </w:tc>
        <w:tc>
          <w:tcPr>
            <w:tcW w:w="3260" w:type="dxa"/>
          </w:tcPr>
          <w:p w14:paraId="444676F8"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Aims</w:t>
            </w:r>
            <w:r w:rsidRPr="00B764CC">
              <w:rPr>
                <w:rFonts w:ascii="Arial" w:eastAsia="Times New Roman" w:hAnsi="Arial" w:cs="Arial"/>
                <w:sz w:val="18"/>
                <w:szCs w:val="18"/>
              </w:rPr>
              <w:t>:</w:t>
            </w:r>
          </w:p>
          <w:p w14:paraId="5E4ED92A"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To assess the influence of prophylaxis on PI development in patients with advanced cancer. A comparative analysis of the risk assessment scales: the Norton Scale and the CBO scale (Dutch Consensus Prevention of Bedsores) was also conducted.</w:t>
            </w:r>
          </w:p>
          <w:p w14:paraId="11EE0EA1" w14:textId="77777777" w:rsidR="00B764CC" w:rsidRPr="00B764CC" w:rsidRDefault="00B764CC" w:rsidP="00B764CC">
            <w:pPr>
              <w:spacing w:line="240" w:lineRule="auto"/>
              <w:rPr>
                <w:rFonts w:ascii="Arial" w:eastAsia="Times New Roman" w:hAnsi="Arial" w:cs="Arial"/>
                <w:i/>
                <w:iCs/>
                <w:sz w:val="18"/>
                <w:szCs w:val="18"/>
                <w:lang w:eastAsia="en-AU"/>
              </w:rPr>
            </w:pPr>
          </w:p>
          <w:p w14:paraId="74B3FF51"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Methods</w:t>
            </w:r>
            <w:r w:rsidRPr="00B764CC">
              <w:rPr>
                <w:rFonts w:ascii="Arial" w:eastAsia="Times New Roman" w:hAnsi="Arial" w:cs="Arial"/>
                <w:sz w:val="18"/>
                <w:szCs w:val="18"/>
                <w:lang w:eastAsia="en-AU"/>
              </w:rPr>
              <w:t>:</w:t>
            </w:r>
          </w:p>
          <w:p w14:paraId="3856B58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 xml:space="preserve">Observational study </w:t>
            </w:r>
          </w:p>
        </w:tc>
        <w:tc>
          <w:tcPr>
            <w:tcW w:w="3119" w:type="dxa"/>
          </w:tcPr>
          <w:p w14:paraId="717F7DB8"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4306EF15"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Palliative care patients with advanced cancer.</w:t>
            </w:r>
          </w:p>
          <w:p w14:paraId="7C0EE08D" w14:textId="77777777" w:rsidR="00B764CC" w:rsidRPr="00B764CC" w:rsidRDefault="00B764CC" w:rsidP="00B764CC">
            <w:pPr>
              <w:spacing w:line="240" w:lineRule="auto"/>
              <w:rPr>
                <w:rFonts w:ascii="Arial" w:eastAsia="Times New Roman" w:hAnsi="Arial" w:cs="Arial"/>
                <w:sz w:val="18"/>
                <w:szCs w:val="18"/>
                <w:lang w:eastAsia="en-AU"/>
              </w:rPr>
            </w:pPr>
          </w:p>
          <w:p w14:paraId="61C97EF3"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i/>
                <w:iCs/>
                <w:sz w:val="18"/>
                <w:szCs w:val="18"/>
                <w:lang w:eastAsia="en-AU"/>
              </w:rPr>
              <w:t xml:space="preserve">Sample size: </w:t>
            </w:r>
          </w:p>
          <w:p w14:paraId="0A1828B1"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319</w:t>
            </w:r>
          </w:p>
          <w:p w14:paraId="5BDDBDCE" w14:textId="77777777" w:rsidR="00B764CC" w:rsidRPr="00B764CC" w:rsidRDefault="00B764CC" w:rsidP="00B764CC">
            <w:pPr>
              <w:spacing w:line="240" w:lineRule="auto"/>
              <w:rPr>
                <w:rFonts w:ascii="Arial" w:eastAsia="Times New Roman" w:hAnsi="Arial" w:cs="Arial"/>
                <w:sz w:val="18"/>
                <w:szCs w:val="18"/>
                <w:lang w:eastAsia="en-AU"/>
              </w:rPr>
            </w:pPr>
          </w:p>
          <w:p w14:paraId="64C767D1"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xml:space="preserve">: </w:t>
            </w:r>
          </w:p>
          <w:p w14:paraId="50E6B0EA"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mean 61 (SD 11.4, range 18-94)</w:t>
            </w:r>
          </w:p>
          <w:p w14:paraId="3D1DE1BE" w14:textId="77777777" w:rsidR="00B764CC" w:rsidRPr="00B764CC" w:rsidRDefault="00B764CC" w:rsidP="00B764CC">
            <w:pPr>
              <w:spacing w:line="240" w:lineRule="auto"/>
              <w:rPr>
                <w:rFonts w:ascii="Arial" w:eastAsia="Times New Roman" w:hAnsi="Arial" w:cs="Arial"/>
                <w:sz w:val="18"/>
                <w:szCs w:val="18"/>
                <w:lang w:eastAsia="en-AU"/>
              </w:rPr>
            </w:pPr>
          </w:p>
          <w:p w14:paraId="3E69FC9B" w14:textId="77777777" w:rsidR="00B764CC" w:rsidRPr="00B764CC" w:rsidRDefault="00B764CC" w:rsidP="00B764CC">
            <w:pPr>
              <w:spacing w:line="240" w:lineRule="auto"/>
              <w:rPr>
                <w:rFonts w:ascii="Arial" w:eastAsia="Calibri" w:hAnsi="Arial" w:cs="Arial"/>
                <w:bCs/>
                <w:sz w:val="18"/>
                <w:szCs w:val="18"/>
                <w:lang w:eastAsia="en-GB"/>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w:t>
            </w:r>
            <w:r w:rsidRPr="00B764CC">
              <w:rPr>
                <w:rFonts w:ascii="Arial" w:eastAsia="Calibri" w:hAnsi="Arial" w:cs="Arial"/>
                <w:bCs/>
                <w:sz w:val="18"/>
                <w:szCs w:val="18"/>
                <w:lang w:eastAsia="en-GB"/>
              </w:rPr>
              <w:t xml:space="preserve"> </w:t>
            </w:r>
          </w:p>
          <w:p w14:paraId="030CA433"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Male 60.5% (147/243)</w:t>
            </w:r>
          </w:p>
          <w:p w14:paraId="1703DC7F" w14:textId="77777777" w:rsidR="00B764CC" w:rsidRPr="00B764CC" w:rsidRDefault="00B764CC" w:rsidP="00B764CC">
            <w:pPr>
              <w:spacing w:line="240" w:lineRule="auto"/>
              <w:rPr>
                <w:rFonts w:ascii="Arial" w:eastAsia="Times New Roman" w:hAnsi="Arial" w:cs="Arial"/>
                <w:i/>
                <w:iCs/>
                <w:sz w:val="18"/>
                <w:szCs w:val="18"/>
                <w:lang w:eastAsia="en-AU"/>
              </w:rPr>
            </w:pPr>
          </w:p>
          <w:p w14:paraId="0A2EAED0"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p>
          <w:p w14:paraId="3BF50E4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t>Inpatient hospital, PCU.</w:t>
            </w:r>
          </w:p>
        </w:tc>
        <w:tc>
          <w:tcPr>
            <w:tcW w:w="2976" w:type="dxa"/>
          </w:tcPr>
          <w:p w14:paraId="43323DF2"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Pressure injury risk assessment tool:</w:t>
            </w:r>
          </w:p>
          <w:p w14:paraId="797F3990" w14:textId="77777777" w:rsidR="00B764CC" w:rsidRPr="00B764CC" w:rsidRDefault="00B764CC">
            <w:pPr>
              <w:numPr>
                <w:ilvl w:val="0"/>
                <w:numId w:val="7"/>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Norton Scale</w:t>
            </w:r>
          </w:p>
          <w:p w14:paraId="20D0428C" w14:textId="77777777" w:rsidR="00B764CC" w:rsidRPr="00B764CC" w:rsidRDefault="00B764CC">
            <w:pPr>
              <w:numPr>
                <w:ilvl w:val="0"/>
                <w:numId w:val="7"/>
              </w:numPr>
              <w:spacing w:line="240" w:lineRule="auto"/>
              <w:contextualSpacing/>
              <w:rPr>
                <w:rFonts w:ascii="Arial" w:eastAsia="Times New Roman" w:hAnsi="Arial" w:cs="Arial"/>
                <w:color w:val="000000" w:themeColor="text1"/>
                <w:sz w:val="18"/>
                <w:szCs w:val="18"/>
              </w:rPr>
            </w:pPr>
            <w:r w:rsidRPr="00B764CC">
              <w:rPr>
                <w:rFonts w:ascii="Arial" w:eastAsia="Times New Roman" w:hAnsi="Arial" w:cs="Arial"/>
                <w:color w:val="000000" w:themeColor="text1"/>
                <w:sz w:val="18"/>
                <w:szCs w:val="18"/>
              </w:rPr>
              <w:t>CBO scale</w:t>
            </w:r>
          </w:p>
          <w:p w14:paraId="7095CACD" w14:textId="77777777" w:rsidR="00B764CC" w:rsidRPr="00B764CC" w:rsidRDefault="00B764CC" w:rsidP="00B764CC">
            <w:pPr>
              <w:spacing w:line="240" w:lineRule="auto"/>
              <w:rPr>
                <w:rFonts w:ascii="Arial" w:eastAsia="Times New Roman" w:hAnsi="Arial" w:cs="Arial"/>
                <w:i/>
                <w:iCs/>
                <w:color w:val="000000" w:themeColor="text1"/>
                <w:sz w:val="18"/>
                <w:szCs w:val="18"/>
              </w:rPr>
            </w:pPr>
          </w:p>
          <w:p w14:paraId="3D92016D"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 xml:space="preserve">: </w:t>
            </w:r>
          </w:p>
          <w:p w14:paraId="254D7C41" w14:textId="77777777" w:rsidR="00B764CC" w:rsidRPr="00B764CC" w:rsidRDefault="00B764CC">
            <w:pPr>
              <w:numPr>
                <w:ilvl w:val="0"/>
                <w:numId w:val="12"/>
              </w:numPr>
              <w:spacing w:line="240" w:lineRule="auto"/>
              <w:contextualSpacing/>
              <w:rPr>
                <w:rFonts w:ascii="Arial" w:eastAsia="Times New Roman" w:hAnsi="Arial" w:cs="Arial"/>
                <w:bCs/>
                <w:sz w:val="18"/>
                <w:szCs w:val="18"/>
                <w:lang w:eastAsia="en-GB"/>
              </w:rPr>
            </w:pPr>
            <w:r w:rsidRPr="00B764CC">
              <w:rPr>
                <w:rFonts w:ascii="Arial" w:eastAsia="Times New Roman" w:hAnsi="Arial" w:cs="Arial"/>
                <w:bCs/>
                <w:sz w:val="18"/>
                <w:szCs w:val="18"/>
                <w:lang w:eastAsia="en-GB"/>
              </w:rPr>
              <w:t>None reported</w:t>
            </w:r>
          </w:p>
        </w:tc>
        <w:tc>
          <w:tcPr>
            <w:tcW w:w="4622" w:type="dxa"/>
          </w:tcPr>
          <w:p w14:paraId="28A4924C"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4C8D286D"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Two risk assessment scales were used in the group of 10 patients in whom PIs developed before the 7th day of hospitalisation, and their outputs were subsequently compared. The study showed no statistically significant difference between the scales in the observation period mentioned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 xml:space="preserve">=0.6250). The measurements of risk degree (high, moderate, low, none) show that the two scales are each other equivalents. </w:t>
            </w:r>
          </w:p>
          <w:p w14:paraId="5E54CDFD"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Two risk assessment scales were used in the group of 16 patients in whom PIs developed between the 7</w:t>
            </w:r>
            <w:r w:rsidRPr="00B764CC">
              <w:rPr>
                <w:rFonts w:ascii="Arial" w:eastAsia="Calibri" w:hAnsi="Arial" w:cs="Arial"/>
                <w:sz w:val="18"/>
                <w:szCs w:val="18"/>
                <w:vertAlign w:val="superscript"/>
                <w:lang w:eastAsia="en-GB"/>
              </w:rPr>
              <w:t>th</w:t>
            </w:r>
            <w:r w:rsidRPr="00B764CC">
              <w:rPr>
                <w:rFonts w:ascii="Arial" w:eastAsia="Calibri" w:hAnsi="Arial" w:cs="Arial"/>
                <w:sz w:val="18"/>
                <w:szCs w:val="18"/>
                <w:lang w:eastAsia="en-GB"/>
              </w:rPr>
              <w:t xml:space="preserve"> and 15</w:t>
            </w:r>
            <w:r w:rsidRPr="00B764CC">
              <w:rPr>
                <w:rFonts w:ascii="Arial" w:eastAsia="Calibri" w:hAnsi="Arial" w:cs="Arial"/>
                <w:sz w:val="18"/>
                <w:szCs w:val="18"/>
                <w:vertAlign w:val="superscript"/>
                <w:lang w:eastAsia="en-GB"/>
              </w:rPr>
              <w:t>th</w:t>
            </w:r>
            <w:r w:rsidRPr="00B764CC">
              <w:rPr>
                <w:rFonts w:ascii="Arial" w:eastAsia="Calibri" w:hAnsi="Arial" w:cs="Arial"/>
                <w:sz w:val="18"/>
                <w:szCs w:val="18"/>
                <w:lang w:eastAsia="en-GB"/>
              </w:rPr>
              <w:t xml:space="preserve"> day of hospitalisation, and their outputs were subsequently compared. No statistically significant difference was demonstrated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 xml:space="preserve">=0.0513). </w:t>
            </w:r>
          </w:p>
          <w:p w14:paraId="766F4E6E"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High risk was shown by both scales in 18 patients in whom PI developed after the 15</w:t>
            </w:r>
            <w:r w:rsidRPr="00B764CC">
              <w:rPr>
                <w:rFonts w:ascii="Arial" w:eastAsia="Calibri" w:hAnsi="Arial" w:cs="Arial"/>
                <w:sz w:val="18"/>
                <w:szCs w:val="18"/>
                <w:vertAlign w:val="superscript"/>
                <w:lang w:eastAsia="en-GB"/>
              </w:rPr>
              <w:t>th</w:t>
            </w:r>
            <w:r w:rsidRPr="00B764CC">
              <w:rPr>
                <w:rFonts w:ascii="Arial" w:eastAsia="Calibri" w:hAnsi="Arial" w:cs="Arial"/>
                <w:sz w:val="18"/>
                <w:szCs w:val="18"/>
                <w:lang w:eastAsia="en-GB"/>
              </w:rPr>
              <w:t xml:space="preserve"> day of observation. This observation period also proved the scales to have equal sensitivity (NS; </w:t>
            </w:r>
            <w:r w:rsidRPr="00B764CC">
              <w:rPr>
                <w:rFonts w:ascii="Arial" w:eastAsia="Calibri" w:hAnsi="Arial" w:cs="Arial"/>
                <w:i/>
                <w:iCs/>
                <w:sz w:val="18"/>
                <w:szCs w:val="18"/>
                <w:lang w:eastAsia="en-GB"/>
              </w:rPr>
              <w:t>p</w:t>
            </w:r>
            <w:r w:rsidRPr="00B764CC">
              <w:rPr>
                <w:rFonts w:ascii="Arial" w:eastAsia="Calibri" w:hAnsi="Arial" w:cs="Arial"/>
                <w:sz w:val="18"/>
                <w:szCs w:val="18"/>
                <w:lang w:eastAsia="en-GB"/>
              </w:rPr>
              <w:t>=0.5720). The comparative assessment of the degree of PI risk carried out by means of two scales Norton and CBO, demonstrated that, in all observation periods, both tools showed the same sensitivity.</w:t>
            </w:r>
          </w:p>
        </w:tc>
      </w:tr>
      <w:tr w:rsidR="00B764CC" w:rsidRPr="00B764CC" w14:paraId="4626DC24" w14:textId="77777777" w:rsidTr="003000D3">
        <w:trPr>
          <w:trHeight w:val="67"/>
        </w:trPr>
        <w:tc>
          <w:tcPr>
            <w:tcW w:w="1413" w:type="dxa"/>
          </w:tcPr>
          <w:p w14:paraId="2F2E9DF9" w14:textId="77777777" w:rsidR="00B764CC" w:rsidRPr="00B764CC" w:rsidRDefault="00B764CC" w:rsidP="00B764CC">
            <w:pPr>
              <w:spacing w:line="240" w:lineRule="auto"/>
              <w:rPr>
                <w:rFonts w:ascii="Arial" w:eastAsia="Times New Roman" w:hAnsi="Arial" w:cs="Arial"/>
                <w:bCs/>
                <w:color w:val="000000"/>
                <w:sz w:val="18"/>
                <w:szCs w:val="18"/>
                <w:lang w:eastAsia="en-AU"/>
              </w:rPr>
            </w:pPr>
            <w:r w:rsidRPr="00B764CC">
              <w:rPr>
                <w:rFonts w:ascii="Arial" w:eastAsia="Calibri" w:hAnsi="Arial" w:cs="Arial"/>
                <w:bCs/>
                <w:sz w:val="18"/>
                <w:szCs w:val="18"/>
                <w:lang w:eastAsia="en-GB"/>
              </w:rPr>
              <w:t>Sternal et al. (</w:t>
            </w:r>
            <w:r w:rsidRPr="00B764CC">
              <w:rPr>
                <w:rFonts w:ascii="Arial" w:eastAsia="Calibri" w:hAnsi="Arial" w:cs="Arial"/>
                <w:bCs/>
                <w:color w:val="000000"/>
                <w:sz w:val="18"/>
                <w:szCs w:val="18"/>
                <w:lang w:eastAsia="en-GB"/>
              </w:rPr>
              <w:t>2017) Poland [51]</w:t>
            </w:r>
          </w:p>
        </w:tc>
        <w:tc>
          <w:tcPr>
            <w:tcW w:w="3260" w:type="dxa"/>
          </w:tcPr>
          <w:p w14:paraId="2A6F1AF2"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Aims</w:t>
            </w:r>
            <w:r w:rsidRPr="00B764CC">
              <w:rPr>
                <w:rFonts w:ascii="Arial" w:eastAsia="Times New Roman" w:hAnsi="Arial" w:cs="Arial"/>
                <w:sz w:val="18"/>
                <w:szCs w:val="18"/>
              </w:rPr>
              <w:t>:</w:t>
            </w:r>
          </w:p>
          <w:p w14:paraId="03698651"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To analyse factors associated with the development of PI in hospitalised patients with advanced illness.</w:t>
            </w:r>
          </w:p>
          <w:p w14:paraId="02528116" w14:textId="77777777" w:rsidR="00B764CC" w:rsidRPr="00B764CC" w:rsidRDefault="00B764CC" w:rsidP="00B764CC">
            <w:pPr>
              <w:spacing w:line="240" w:lineRule="auto"/>
              <w:rPr>
                <w:rFonts w:ascii="Arial" w:eastAsia="Times New Roman" w:hAnsi="Arial" w:cs="Arial"/>
                <w:i/>
                <w:iCs/>
                <w:sz w:val="18"/>
                <w:szCs w:val="18"/>
                <w:lang w:eastAsia="en-AU"/>
              </w:rPr>
            </w:pPr>
          </w:p>
          <w:p w14:paraId="322ECA30"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Methods</w:t>
            </w:r>
            <w:r w:rsidRPr="00B764CC">
              <w:rPr>
                <w:rFonts w:ascii="Arial" w:eastAsia="Times New Roman" w:hAnsi="Arial" w:cs="Arial"/>
                <w:sz w:val="18"/>
                <w:szCs w:val="18"/>
                <w:lang w:eastAsia="en-AU"/>
              </w:rPr>
              <w:t>:</w:t>
            </w:r>
          </w:p>
          <w:p w14:paraId="480F58D3"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Retrospective analysis</w:t>
            </w:r>
          </w:p>
        </w:tc>
        <w:tc>
          <w:tcPr>
            <w:tcW w:w="3119" w:type="dxa"/>
          </w:tcPr>
          <w:p w14:paraId="0FCF68C7"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22F350C5"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Palliative care patients.</w:t>
            </w:r>
          </w:p>
          <w:p w14:paraId="6B6E4B10" w14:textId="77777777" w:rsidR="00B764CC" w:rsidRPr="00B764CC" w:rsidRDefault="00B764CC" w:rsidP="00B764CC">
            <w:pPr>
              <w:spacing w:line="240" w:lineRule="auto"/>
              <w:rPr>
                <w:rFonts w:ascii="Arial" w:eastAsia="Times New Roman" w:hAnsi="Arial" w:cs="Arial"/>
                <w:i/>
                <w:iCs/>
                <w:sz w:val="18"/>
                <w:szCs w:val="18"/>
                <w:lang w:eastAsia="en-AU"/>
              </w:rPr>
            </w:pPr>
          </w:p>
          <w:p w14:paraId="0142992E"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i/>
                <w:iCs/>
                <w:sz w:val="18"/>
                <w:szCs w:val="18"/>
                <w:lang w:eastAsia="en-AU"/>
              </w:rPr>
              <w:t xml:space="preserve">Sample size: </w:t>
            </w:r>
          </w:p>
          <w:p w14:paraId="72FB30A1"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Calibri" w:hAnsi="Arial" w:cs="Arial"/>
                <w:color w:val="000000"/>
                <w:sz w:val="18"/>
                <w:szCs w:val="18"/>
                <w:lang w:eastAsia="en-GB"/>
              </w:rPr>
              <w:t>329</w:t>
            </w:r>
          </w:p>
          <w:p w14:paraId="2985962A" w14:textId="77777777" w:rsidR="00B764CC" w:rsidRPr="00B764CC" w:rsidRDefault="00B764CC" w:rsidP="00B764CC">
            <w:pPr>
              <w:spacing w:line="240" w:lineRule="auto"/>
              <w:rPr>
                <w:rFonts w:ascii="Arial" w:eastAsia="Times New Roman" w:hAnsi="Arial" w:cs="Arial"/>
                <w:sz w:val="18"/>
                <w:szCs w:val="18"/>
                <w:lang w:eastAsia="en-AU"/>
              </w:rPr>
            </w:pPr>
          </w:p>
          <w:p w14:paraId="04DE8A13"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w:t>
            </w:r>
            <w:r w:rsidRPr="00B764CC">
              <w:rPr>
                <w:rFonts w:ascii="Arial" w:eastAsia="Calibri" w:hAnsi="Arial" w:cs="Arial"/>
                <w:sz w:val="18"/>
                <w:szCs w:val="18"/>
                <w:lang w:eastAsia="en-GB"/>
              </w:rPr>
              <w:t xml:space="preserve"> </w:t>
            </w:r>
          </w:p>
          <w:p w14:paraId="6863B2F2"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mean age 70.4 (SD 11.8)</w:t>
            </w:r>
          </w:p>
          <w:p w14:paraId="53D4E905" w14:textId="77777777" w:rsidR="00B764CC" w:rsidRPr="00B764CC" w:rsidRDefault="00B764CC" w:rsidP="00B764CC">
            <w:pPr>
              <w:spacing w:line="240" w:lineRule="auto"/>
              <w:rPr>
                <w:rFonts w:ascii="Arial" w:eastAsia="Times New Roman" w:hAnsi="Arial" w:cs="Arial"/>
                <w:sz w:val="18"/>
                <w:szCs w:val="18"/>
                <w:lang w:eastAsia="en-AU"/>
              </w:rPr>
            </w:pPr>
          </w:p>
          <w:p w14:paraId="29FC4F5E"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lastRenderedPageBreak/>
              <w:t>Gender</w:t>
            </w:r>
            <w:r w:rsidRPr="00B764CC">
              <w:rPr>
                <w:rFonts w:ascii="Arial" w:eastAsia="Times New Roman" w:hAnsi="Arial" w:cs="Arial"/>
                <w:sz w:val="18"/>
                <w:szCs w:val="18"/>
                <w:lang w:eastAsia="en-AU"/>
              </w:rPr>
              <w:t xml:space="preserve">: </w:t>
            </w:r>
          </w:p>
          <w:p w14:paraId="4F7D87DD"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t>Male 44.7% (</w:t>
            </w:r>
            <w:r w:rsidRPr="00B764CC">
              <w:rPr>
                <w:rFonts w:ascii="Arial" w:eastAsia="Calibri" w:hAnsi="Arial" w:cs="Arial"/>
                <w:i/>
                <w:iCs/>
                <w:color w:val="000000"/>
                <w:sz w:val="18"/>
                <w:szCs w:val="18"/>
                <w:lang w:eastAsia="en-GB"/>
              </w:rPr>
              <w:t>n</w:t>
            </w:r>
            <w:r w:rsidRPr="00B764CC">
              <w:rPr>
                <w:rFonts w:ascii="Arial" w:eastAsia="Calibri" w:hAnsi="Arial" w:cs="Arial"/>
                <w:color w:val="000000"/>
                <w:sz w:val="18"/>
                <w:szCs w:val="18"/>
                <w:lang w:eastAsia="en-GB"/>
              </w:rPr>
              <w:t xml:space="preserve"> = 147)</w:t>
            </w:r>
          </w:p>
          <w:p w14:paraId="1DD20466" w14:textId="77777777" w:rsidR="00B764CC" w:rsidRPr="00B764CC" w:rsidRDefault="00B764CC" w:rsidP="00B764CC">
            <w:pPr>
              <w:spacing w:line="240" w:lineRule="auto"/>
              <w:rPr>
                <w:rFonts w:ascii="Arial" w:eastAsia="Times New Roman" w:hAnsi="Arial" w:cs="Arial"/>
                <w:i/>
                <w:iCs/>
                <w:sz w:val="18"/>
                <w:szCs w:val="18"/>
                <w:lang w:eastAsia="en-AU"/>
              </w:rPr>
            </w:pPr>
          </w:p>
          <w:p w14:paraId="1CFF921A"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p>
          <w:p w14:paraId="1394A925"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t>Inpatient hospital, palliative care department.</w:t>
            </w:r>
          </w:p>
        </w:tc>
        <w:tc>
          <w:tcPr>
            <w:tcW w:w="2976" w:type="dxa"/>
          </w:tcPr>
          <w:p w14:paraId="49299EAC"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lastRenderedPageBreak/>
              <w:t>Pressure injury risk assessment tool:</w:t>
            </w:r>
          </w:p>
          <w:p w14:paraId="5CB90918" w14:textId="77777777" w:rsidR="00B764CC" w:rsidRPr="00B764CC" w:rsidRDefault="00B764CC">
            <w:pPr>
              <w:numPr>
                <w:ilvl w:val="0"/>
                <w:numId w:val="6"/>
              </w:numPr>
              <w:spacing w:line="240" w:lineRule="auto"/>
              <w:contextualSpacing/>
              <w:rPr>
                <w:rFonts w:ascii="Arial" w:eastAsia="Times New Roman" w:hAnsi="Arial" w:cs="Arial"/>
                <w:i/>
                <w:iCs/>
                <w:sz w:val="18"/>
                <w:szCs w:val="18"/>
              </w:rPr>
            </w:pPr>
            <w:r w:rsidRPr="00B764CC">
              <w:rPr>
                <w:rFonts w:ascii="Arial" w:eastAsia="Times New Roman" w:hAnsi="Arial" w:cs="Arial"/>
                <w:sz w:val="18"/>
                <w:szCs w:val="18"/>
              </w:rPr>
              <w:t>Waterlow Score</w:t>
            </w:r>
          </w:p>
          <w:p w14:paraId="419ECB0A" w14:textId="77777777" w:rsidR="00B764CC" w:rsidRPr="00B764CC" w:rsidRDefault="00B764CC" w:rsidP="00B764CC">
            <w:pPr>
              <w:spacing w:line="240" w:lineRule="auto"/>
              <w:rPr>
                <w:rFonts w:ascii="Arial" w:eastAsia="Times New Roman" w:hAnsi="Arial" w:cs="Arial"/>
                <w:i/>
                <w:iCs/>
                <w:color w:val="000000" w:themeColor="text1"/>
                <w:sz w:val="18"/>
                <w:szCs w:val="18"/>
              </w:rPr>
            </w:pPr>
          </w:p>
          <w:p w14:paraId="03E01900"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 xml:space="preserve">: </w:t>
            </w:r>
          </w:p>
          <w:p w14:paraId="472BCAB9" w14:textId="77777777" w:rsidR="00B764CC" w:rsidRPr="00B764CC" w:rsidRDefault="00B764CC">
            <w:pPr>
              <w:numPr>
                <w:ilvl w:val="0"/>
                <w:numId w:val="6"/>
              </w:numPr>
              <w:spacing w:line="240" w:lineRule="auto"/>
              <w:contextualSpacing/>
              <w:rPr>
                <w:rFonts w:ascii="Arial" w:eastAsia="Times New Roman" w:hAnsi="Arial" w:cs="Arial"/>
                <w:bCs/>
                <w:sz w:val="18"/>
                <w:szCs w:val="18"/>
                <w:lang w:eastAsia="en-GB"/>
              </w:rPr>
            </w:pPr>
            <w:r w:rsidRPr="00B764CC">
              <w:rPr>
                <w:rFonts w:ascii="Arial" w:eastAsia="Calibri" w:hAnsi="Arial" w:cs="Arial"/>
                <w:bCs/>
                <w:sz w:val="18"/>
                <w:szCs w:val="18"/>
                <w:lang w:eastAsia="en-GB"/>
              </w:rPr>
              <w:t>None reported</w:t>
            </w:r>
          </w:p>
        </w:tc>
        <w:tc>
          <w:tcPr>
            <w:tcW w:w="4622" w:type="dxa"/>
          </w:tcPr>
          <w:p w14:paraId="760CFE1C"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6B7D6F61"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sz w:val="18"/>
                <w:szCs w:val="18"/>
              </w:rPr>
              <w:t xml:space="preserve">Factor assessed at admission appears predictive for PI development in a multivariate logistic regression model: Waterlow Score (odds ratio [OR] =1.140, 95% CI =1.057-1.229, </w:t>
            </w:r>
            <w:r w:rsidRPr="00B764CC">
              <w:rPr>
                <w:rFonts w:ascii="Arial" w:eastAsia="Times New Roman" w:hAnsi="Arial" w:cs="Arial"/>
                <w:i/>
                <w:iCs/>
                <w:sz w:val="18"/>
                <w:szCs w:val="18"/>
              </w:rPr>
              <w:t>p</w:t>
            </w:r>
            <w:r w:rsidRPr="00B764CC">
              <w:rPr>
                <w:rFonts w:ascii="Arial" w:eastAsia="Times New Roman" w:hAnsi="Arial" w:cs="Arial"/>
                <w:sz w:val="18"/>
                <w:szCs w:val="18"/>
              </w:rPr>
              <w:t xml:space="preserve">=0.001). Factor assessed during hospitalisation appears to be associated with decubitus PI development: mean Waterlow Score (OR =1.194, 95% CI =1.092-1.306, </w:t>
            </w:r>
            <w:r w:rsidRPr="00B764CC">
              <w:rPr>
                <w:rFonts w:ascii="Arial" w:eastAsia="Times New Roman" w:hAnsi="Arial" w:cs="Arial"/>
                <w:i/>
                <w:iCs/>
                <w:sz w:val="18"/>
                <w:szCs w:val="18"/>
              </w:rPr>
              <w:t>p</w:t>
            </w:r>
            <w:r w:rsidRPr="00B764CC">
              <w:rPr>
                <w:rFonts w:ascii="Arial" w:eastAsia="Times New Roman" w:hAnsi="Arial" w:cs="Arial"/>
                <w:sz w:val="18"/>
                <w:szCs w:val="18"/>
              </w:rPr>
              <w:t>&lt;0.001).</w:t>
            </w:r>
          </w:p>
        </w:tc>
      </w:tr>
      <w:tr w:rsidR="00B764CC" w:rsidRPr="00B764CC" w14:paraId="40561A0D" w14:textId="77777777" w:rsidTr="003000D3">
        <w:trPr>
          <w:trHeight w:val="3534"/>
        </w:trPr>
        <w:tc>
          <w:tcPr>
            <w:tcW w:w="1413" w:type="dxa"/>
          </w:tcPr>
          <w:p w14:paraId="5BD82D50" w14:textId="77777777" w:rsidR="00B764CC" w:rsidRPr="00B764CC" w:rsidRDefault="00B764CC" w:rsidP="00B764CC">
            <w:pPr>
              <w:spacing w:line="240" w:lineRule="auto"/>
              <w:rPr>
                <w:rFonts w:ascii="Arial" w:eastAsia="Calibri" w:hAnsi="Arial" w:cs="Arial"/>
                <w:bCs/>
                <w:sz w:val="18"/>
                <w:szCs w:val="18"/>
                <w:lang w:eastAsia="en-GB"/>
              </w:rPr>
            </w:pPr>
            <w:r w:rsidRPr="00B764CC">
              <w:rPr>
                <w:rFonts w:ascii="Arial" w:eastAsia="Calibri" w:hAnsi="Arial" w:cs="Arial"/>
                <w:bCs/>
                <w:sz w:val="18"/>
                <w:szCs w:val="18"/>
                <w:lang w:eastAsia="en-GB"/>
              </w:rPr>
              <w:t>White-Chu and Reddy (</w:t>
            </w:r>
            <w:r w:rsidRPr="00B764CC">
              <w:rPr>
                <w:rFonts w:ascii="Arial" w:eastAsia="Calibri" w:hAnsi="Arial" w:cs="Arial"/>
                <w:bCs/>
                <w:color w:val="000000"/>
                <w:sz w:val="18"/>
                <w:szCs w:val="18"/>
                <w:lang w:eastAsia="en-GB"/>
              </w:rPr>
              <w:t>2013) United States [52]</w:t>
            </w:r>
          </w:p>
        </w:tc>
        <w:tc>
          <w:tcPr>
            <w:tcW w:w="3260" w:type="dxa"/>
          </w:tcPr>
          <w:p w14:paraId="0F4F46E8"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Aims</w:t>
            </w:r>
            <w:r w:rsidRPr="00B764CC">
              <w:rPr>
                <w:rFonts w:ascii="Arial" w:eastAsia="Times New Roman" w:hAnsi="Arial" w:cs="Arial"/>
                <w:sz w:val="18"/>
                <w:szCs w:val="18"/>
              </w:rPr>
              <w:t>:</w:t>
            </w:r>
          </w:p>
          <w:p w14:paraId="6F5FFAE2"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Summarise the relevant recent literature addressing the prevention of PI in persons with advanced illness.</w:t>
            </w:r>
          </w:p>
          <w:p w14:paraId="5028B0AE" w14:textId="77777777" w:rsidR="00B764CC" w:rsidRPr="00B764CC" w:rsidRDefault="00B764CC" w:rsidP="00B764CC">
            <w:pPr>
              <w:spacing w:line="240" w:lineRule="auto"/>
              <w:rPr>
                <w:rFonts w:ascii="Arial" w:eastAsia="Times New Roman" w:hAnsi="Arial" w:cs="Arial"/>
                <w:i/>
                <w:iCs/>
                <w:sz w:val="18"/>
                <w:szCs w:val="18"/>
                <w:lang w:eastAsia="en-AU"/>
              </w:rPr>
            </w:pPr>
          </w:p>
          <w:p w14:paraId="440ED15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Methods</w:t>
            </w:r>
            <w:r w:rsidRPr="00B764CC">
              <w:rPr>
                <w:rFonts w:ascii="Arial" w:eastAsia="Times New Roman" w:hAnsi="Arial" w:cs="Arial"/>
                <w:sz w:val="18"/>
                <w:szCs w:val="18"/>
                <w:lang w:eastAsia="en-AU"/>
              </w:rPr>
              <w:t>:</w:t>
            </w:r>
          </w:p>
          <w:p w14:paraId="0782A193"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Review summarising the literature from 1</w:t>
            </w:r>
            <w:r w:rsidRPr="00B764CC">
              <w:rPr>
                <w:rFonts w:ascii="Arial" w:eastAsia="Times New Roman" w:hAnsi="Arial" w:cs="Arial"/>
                <w:sz w:val="18"/>
                <w:szCs w:val="18"/>
                <w:vertAlign w:val="superscript"/>
                <w:lang w:eastAsia="en-AU"/>
              </w:rPr>
              <w:t>st</w:t>
            </w:r>
            <w:r w:rsidRPr="00B764CC">
              <w:rPr>
                <w:rFonts w:ascii="Arial" w:eastAsia="Times New Roman" w:hAnsi="Arial" w:cs="Arial"/>
                <w:sz w:val="18"/>
                <w:szCs w:val="18"/>
                <w:lang w:eastAsia="en-AU"/>
              </w:rPr>
              <w:t xml:space="preserve"> January 2011 to 1</w:t>
            </w:r>
            <w:r w:rsidRPr="00B764CC">
              <w:rPr>
                <w:rFonts w:ascii="Arial" w:eastAsia="Times New Roman" w:hAnsi="Arial" w:cs="Arial"/>
                <w:sz w:val="18"/>
                <w:szCs w:val="18"/>
                <w:vertAlign w:val="superscript"/>
                <w:lang w:eastAsia="en-AU"/>
              </w:rPr>
              <w:t>st</w:t>
            </w:r>
            <w:r w:rsidRPr="00B764CC">
              <w:rPr>
                <w:rFonts w:ascii="Arial" w:eastAsia="Times New Roman" w:hAnsi="Arial" w:cs="Arial"/>
                <w:sz w:val="18"/>
                <w:szCs w:val="18"/>
                <w:lang w:eastAsia="en-AU"/>
              </w:rPr>
              <w:t xml:space="preserve"> June 2012.</w:t>
            </w:r>
          </w:p>
        </w:tc>
        <w:tc>
          <w:tcPr>
            <w:tcW w:w="3119" w:type="dxa"/>
          </w:tcPr>
          <w:p w14:paraId="397D2E23"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Population</w:t>
            </w:r>
            <w:r w:rsidRPr="00B764CC">
              <w:rPr>
                <w:rFonts w:ascii="Arial" w:eastAsia="Calibri" w:hAnsi="Arial" w:cs="Arial"/>
                <w:sz w:val="18"/>
                <w:szCs w:val="18"/>
                <w:lang w:eastAsia="en-GB"/>
              </w:rPr>
              <w:t xml:space="preserve">: </w:t>
            </w:r>
          </w:p>
          <w:p w14:paraId="125FD53A"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Persons with advanced illness.</w:t>
            </w:r>
          </w:p>
          <w:p w14:paraId="0183C3C0" w14:textId="77777777" w:rsidR="00B764CC" w:rsidRPr="00B764CC" w:rsidRDefault="00B764CC" w:rsidP="00B764CC">
            <w:pPr>
              <w:spacing w:line="240" w:lineRule="auto"/>
              <w:rPr>
                <w:rFonts w:ascii="Arial" w:eastAsia="Times New Roman" w:hAnsi="Arial" w:cs="Arial"/>
                <w:i/>
                <w:iCs/>
                <w:sz w:val="18"/>
                <w:szCs w:val="18"/>
                <w:lang w:eastAsia="en-AU"/>
              </w:rPr>
            </w:pPr>
          </w:p>
          <w:p w14:paraId="36F960A3" w14:textId="77777777" w:rsidR="00B764CC" w:rsidRPr="00B764CC" w:rsidRDefault="00B764CC" w:rsidP="00B764CC">
            <w:pPr>
              <w:spacing w:line="240" w:lineRule="auto"/>
              <w:rPr>
                <w:rFonts w:ascii="Arial" w:eastAsia="Times New Roman" w:hAnsi="Arial" w:cs="Arial"/>
                <w:i/>
                <w:iCs/>
                <w:sz w:val="18"/>
                <w:szCs w:val="18"/>
                <w:lang w:eastAsia="en-AU"/>
              </w:rPr>
            </w:pPr>
            <w:r w:rsidRPr="00B764CC">
              <w:rPr>
                <w:rFonts w:ascii="Arial" w:eastAsia="Times New Roman" w:hAnsi="Arial" w:cs="Arial"/>
                <w:i/>
                <w:iCs/>
                <w:sz w:val="18"/>
                <w:szCs w:val="18"/>
                <w:lang w:eastAsia="en-AU"/>
              </w:rPr>
              <w:t xml:space="preserve">Sample size: </w:t>
            </w:r>
          </w:p>
          <w:p w14:paraId="17FD166C"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14 articles</w:t>
            </w:r>
          </w:p>
          <w:p w14:paraId="6351FDEE" w14:textId="77777777" w:rsidR="00B764CC" w:rsidRPr="00B764CC" w:rsidRDefault="00B764CC" w:rsidP="00B764CC">
            <w:pPr>
              <w:spacing w:line="240" w:lineRule="auto"/>
              <w:rPr>
                <w:rFonts w:ascii="Arial" w:eastAsia="Times New Roman" w:hAnsi="Arial" w:cs="Arial"/>
                <w:sz w:val="18"/>
                <w:szCs w:val="18"/>
                <w:lang w:eastAsia="en-AU"/>
              </w:rPr>
            </w:pPr>
          </w:p>
          <w:p w14:paraId="5B87855A"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Age</w:t>
            </w:r>
            <w:r w:rsidRPr="00B764CC">
              <w:rPr>
                <w:rFonts w:ascii="Arial" w:eastAsia="Times New Roman" w:hAnsi="Arial" w:cs="Arial"/>
                <w:sz w:val="18"/>
                <w:szCs w:val="18"/>
                <w:lang w:eastAsia="en-AU"/>
              </w:rPr>
              <w:t xml:space="preserve">: </w:t>
            </w:r>
          </w:p>
          <w:p w14:paraId="7913AB21"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Not reported</w:t>
            </w:r>
          </w:p>
          <w:p w14:paraId="0298FE3D" w14:textId="77777777" w:rsidR="00B764CC" w:rsidRPr="00B764CC" w:rsidRDefault="00B764CC" w:rsidP="00B764CC">
            <w:pPr>
              <w:spacing w:line="240" w:lineRule="auto"/>
              <w:rPr>
                <w:rFonts w:ascii="Arial" w:eastAsia="Times New Roman" w:hAnsi="Arial" w:cs="Arial"/>
                <w:sz w:val="18"/>
                <w:szCs w:val="18"/>
                <w:lang w:eastAsia="en-AU"/>
              </w:rPr>
            </w:pPr>
          </w:p>
          <w:p w14:paraId="425E1758"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Gender</w:t>
            </w:r>
            <w:r w:rsidRPr="00B764CC">
              <w:rPr>
                <w:rFonts w:ascii="Arial" w:eastAsia="Times New Roman" w:hAnsi="Arial" w:cs="Arial"/>
                <w:sz w:val="18"/>
                <w:szCs w:val="18"/>
                <w:lang w:eastAsia="en-AU"/>
              </w:rPr>
              <w:t xml:space="preserve">: </w:t>
            </w:r>
          </w:p>
          <w:p w14:paraId="2EB252C1"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sz w:val="18"/>
                <w:szCs w:val="18"/>
                <w:lang w:eastAsia="en-AU"/>
              </w:rPr>
              <w:t>Not reported</w:t>
            </w:r>
          </w:p>
          <w:p w14:paraId="0A1D810C" w14:textId="77777777" w:rsidR="00B764CC" w:rsidRPr="00B764CC" w:rsidRDefault="00B764CC" w:rsidP="00B764CC">
            <w:pPr>
              <w:spacing w:line="240" w:lineRule="auto"/>
              <w:rPr>
                <w:rFonts w:ascii="Arial" w:eastAsia="Times New Roman" w:hAnsi="Arial" w:cs="Arial"/>
                <w:i/>
                <w:iCs/>
                <w:sz w:val="18"/>
                <w:szCs w:val="18"/>
                <w:lang w:eastAsia="en-AU"/>
              </w:rPr>
            </w:pPr>
          </w:p>
          <w:p w14:paraId="28EC4F0D"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Times New Roman" w:hAnsi="Arial" w:cs="Arial"/>
                <w:i/>
                <w:iCs/>
                <w:sz w:val="18"/>
                <w:szCs w:val="18"/>
                <w:lang w:eastAsia="en-AU"/>
              </w:rPr>
              <w:t>Setting</w:t>
            </w:r>
            <w:r w:rsidRPr="00B764CC">
              <w:rPr>
                <w:rFonts w:ascii="Arial" w:eastAsia="Times New Roman" w:hAnsi="Arial" w:cs="Arial"/>
                <w:sz w:val="18"/>
                <w:szCs w:val="18"/>
                <w:lang w:eastAsia="en-AU"/>
              </w:rPr>
              <w:t xml:space="preserve">: </w:t>
            </w:r>
          </w:p>
          <w:p w14:paraId="0CA16737" w14:textId="77777777" w:rsidR="00B764CC" w:rsidRPr="00B764CC" w:rsidRDefault="00B764CC" w:rsidP="00B764CC">
            <w:pPr>
              <w:spacing w:line="240" w:lineRule="auto"/>
              <w:rPr>
                <w:rFonts w:ascii="Arial" w:eastAsia="Times New Roman" w:hAnsi="Arial" w:cs="Arial"/>
                <w:sz w:val="18"/>
                <w:szCs w:val="18"/>
                <w:lang w:eastAsia="en-AU"/>
              </w:rPr>
            </w:pPr>
            <w:r w:rsidRPr="00B764CC">
              <w:rPr>
                <w:rFonts w:ascii="Arial" w:eastAsia="Calibri" w:hAnsi="Arial" w:cs="Arial"/>
                <w:color w:val="000000"/>
                <w:sz w:val="18"/>
                <w:szCs w:val="18"/>
                <w:lang w:eastAsia="en-GB"/>
              </w:rPr>
              <w:t>Acute care, intensive care, long-term care, palliative care, hospice care.</w:t>
            </w:r>
          </w:p>
        </w:tc>
        <w:tc>
          <w:tcPr>
            <w:tcW w:w="2976" w:type="dxa"/>
          </w:tcPr>
          <w:p w14:paraId="27015304" w14:textId="77777777" w:rsidR="00B764CC" w:rsidRPr="00B764CC" w:rsidRDefault="00B764CC" w:rsidP="00B764CC">
            <w:pPr>
              <w:spacing w:line="240" w:lineRule="auto"/>
              <w:rPr>
                <w:rFonts w:ascii="Arial" w:eastAsia="Times New Roman" w:hAnsi="Arial" w:cs="Arial"/>
                <w:i/>
                <w:iCs/>
                <w:sz w:val="18"/>
                <w:szCs w:val="18"/>
              </w:rPr>
            </w:pPr>
            <w:r w:rsidRPr="00B764CC">
              <w:rPr>
                <w:rFonts w:ascii="Arial" w:eastAsia="Times New Roman" w:hAnsi="Arial" w:cs="Arial"/>
                <w:i/>
                <w:iCs/>
                <w:sz w:val="18"/>
                <w:szCs w:val="18"/>
              </w:rPr>
              <w:t>Pressure injury risk assessment tool:</w:t>
            </w:r>
          </w:p>
          <w:p w14:paraId="78DA9678" w14:textId="77777777" w:rsidR="00B764CC" w:rsidRPr="00B764CC" w:rsidRDefault="00B764CC">
            <w:pPr>
              <w:numPr>
                <w:ilvl w:val="0"/>
                <w:numId w:val="5"/>
              </w:numPr>
              <w:spacing w:line="240" w:lineRule="auto"/>
              <w:contextualSpacing/>
              <w:rPr>
                <w:rFonts w:ascii="Arial" w:eastAsia="Times New Roman" w:hAnsi="Arial" w:cs="Arial"/>
                <w:sz w:val="18"/>
                <w:szCs w:val="18"/>
              </w:rPr>
            </w:pPr>
            <w:r w:rsidRPr="00B764CC">
              <w:rPr>
                <w:rFonts w:ascii="Arial" w:eastAsia="Times New Roman" w:hAnsi="Arial" w:cs="Arial"/>
                <w:sz w:val="18"/>
                <w:szCs w:val="18"/>
              </w:rPr>
              <w:t>Braden Scale</w:t>
            </w:r>
          </w:p>
          <w:p w14:paraId="74CB6783" w14:textId="77777777" w:rsidR="00B764CC" w:rsidRPr="00B764CC" w:rsidRDefault="00B764CC">
            <w:pPr>
              <w:numPr>
                <w:ilvl w:val="0"/>
                <w:numId w:val="5"/>
              </w:numPr>
              <w:spacing w:line="240" w:lineRule="auto"/>
              <w:contextualSpacing/>
              <w:rPr>
                <w:rFonts w:ascii="Arial" w:eastAsia="Times New Roman" w:hAnsi="Arial" w:cs="Arial"/>
                <w:sz w:val="18"/>
                <w:szCs w:val="18"/>
              </w:rPr>
            </w:pPr>
            <w:r w:rsidRPr="00B764CC">
              <w:rPr>
                <w:rFonts w:ascii="Arial" w:eastAsia="Times New Roman" w:hAnsi="Arial" w:cs="Arial"/>
                <w:sz w:val="18"/>
                <w:szCs w:val="18"/>
              </w:rPr>
              <w:t>Pressure Sore Risk Assessment Scale for palliative care</w:t>
            </w:r>
          </w:p>
          <w:p w14:paraId="3A4EF86A" w14:textId="77777777" w:rsidR="00B764CC" w:rsidRPr="00B764CC" w:rsidRDefault="00B764CC" w:rsidP="00B764CC">
            <w:pPr>
              <w:spacing w:line="240" w:lineRule="auto"/>
              <w:rPr>
                <w:rFonts w:ascii="Arial" w:eastAsia="Times New Roman" w:hAnsi="Arial" w:cs="Arial"/>
                <w:i/>
                <w:iCs/>
                <w:sz w:val="18"/>
                <w:szCs w:val="18"/>
              </w:rPr>
            </w:pPr>
          </w:p>
          <w:p w14:paraId="029CBCAC"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i/>
                <w:iCs/>
                <w:sz w:val="18"/>
                <w:szCs w:val="18"/>
                <w:lang w:eastAsia="en-GB"/>
              </w:rPr>
              <w:t>Other clinical assessments for PI risk</w:t>
            </w:r>
            <w:r w:rsidRPr="00B764CC">
              <w:rPr>
                <w:rFonts w:ascii="Arial" w:eastAsia="Calibri" w:hAnsi="Arial" w:cs="Arial"/>
                <w:sz w:val="18"/>
                <w:szCs w:val="18"/>
                <w:lang w:eastAsia="en-GB"/>
              </w:rPr>
              <w:t xml:space="preserve">: </w:t>
            </w:r>
          </w:p>
          <w:p w14:paraId="51FED4DF" w14:textId="77777777" w:rsidR="00B764CC" w:rsidRPr="00B764CC" w:rsidRDefault="00B764CC">
            <w:pPr>
              <w:numPr>
                <w:ilvl w:val="0"/>
                <w:numId w:val="5"/>
              </w:numPr>
              <w:spacing w:line="240" w:lineRule="auto"/>
              <w:contextualSpacing/>
              <w:rPr>
                <w:rFonts w:ascii="Arial" w:eastAsia="Times New Roman" w:hAnsi="Arial" w:cs="Arial"/>
                <w:sz w:val="18"/>
                <w:szCs w:val="18"/>
              </w:rPr>
            </w:pPr>
            <w:r w:rsidRPr="00B764CC">
              <w:rPr>
                <w:rFonts w:ascii="Arial" w:eastAsia="Times New Roman" w:hAnsi="Arial" w:cs="Arial"/>
                <w:sz w:val="18"/>
                <w:szCs w:val="18"/>
              </w:rPr>
              <w:t>Palliative Performance Scale</w:t>
            </w:r>
          </w:p>
        </w:tc>
        <w:tc>
          <w:tcPr>
            <w:tcW w:w="4622" w:type="dxa"/>
          </w:tcPr>
          <w:p w14:paraId="3839464E" w14:textId="77777777" w:rsidR="00B764CC" w:rsidRPr="00B764CC" w:rsidRDefault="00B764CC" w:rsidP="00B764CC">
            <w:pPr>
              <w:spacing w:line="240" w:lineRule="auto"/>
              <w:rPr>
                <w:rFonts w:ascii="Arial" w:eastAsia="Times New Roman" w:hAnsi="Arial" w:cs="Arial"/>
                <w:sz w:val="18"/>
                <w:szCs w:val="18"/>
              </w:rPr>
            </w:pPr>
            <w:r w:rsidRPr="00B764CC">
              <w:rPr>
                <w:rFonts w:ascii="Arial" w:eastAsia="Times New Roman" w:hAnsi="Arial" w:cs="Arial"/>
                <w:i/>
                <w:iCs/>
                <w:sz w:val="18"/>
                <w:szCs w:val="18"/>
              </w:rPr>
              <w:t>Key findings</w:t>
            </w:r>
            <w:r w:rsidRPr="00B764CC">
              <w:rPr>
                <w:rFonts w:ascii="Arial" w:eastAsia="Times New Roman" w:hAnsi="Arial" w:cs="Arial"/>
                <w:sz w:val="18"/>
                <w:szCs w:val="18"/>
              </w:rPr>
              <w:t>:</w:t>
            </w:r>
          </w:p>
          <w:p w14:paraId="084B0045" w14:textId="77777777" w:rsidR="00B764CC" w:rsidRPr="00B764CC" w:rsidRDefault="00B764CC" w:rsidP="00B764CC">
            <w:pPr>
              <w:spacing w:line="240" w:lineRule="auto"/>
              <w:rPr>
                <w:rFonts w:ascii="Arial" w:eastAsia="Calibri" w:hAnsi="Arial" w:cs="Arial"/>
                <w:sz w:val="18"/>
                <w:szCs w:val="18"/>
                <w:lang w:eastAsia="en-GB"/>
              </w:rPr>
            </w:pPr>
            <w:r w:rsidRPr="00B764CC">
              <w:rPr>
                <w:rFonts w:ascii="Arial" w:eastAsia="Calibri" w:hAnsi="Arial" w:cs="Arial"/>
                <w:sz w:val="18"/>
                <w:szCs w:val="18"/>
                <w:lang w:eastAsia="en-GB"/>
              </w:rPr>
              <w:t>Of the 14 articles, only 4 articles included a risk assessment as a PI preventive strategy. One review supported the use of the Braden Scale or Pressure Sore Risk Assessment Scale for palliative care as quality predictors for PI development in the advanced illness population. One study found a positive correlation between the Palliative Performance Scale and the Braden Scale. The Palliative Performance Scale may be used as a proxy for the Braden Scale in patients in advanced illness.</w:t>
            </w:r>
          </w:p>
        </w:tc>
      </w:tr>
    </w:tbl>
    <w:p w14:paraId="42324D66" w14:textId="77777777" w:rsidR="00B764CC" w:rsidRPr="00B764CC" w:rsidRDefault="00B764CC" w:rsidP="00B764CC">
      <w:pPr>
        <w:spacing w:line="240" w:lineRule="auto"/>
        <w:rPr>
          <w:rFonts w:eastAsia="Calibri" w:cs="Arial"/>
          <w:sz w:val="18"/>
          <w:szCs w:val="18"/>
          <w:lang w:eastAsia="en-GB"/>
        </w:rPr>
      </w:pPr>
    </w:p>
    <w:p w14:paraId="7F69957B" w14:textId="77777777" w:rsidR="00BD4802" w:rsidRPr="00BD4802" w:rsidRDefault="00BD4802" w:rsidP="00BD4802">
      <w:pPr>
        <w:tabs>
          <w:tab w:val="left" w:pos="2936"/>
        </w:tabs>
        <w:spacing w:line="240" w:lineRule="auto"/>
        <w:rPr>
          <w:rFonts w:eastAsia="Calibri" w:cs="Arial"/>
          <w:b w:val="0"/>
          <w:bCs/>
          <w:sz w:val="18"/>
          <w:szCs w:val="18"/>
          <w:lang w:eastAsia="en-GB"/>
        </w:rPr>
      </w:pPr>
    </w:p>
    <w:p w14:paraId="10989C7A" w14:textId="77777777" w:rsidR="00BD4802" w:rsidRPr="00BD4802" w:rsidRDefault="00BD4802" w:rsidP="00BD4802">
      <w:pPr>
        <w:tabs>
          <w:tab w:val="left" w:pos="2936"/>
        </w:tabs>
        <w:spacing w:line="240" w:lineRule="auto"/>
        <w:rPr>
          <w:rFonts w:eastAsia="Calibri" w:cs="Arial"/>
          <w:b w:val="0"/>
          <w:bCs/>
          <w:sz w:val="18"/>
          <w:szCs w:val="18"/>
          <w:lang w:eastAsia="en-GB"/>
        </w:rPr>
      </w:pPr>
      <w:r w:rsidRPr="00BD4802">
        <w:rPr>
          <w:rFonts w:eastAsia="Calibri" w:cs="Arial"/>
          <w:b w:val="0"/>
          <w:bCs/>
          <w:sz w:val="18"/>
          <w:szCs w:val="18"/>
          <w:lang w:eastAsia="en-GB"/>
        </w:rPr>
        <w:t>BMI: Body mass index</w:t>
      </w:r>
    </w:p>
    <w:p w14:paraId="49B7B37C" w14:textId="77777777" w:rsidR="00BD4802" w:rsidRDefault="00BD4802" w:rsidP="00BD4802">
      <w:pPr>
        <w:tabs>
          <w:tab w:val="left" w:pos="2936"/>
        </w:tabs>
        <w:spacing w:line="240" w:lineRule="auto"/>
        <w:rPr>
          <w:rFonts w:eastAsia="Calibri" w:cs="Arial"/>
          <w:b w:val="0"/>
          <w:bCs/>
          <w:sz w:val="18"/>
          <w:szCs w:val="18"/>
          <w:lang w:eastAsia="en-GB"/>
        </w:rPr>
      </w:pPr>
      <w:r w:rsidRPr="00BD4802">
        <w:rPr>
          <w:rFonts w:eastAsia="Calibri" w:cs="Arial"/>
          <w:b w:val="0"/>
          <w:bCs/>
          <w:sz w:val="18"/>
          <w:szCs w:val="18"/>
          <w:lang w:eastAsia="en-GB"/>
        </w:rPr>
        <w:t>N/A: Not applicable</w:t>
      </w:r>
    </w:p>
    <w:p w14:paraId="26978DE0" w14:textId="6051CDB2" w:rsidR="004B0EB3" w:rsidRPr="00BD4802" w:rsidRDefault="004B0EB3" w:rsidP="00BD4802">
      <w:pPr>
        <w:tabs>
          <w:tab w:val="left" w:pos="2936"/>
        </w:tabs>
        <w:spacing w:line="240" w:lineRule="auto"/>
        <w:rPr>
          <w:rFonts w:eastAsia="Calibri" w:cs="Arial"/>
          <w:b w:val="0"/>
          <w:bCs/>
          <w:sz w:val="18"/>
          <w:szCs w:val="18"/>
          <w:lang w:eastAsia="en-GB"/>
        </w:rPr>
      </w:pPr>
      <w:r>
        <w:rPr>
          <w:rFonts w:eastAsia="Calibri" w:cs="Arial"/>
          <w:b w:val="0"/>
          <w:bCs/>
          <w:sz w:val="18"/>
          <w:szCs w:val="18"/>
          <w:lang w:eastAsia="en-GB"/>
        </w:rPr>
        <w:t>OS: Overall survival</w:t>
      </w:r>
    </w:p>
    <w:p w14:paraId="276D7A9C" w14:textId="77777777" w:rsidR="00BD4802" w:rsidRPr="00BD4802" w:rsidRDefault="00BD4802" w:rsidP="00BD4802">
      <w:pPr>
        <w:tabs>
          <w:tab w:val="left" w:pos="2936"/>
        </w:tabs>
        <w:spacing w:line="240" w:lineRule="auto"/>
        <w:rPr>
          <w:rFonts w:eastAsia="Calibri" w:cs="Arial"/>
          <w:b w:val="0"/>
          <w:bCs/>
          <w:sz w:val="18"/>
          <w:szCs w:val="18"/>
          <w:lang w:eastAsia="en-GB"/>
        </w:rPr>
      </w:pPr>
      <w:r w:rsidRPr="00BD4802">
        <w:rPr>
          <w:rFonts w:eastAsia="Calibri" w:cs="Arial"/>
          <w:b w:val="0"/>
          <w:bCs/>
          <w:sz w:val="18"/>
          <w:szCs w:val="18"/>
          <w:lang w:eastAsia="en-GB"/>
        </w:rPr>
        <w:t>PCU: Palliative care unit</w:t>
      </w:r>
    </w:p>
    <w:p w14:paraId="2E056EFE" w14:textId="77777777" w:rsidR="00BD4802" w:rsidRPr="00BD4802" w:rsidRDefault="00BD4802" w:rsidP="00BD4802">
      <w:pPr>
        <w:tabs>
          <w:tab w:val="left" w:pos="2936"/>
        </w:tabs>
        <w:spacing w:line="240" w:lineRule="auto"/>
        <w:rPr>
          <w:rFonts w:eastAsia="Calibri" w:cs="Arial"/>
          <w:b w:val="0"/>
          <w:bCs/>
          <w:sz w:val="18"/>
          <w:szCs w:val="18"/>
          <w:lang w:eastAsia="en-GB"/>
        </w:rPr>
      </w:pPr>
      <w:r w:rsidRPr="00BD4802">
        <w:rPr>
          <w:rFonts w:eastAsia="Calibri" w:cs="Arial"/>
          <w:b w:val="0"/>
          <w:bCs/>
          <w:sz w:val="18"/>
          <w:szCs w:val="18"/>
          <w:lang w:eastAsia="en-GB"/>
        </w:rPr>
        <w:t>PI: Pressure injury</w:t>
      </w:r>
    </w:p>
    <w:p w14:paraId="217FC238" w14:textId="77777777" w:rsidR="00BD4802" w:rsidRPr="00BD4802" w:rsidRDefault="00BD4802" w:rsidP="00BD4802">
      <w:pPr>
        <w:tabs>
          <w:tab w:val="left" w:pos="2936"/>
        </w:tabs>
        <w:spacing w:line="240" w:lineRule="auto"/>
        <w:rPr>
          <w:rFonts w:eastAsia="Calibri" w:cs="Arial"/>
          <w:b w:val="0"/>
          <w:bCs/>
          <w:sz w:val="18"/>
          <w:szCs w:val="18"/>
          <w:lang w:eastAsia="en-GB"/>
        </w:rPr>
      </w:pPr>
      <w:r w:rsidRPr="00BD4802">
        <w:rPr>
          <w:rFonts w:eastAsia="Calibri" w:cs="Arial"/>
          <w:b w:val="0"/>
          <w:bCs/>
          <w:sz w:val="18"/>
          <w:szCs w:val="18"/>
          <w:lang w:eastAsia="en-GB"/>
        </w:rPr>
        <w:t>PrU: Pressure ulcer</w:t>
      </w:r>
    </w:p>
    <w:p w14:paraId="3D4A9DCF" w14:textId="77777777" w:rsidR="00BD4802" w:rsidRPr="00BD4802" w:rsidRDefault="00BD4802" w:rsidP="00BD4802">
      <w:pPr>
        <w:tabs>
          <w:tab w:val="left" w:pos="2936"/>
        </w:tabs>
        <w:spacing w:line="240" w:lineRule="auto"/>
        <w:rPr>
          <w:rFonts w:eastAsia="Calibri" w:cs="Arial"/>
          <w:b w:val="0"/>
          <w:bCs/>
          <w:sz w:val="18"/>
          <w:szCs w:val="18"/>
          <w:lang w:eastAsia="en-GB"/>
        </w:rPr>
      </w:pPr>
      <w:r w:rsidRPr="00BD4802">
        <w:rPr>
          <w:rFonts w:eastAsia="Calibri" w:cs="Arial"/>
          <w:b w:val="0"/>
          <w:bCs/>
          <w:sz w:val="18"/>
          <w:szCs w:val="18"/>
          <w:lang w:eastAsia="en-GB"/>
        </w:rPr>
        <w:t>PU: Pressure ulcer</w:t>
      </w:r>
    </w:p>
    <w:p w14:paraId="7294E244" w14:textId="77777777" w:rsidR="00BD4802" w:rsidRPr="00BD4802" w:rsidRDefault="00BD4802" w:rsidP="00BD4802">
      <w:pPr>
        <w:tabs>
          <w:tab w:val="left" w:pos="2936"/>
        </w:tabs>
        <w:spacing w:line="240" w:lineRule="auto"/>
        <w:rPr>
          <w:rFonts w:eastAsia="Calibri" w:cs="Arial"/>
          <w:b w:val="0"/>
          <w:bCs/>
          <w:sz w:val="18"/>
          <w:szCs w:val="18"/>
          <w:lang w:eastAsia="en-GB"/>
        </w:rPr>
      </w:pPr>
      <w:r w:rsidRPr="00BD4802">
        <w:rPr>
          <w:rFonts w:eastAsia="Calibri" w:cs="Arial"/>
          <w:b w:val="0"/>
          <w:bCs/>
          <w:sz w:val="18"/>
          <w:szCs w:val="18"/>
          <w:lang w:eastAsia="en-GB"/>
        </w:rPr>
        <w:t>RAPS: Risk Assessment Pressure Sore</w:t>
      </w:r>
    </w:p>
    <w:p w14:paraId="686CC2E3" w14:textId="54B94343" w:rsidR="00B764CC" w:rsidRPr="00B764CC" w:rsidRDefault="00BD4802" w:rsidP="00BD4802">
      <w:pPr>
        <w:tabs>
          <w:tab w:val="left" w:pos="2936"/>
        </w:tabs>
        <w:spacing w:line="240" w:lineRule="auto"/>
        <w:rPr>
          <w:rFonts w:eastAsia="Calibri" w:cs="Arial"/>
          <w:b w:val="0"/>
          <w:bCs/>
          <w:sz w:val="18"/>
          <w:szCs w:val="18"/>
          <w:lang w:eastAsia="en-GB"/>
        </w:rPr>
      </w:pPr>
      <w:r w:rsidRPr="00BD4802">
        <w:rPr>
          <w:rFonts w:eastAsia="Calibri" w:cs="Arial"/>
          <w:b w:val="0"/>
          <w:bCs/>
          <w:sz w:val="18"/>
          <w:szCs w:val="18"/>
          <w:lang w:eastAsia="en-GB"/>
        </w:rPr>
        <w:t>UK: United Kingdom</w:t>
      </w:r>
    </w:p>
    <w:p w14:paraId="0CBC7796" w14:textId="77777777" w:rsidR="00000000" w:rsidRPr="00B764CC" w:rsidRDefault="00000000" w:rsidP="00B764CC">
      <w:pPr>
        <w:rPr>
          <w:rFonts w:cs="Arial"/>
          <w:sz w:val="18"/>
          <w:szCs w:val="18"/>
        </w:rPr>
      </w:pPr>
    </w:p>
    <w:sectPr w:rsidR="00FE5048" w:rsidRPr="00B764CC" w:rsidSect="00B764CC">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05E6D" w14:textId="77777777" w:rsidR="00657920" w:rsidRDefault="00657920" w:rsidP="00EB0F0E">
      <w:pPr>
        <w:spacing w:line="240" w:lineRule="auto"/>
      </w:pPr>
      <w:r>
        <w:separator/>
      </w:r>
    </w:p>
  </w:endnote>
  <w:endnote w:type="continuationSeparator" w:id="0">
    <w:p w14:paraId="4E93D032" w14:textId="77777777" w:rsidR="00657920" w:rsidRDefault="00657920" w:rsidP="00EB0F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val="0"/>
        <w:bCs w:val="0"/>
        <w:sz w:val="24"/>
        <w:szCs w:val="24"/>
      </w:rPr>
      <w:id w:val="-1739779330"/>
      <w:docPartObj>
        <w:docPartGallery w:val="Page Numbers (Bottom of Page)"/>
        <w:docPartUnique/>
      </w:docPartObj>
    </w:sdtPr>
    <w:sdtEndPr>
      <w:rPr>
        <w:noProof/>
      </w:rPr>
    </w:sdtEndPr>
    <w:sdtContent>
      <w:p w14:paraId="6E1E12AE" w14:textId="4F6419B3" w:rsidR="00EB0F0E" w:rsidRPr="00EB0F0E" w:rsidRDefault="00EB0F0E" w:rsidP="00EB0F0E">
        <w:pPr>
          <w:pStyle w:val="Footer"/>
          <w:jc w:val="right"/>
          <w:rPr>
            <w:b w:val="0"/>
            <w:bCs w:val="0"/>
            <w:sz w:val="24"/>
            <w:szCs w:val="24"/>
          </w:rPr>
        </w:pPr>
        <w:r w:rsidRPr="00EB0F0E">
          <w:rPr>
            <w:b w:val="0"/>
            <w:bCs w:val="0"/>
            <w:sz w:val="24"/>
            <w:szCs w:val="24"/>
          </w:rPr>
          <w:fldChar w:fldCharType="begin"/>
        </w:r>
        <w:r w:rsidRPr="00EB0F0E">
          <w:rPr>
            <w:b w:val="0"/>
            <w:bCs w:val="0"/>
            <w:sz w:val="24"/>
            <w:szCs w:val="24"/>
          </w:rPr>
          <w:instrText xml:space="preserve"> PAGE   \* MERGEFORMAT </w:instrText>
        </w:r>
        <w:r w:rsidRPr="00EB0F0E">
          <w:rPr>
            <w:b w:val="0"/>
            <w:bCs w:val="0"/>
            <w:sz w:val="24"/>
            <w:szCs w:val="24"/>
          </w:rPr>
          <w:fldChar w:fldCharType="separate"/>
        </w:r>
        <w:r w:rsidRPr="00EB0F0E">
          <w:rPr>
            <w:b w:val="0"/>
            <w:bCs w:val="0"/>
            <w:noProof/>
            <w:sz w:val="24"/>
            <w:szCs w:val="24"/>
          </w:rPr>
          <w:t>2</w:t>
        </w:r>
        <w:r w:rsidRPr="00EB0F0E">
          <w:rPr>
            <w:b w:val="0"/>
            <w:bCs w:val="0"/>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84F6A" w14:textId="77777777" w:rsidR="00657920" w:rsidRDefault="00657920" w:rsidP="00EB0F0E">
      <w:pPr>
        <w:spacing w:line="240" w:lineRule="auto"/>
      </w:pPr>
      <w:r>
        <w:separator/>
      </w:r>
    </w:p>
  </w:footnote>
  <w:footnote w:type="continuationSeparator" w:id="0">
    <w:p w14:paraId="0BF22F41" w14:textId="77777777" w:rsidR="00657920" w:rsidRDefault="00657920" w:rsidP="00EB0F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340D5"/>
    <w:multiLevelType w:val="hybridMultilevel"/>
    <w:tmpl w:val="DA3EFEE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9BB4FE8"/>
    <w:multiLevelType w:val="hybridMultilevel"/>
    <w:tmpl w:val="3088360E"/>
    <w:lvl w:ilvl="0" w:tplc="BE821FB8">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445674"/>
    <w:multiLevelType w:val="hybridMultilevel"/>
    <w:tmpl w:val="55588226"/>
    <w:lvl w:ilvl="0" w:tplc="0C22BE2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A9E5D3C"/>
    <w:multiLevelType w:val="hybridMultilevel"/>
    <w:tmpl w:val="45FE95B4"/>
    <w:lvl w:ilvl="0" w:tplc="BE821FB8">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7B7769"/>
    <w:multiLevelType w:val="hybridMultilevel"/>
    <w:tmpl w:val="371A3E76"/>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03E2770"/>
    <w:multiLevelType w:val="hybridMultilevel"/>
    <w:tmpl w:val="4F20F06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2B376B6"/>
    <w:multiLevelType w:val="hybridMultilevel"/>
    <w:tmpl w:val="DC1A59B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5864C1F"/>
    <w:multiLevelType w:val="hybridMultilevel"/>
    <w:tmpl w:val="FB6C1152"/>
    <w:lvl w:ilvl="0" w:tplc="0C22BE2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F643B7"/>
    <w:multiLevelType w:val="hybridMultilevel"/>
    <w:tmpl w:val="93DE0EB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FDE55EB"/>
    <w:multiLevelType w:val="hybridMultilevel"/>
    <w:tmpl w:val="B5922ED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3042684"/>
    <w:multiLevelType w:val="hybridMultilevel"/>
    <w:tmpl w:val="728CC2AC"/>
    <w:lvl w:ilvl="0" w:tplc="E482CAD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46854EB"/>
    <w:multiLevelType w:val="hybridMultilevel"/>
    <w:tmpl w:val="449810A6"/>
    <w:lvl w:ilvl="0" w:tplc="F6360E7C">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CD80C37"/>
    <w:multiLevelType w:val="hybridMultilevel"/>
    <w:tmpl w:val="EBF482A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00314FA"/>
    <w:multiLevelType w:val="hybridMultilevel"/>
    <w:tmpl w:val="CAAEFD8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4FF4C7D"/>
    <w:multiLevelType w:val="hybridMultilevel"/>
    <w:tmpl w:val="2F02ECE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01433251">
    <w:abstractNumId w:val="1"/>
  </w:num>
  <w:num w:numId="2" w16cid:durableId="1957717132">
    <w:abstractNumId w:val="3"/>
  </w:num>
  <w:num w:numId="3" w16cid:durableId="1888953046">
    <w:abstractNumId w:val="2"/>
  </w:num>
  <w:num w:numId="4" w16cid:durableId="407508293">
    <w:abstractNumId w:val="7"/>
  </w:num>
  <w:num w:numId="5" w16cid:durableId="758404814">
    <w:abstractNumId w:val="4"/>
  </w:num>
  <w:num w:numId="6" w16cid:durableId="1479763145">
    <w:abstractNumId w:val="8"/>
  </w:num>
  <w:num w:numId="7" w16cid:durableId="1193878062">
    <w:abstractNumId w:val="10"/>
  </w:num>
  <w:num w:numId="8" w16cid:durableId="1088576310">
    <w:abstractNumId w:val="5"/>
  </w:num>
  <w:num w:numId="9" w16cid:durableId="2107843721">
    <w:abstractNumId w:val="13"/>
  </w:num>
  <w:num w:numId="10" w16cid:durableId="1129519936">
    <w:abstractNumId w:val="0"/>
  </w:num>
  <w:num w:numId="11" w16cid:durableId="752358877">
    <w:abstractNumId w:val="11"/>
  </w:num>
  <w:num w:numId="12" w16cid:durableId="1668632014">
    <w:abstractNumId w:val="12"/>
  </w:num>
  <w:num w:numId="13" w16cid:durableId="352223100">
    <w:abstractNumId w:val="9"/>
  </w:num>
  <w:num w:numId="14" w16cid:durableId="160698733">
    <w:abstractNumId w:val="6"/>
  </w:num>
  <w:num w:numId="15" w16cid:durableId="81534072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AxMTc0MDAwNjA2MTJX0lEKTi0uzszPAykwqgUAR0ClFCwAAAA="/>
  </w:docVars>
  <w:rsids>
    <w:rsidRoot w:val="00B764CC"/>
    <w:rsid w:val="000B2F3E"/>
    <w:rsid w:val="001B09B8"/>
    <w:rsid w:val="00255214"/>
    <w:rsid w:val="003E53EE"/>
    <w:rsid w:val="004A4CCD"/>
    <w:rsid w:val="004B0EB3"/>
    <w:rsid w:val="004B75B6"/>
    <w:rsid w:val="004E559B"/>
    <w:rsid w:val="00657920"/>
    <w:rsid w:val="006A0049"/>
    <w:rsid w:val="007D0C77"/>
    <w:rsid w:val="00B5654E"/>
    <w:rsid w:val="00B764CC"/>
    <w:rsid w:val="00BD4802"/>
    <w:rsid w:val="00E7546A"/>
    <w:rsid w:val="00EB0F0E"/>
    <w:rsid w:val="00F514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C5B1A"/>
  <w15:chartTrackingRefBased/>
  <w15:docId w15:val="{DAF9162E-AD7E-4AE5-A803-2B9F4ED7C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b/>
        <w:sz w:val="26"/>
        <w:szCs w:val="26"/>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049"/>
    <w:pPr>
      <w:spacing w:after="0" w:line="360" w:lineRule="auto"/>
    </w:pPr>
  </w:style>
  <w:style w:type="paragraph" w:styleId="Heading1">
    <w:name w:val="heading 1"/>
    <w:basedOn w:val="Heading2"/>
    <w:next w:val="Normal"/>
    <w:link w:val="Heading1Char"/>
    <w:autoRedefine/>
    <w:uiPriority w:val="9"/>
    <w:qFormat/>
    <w:rsid w:val="004E559B"/>
    <w:pPr>
      <w:ind w:left="0"/>
      <w:outlineLvl w:val="0"/>
    </w:pPr>
  </w:style>
  <w:style w:type="paragraph" w:styleId="Heading2">
    <w:name w:val="heading 2"/>
    <w:basedOn w:val="Normal"/>
    <w:next w:val="Normal"/>
    <w:link w:val="Heading2Char"/>
    <w:autoRedefine/>
    <w:uiPriority w:val="9"/>
    <w:unhideWhenUsed/>
    <w:qFormat/>
    <w:rsid w:val="004E559B"/>
    <w:pPr>
      <w:keepNext/>
      <w:keepLines/>
      <w:spacing w:before="100" w:beforeAutospacing="1" w:after="100" w:afterAutospacing="1"/>
      <w:ind w:left="284"/>
      <w:outlineLvl w:val="1"/>
    </w:pPr>
    <w:rPr>
      <w:rFonts w:eastAsia="Times New Roman"/>
    </w:rPr>
  </w:style>
  <w:style w:type="paragraph" w:styleId="Heading3">
    <w:name w:val="heading 3"/>
    <w:basedOn w:val="Heading2"/>
    <w:next w:val="Normal"/>
    <w:link w:val="Heading3Char"/>
    <w:autoRedefine/>
    <w:uiPriority w:val="9"/>
    <w:unhideWhenUsed/>
    <w:qFormat/>
    <w:rsid w:val="004E559B"/>
    <w:pPr>
      <w:ind w:left="567"/>
      <w:outlineLvl w:val="2"/>
    </w:pPr>
  </w:style>
  <w:style w:type="paragraph" w:styleId="Heading4">
    <w:name w:val="heading 4"/>
    <w:basedOn w:val="Normal"/>
    <w:next w:val="Normal"/>
    <w:link w:val="Heading4Char"/>
    <w:autoRedefine/>
    <w:uiPriority w:val="9"/>
    <w:unhideWhenUsed/>
    <w:qFormat/>
    <w:rsid w:val="00B764CC"/>
    <w:pPr>
      <w:keepNext/>
      <w:keepLines/>
      <w:spacing w:before="100" w:beforeAutospacing="1" w:after="100" w:afterAutospacing="1"/>
      <w:outlineLvl w:val="3"/>
    </w:pPr>
    <w:rPr>
      <w:rFonts w:eastAsia="Times New Roman"/>
      <w:bCs/>
      <w:i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E559B"/>
    <w:rPr>
      <w:rFonts w:eastAsia="Times New Roman"/>
      <w:b w:val="0"/>
      <w:sz w:val="26"/>
      <w:szCs w:val="26"/>
    </w:rPr>
  </w:style>
  <w:style w:type="paragraph" w:styleId="Title">
    <w:name w:val="Title"/>
    <w:basedOn w:val="Normal"/>
    <w:next w:val="Normal"/>
    <w:link w:val="TitleChar"/>
    <w:uiPriority w:val="10"/>
    <w:qFormat/>
    <w:rsid w:val="00F51487"/>
    <w:pPr>
      <w:spacing w:line="240" w:lineRule="auto"/>
      <w:contextualSpacing/>
    </w:pPr>
    <w:rPr>
      <w:rFonts w:eastAsiaTheme="majorEastAsia"/>
      <w:spacing w:val="-10"/>
      <w:kern w:val="28"/>
      <w:sz w:val="32"/>
      <w:szCs w:val="56"/>
    </w:rPr>
  </w:style>
  <w:style w:type="character" w:customStyle="1" w:styleId="TitleChar">
    <w:name w:val="Title Char"/>
    <w:basedOn w:val="DefaultParagraphFont"/>
    <w:link w:val="Title"/>
    <w:uiPriority w:val="10"/>
    <w:rsid w:val="00F51487"/>
    <w:rPr>
      <w:rFonts w:eastAsiaTheme="majorEastAsia"/>
      <w:b w:val="0"/>
      <w:spacing w:val="-10"/>
      <w:kern w:val="28"/>
      <w:sz w:val="32"/>
      <w:szCs w:val="56"/>
    </w:rPr>
  </w:style>
  <w:style w:type="character" w:customStyle="1" w:styleId="Heading2Char">
    <w:name w:val="Heading 2 Char"/>
    <w:link w:val="Heading2"/>
    <w:uiPriority w:val="9"/>
    <w:rsid w:val="004E559B"/>
    <w:rPr>
      <w:rFonts w:eastAsia="Times New Roman"/>
      <w:b w:val="0"/>
      <w:sz w:val="26"/>
      <w:szCs w:val="26"/>
    </w:rPr>
  </w:style>
  <w:style w:type="character" w:customStyle="1" w:styleId="Heading3Char">
    <w:name w:val="Heading 3 Char"/>
    <w:link w:val="Heading3"/>
    <w:uiPriority w:val="9"/>
    <w:rsid w:val="004E559B"/>
    <w:rPr>
      <w:rFonts w:eastAsia="Times New Roman"/>
      <w:b w:val="0"/>
      <w:sz w:val="26"/>
      <w:szCs w:val="26"/>
    </w:rPr>
  </w:style>
  <w:style w:type="paragraph" w:styleId="TOC1">
    <w:name w:val="toc 1"/>
    <w:aliases w:val="Tables"/>
    <w:basedOn w:val="Normal"/>
    <w:next w:val="Normal"/>
    <w:autoRedefine/>
    <w:uiPriority w:val="39"/>
    <w:unhideWhenUsed/>
    <w:qFormat/>
    <w:rsid w:val="004E559B"/>
    <w:pPr>
      <w:spacing w:before="120"/>
    </w:pPr>
    <w:rPr>
      <w:rFonts w:eastAsia="Calibri" w:cs="Calibri"/>
      <w:b w:val="0"/>
      <w:iCs/>
      <w:szCs w:val="24"/>
    </w:rPr>
  </w:style>
  <w:style w:type="character" w:customStyle="1" w:styleId="Heading4Char">
    <w:name w:val="Heading 4 Char"/>
    <w:basedOn w:val="DefaultParagraphFont"/>
    <w:link w:val="Heading4"/>
    <w:uiPriority w:val="9"/>
    <w:rsid w:val="00B764CC"/>
    <w:rPr>
      <w:rFonts w:eastAsia="Times New Roman"/>
      <w:bCs/>
      <w:iCs/>
      <w:sz w:val="24"/>
      <w:szCs w:val="24"/>
      <w:lang w:eastAsia="en-GB"/>
    </w:rPr>
  </w:style>
  <w:style w:type="numbering" w:customStyle="1" w:styleId="NoList1">
    <w:name w:val="No List1"/>
    <w:next w:val="NoList"/>
    <w:uiPriority w:val="99"/>
    <w:semiHidden/>
    <w:unhideWhenUsed/>
    <w:rsid w:val="00B764CC"/>
  </w:style>
  <w:style w:type="paragraph" w:styleId="TableofFigures">
    <w:name w:val="table of figures"/>
    <w:basedOn w:val="Normal"/>
    <w:next w:val="Normal"/>
    <w:autoRedefine/>
    <w:uiPriority w:val="99"/>
    <w:semiHidden/>
    <w:unhideWhenUsed/>
    <w:qFormat/>
    <w:rsid w:val="00B764CC"/>
    <w:pPr>
      <w:spacing w:line="480" w:lineRule="auto"/>
    </w:pPr>
    <w:rPr>
      <w:rFonts w:ascii="Times New Roman" w:eastAsia="Times New Roman" w:hAnsi="Times New Roman"/>
      <w:bCs/>
      <w:lang w:eastAsia="en-GB"/>
    </w:rPr>
  </w:style>
  <w:style w:type="paragraph" w:customStyle="1" w:styleId="Table">
    <w:name w:val="Table"/>
    <w:basedOn w:val="Normal"/>
    <w:next w:val="Normal"/>
    <w:autoRedefine/>
    <w:qFormat/>
    <w:rsid w:val="00B764CC"/>
    <w:pPr>
      <w:spacing w:line="480" w:lineRule="auto"/>
    </w:pPr>
    <w:rPr>
      <w:rFonts w:ascii="Times New Roman" w:eastAsia="Times New Roman" w:hAnsi="Times New Roman"/>
      <w:b w:val="0"/>
      <w:bCs/>
      <w:szCs w:val="22"/>
      <w:lang w:eastAsia="en-GB"/>
    </w:rPr>
  </w:style>
  <w:style w:type="table" w:styleId="GridTable3-Accent1">
    <w:name w:val="Grid Table 3 Accent 1"/>
    <w:basedOn w:val="TableNormal"/>
    <w:uiPriority w:val="48"/>
    <w:rsid w:val="00B764CC"/>
    <w:pPr>
      <w:spacing w:after="0" w:line="240" w:lineRule="auto"/>
    </w:pPr>
    <w:rPr>
      <w:rFonts w:asciiTheme="minorHAnsi" w:eastAsiaTheme="minorEastAsia" w:hAnsiTheme="minorHAnsi" w:cstheme="minorBidi"/>
      <w:b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ListParagraph">
    <w:name w:val="List Paragraph"/>
    <w:basedOn w:val="Normal"/>
    <w:uiPriority w:val="34"/>
    <w:qFormat/>
    <w:rsid w:val="00B764CC"/>
    <w:pPr>
      <w:ind w:left="720"/>
      <w:contextualSpacing/>
    </w:pPr>
    <w:rPr>
      <w:rFonts w:eastAsia="Calibri"/>
      <w:bCs/>
      <w:lang w:eastAsia="en-GB"/>
    </w:rPr>
  </w:style>
  <w:style w:type="table" w:styleId="TableGrid">
    <w:name w:val="Table Grid"/>
    <w:basedOn w:val="TableNormal"/>
    <w:uiPriority w:val="39"/>
    <w:rsid w:val="00B764CC"/>
    <w:pPr>
      <w:spacing w:after="0" w:line="240" w:lineRule="auto"/>
    </w:pPr>
    <w:rPr>
      <w:rFonts w:asciiTheme="minorHAnsi" w:hAnsiTheme="minorHAnsi" w:cstheme="minorBidi"/>
      <w:b w:val="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5">
    <w:name w:val="List Table 2 Accent 5"/>
    <w:basedOn w:val="TableNormal"/>
    <w:uiPriority w:val="47"/>
    <w:rsid w:val="00B764CC"/>
    <w:pPr>
      <w:spacing w:after="0" w:line="240" w:lineRule="auto"/>
    </w:pPr>
    <w:rPr>
      <w:rFonts w:ascii="Calibri" w:eastAsia="Times New Roman" w:hAnsi="Calibri"/>
      <w:b w:val="0"/>
      <w:sz w:val="22"/>
      <w:szCs w:val="22"/>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5">
    <w:name w:val="List Table 6 Colorful Accent 5"/>
    <w:basedOn w:val="TableNormal"/>
    <w:uiPriority w:val="51"/>
    <w:rsid w:val="00B764CC"/>
    <w:pPr>
      <w:spacing w:after="0" w:line="240" w:lineRule="auto"/>
    </w:pPr>
    <w:rPr>
      <w:rFonts w:ascii="Calibri" w:eastAsia="Times New Roman" w:hAnsi="Calibri"/>
      <w:b w:val="0"/>
      <w:color w:val="2E74B5" w:themeColor="accent5" w:themeShade="BF"/>
      <w:sz w:val="22"/>
      <w:szCs w:val="22"/>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DefaultParagraphFont"/>
    <w:uiPriority w:val="99"/>
    <w:unhideWhenUsed/>
    <w:rsid w:val="00B764CC"/>
    <w:rPr>
      <w:color w:val="0563C1" w:themeColor="hyperlink"/>
      <w:u w:val="single"/>
    </w:rPr>
  </w:style>
  <w:style w:type="character" w:styleId="UnresolvedMention">
    <w:name w:val="Unresolved Mention"/>
    <w:basedOn w:val="DefaultParagraphFont"/>
    <w:uiPriority w:val="99"/>
    <w:semiHidden/>
    <w:unhideWhenUsed/>
    <w:rsid w:val="00B764CC"/>
    <w:rPr>
      <w:color w:val="605E5C"/>
      <w:shd w:val="clear" w:color="auto" w:fill="E1DFDD"/>
    </w:rPr>
  </w:style>
  <w:style w:type="paragraph" w:styleId="Header">
    <w:name w:val="header"/>
    <w:basedOn w:val="Normal"/>
    <w:link w:val="HeaderChar"/>
    <w:uiPriority w:val="99"/>
    <w:unhideWhenUsed/>
    <w:rsid w:val="00B764CC"/>
    <w:pPr>
      <w:tabs>
        <w:tab w:val="center" w:pos="4513"/>
        <w:tab w:val="right" w:pos="9026"/>
      </w:tabs>
      <w:spacing w:line="240" w:lineRule="auto"/>
    </w:pPr>
    <w:rPr>
      <w:rFonts w:eastAsia="Calibri"/>
      <w:bCs/>
      <w:lang w:eastAsia="en-GB"/>
    </w:rPr>
  </w:style>
  <w:style w:type="character" w:customStyle="1" w:styleId="HeaderChar">
    <w:name w:val="Header Char"/>
    <w:basedOn w:val="DefaultParagraphFont"/>
    <w:link w:val="Header"/>
    <w:uiPriority w:val="99"/>
    <w:rsid w:val="00B764CC"/>
    <w:rPr>
      <w:rFonts w:eastAsia="Calibri"/>
      <w:bCs/>
      <w:lang w:eastAsia="en-GB"/>
    </w:rPr>
  </w:style>
  <w:style w:type="paragraph" w:styleId="Footer">
    <w:name w:val="footer"/>
    <w:basedOn w:val="Normal"/>
    <w:link w:val="FooterChar"/>
    <w:uiPriority w:val="99"/>
    <w:unhideWhenUsed/>
    <w:rsid w:val="00B764CC"/>
    <w:pPr>
      <w:tabs>
        <w:tab w:val="center" w:pos="4513"/>
        <w:tab w:val="right" w:pos="9026"/>
      </w:tabs>
      <w:spacing w:line="240" w:lineRule="auto"/>
    </w:pPr>
    <w:rPr>
      <w:rFonts w:eastAsia="Calibri"/>
      <w:bCs/>
      <w:lang w:eastAsia="en-GB"/>
    </w:rPr>
  </w:style>
  <w:style w:type="character" w:customStyle="1" w:styleId="FooterChar">
    <w:name w:val="Footer Char"/>
    <w:basedOn w:val="DefaultParagraphFont"/>
    <w:link w:val="Footer"/>
    <w:uiPriority w:val="99"/>
    <w:rsid w:val="00B764CC"/>
    <w:rPr>
      <w:rFonts w:eastAsia="Calibri"/>
      <w:bCs/>
      <w:lang w:eastAsia="en-GB"/>
    </w:rPr>
  </w:style>
  <w:style w:type="paragraph" w:styleId="TOCHeading">
    <w:name w:val="TOC Heading"/>
    <w:basedOn w:val="Heading1"/>
    <w:next w:val="Normal"/>
    <w:uiPriority w:val="39"/>
    <w:unhideWhenUsed/>
    <w:qFormat/>
    <w:rsid w:val="00B764CC"/>
    <w:pPr>
      <w:spacing w:before="240" w:beforeAutospacing="0" w:after="0" w:afterAutospacing="0" w:line="259" w:lineRule="auto"/>
      <w:outlineLvl w:val="9"/>
    </w:pPr>
    <w:rPr>
      <w:rFonts w:asciiTheme="majorHAnsi" w:eastAsiaTheme="majorEastAsia" w:hAnsiTheme="majorHAnsi" w:cstheme="majorBidi"/>
      <w:b w:val="0"/>
      <w:color w:val="2F5496" w:themeColor="accent1" w:themeShade="BF"/>
      <w:sz w:val="32"/>
      <w:szCs w:val="32"/>
      <w:lang w:val="en-US"/>
    </w:rPr>
  </w:style>
  <w:style w:type="paragraph" w:styleId="TOC2">
    <w:name w:val="toc 2"/>
    <w:basedOn w:val="Normal"/>
    <w:next w:val="Normal"/>
    <w:autoRedefine/>
    <w:uiPriority w:val="39"/>
    <w:unhideWhenUsed/>
    <w:rsid w:val="00B764CC"/>
    <w:pPr>
      <w:spacing w:after="100"/>
      <w:ind w:left="260"/>
    </w:pPr>
    <w:rPr>
      <w:rFonts w:eastAsia="Calibri"/>
      <w:bCs/>
      <w:lang w:eastAsia="en-GB"/>
    </w:rPr>
  </w:style>
  <w:style w:type="paragraph" w:styleId="TOC3">
    <w:name w:val="toc 3"/>
    <w:basedOn w:val="Normal"/>
    <w:next w:val="Normal"/>
    <w:autoRedefine/>
    <w:uiPriority w:val="39"/>
    <w:unhideWhenUsed/>
    <w:rsid w:val="00B764CC"/>
    <w:pPr>
      <w:spacing w:after="100"/>
      <w:ind w:left="520"/>
    </w:pPr>
    <w:rPr>
      <w:rFonts w:eastAsia="Calibri"/>
      <w:bCs/>
      <w:lang w:eastAsia="en-GB"/>
    </w:rPr>
  </w:style>
  <w:style w:type="character" w:styleId="CommentReference">
    <w:name w:val="annotation reference"/>
    <w:basedOn w:val="DefaultParagraphFont"/>
    <w:uiPriority w:val="99"/>
    <w:semiHidden/>
    <w:unhideWhenUsed/>
    <w:rsid w:val="00B764CC"/>
    <w:rPr>
      <w:sz w:val="16"/>
      <w:szCs w:val="16"/>
    </w:rPr>
  </w:style>
  <w:style w:type="paragraph" w:styleId="CommentText">
    <w:name w:val="annotation text"/>
    <w:basedOn w:val="Normal"/>
    <w:link w:val="CommentTextChar"/>
    <w:uiPriority w:val="99"/>
    <w:unhideWhenUsed/>
    <w:rsid w:val="00B764CC"/>
    <w:pPr>
      <w:spacing w:line="240" w:lineRule="auto"/>
    </w:pPr>
    <w:rPr>
      <w:rFonts w:eastAsia="Calibri"/>
      <w:bCs/>
      <w:sz w:val="20"/>
      <w:szCs w:val="20"/>
      <w:lang w:eastAsia="en-GB"/>
    </w:rPr>
  </w:style>
  <w:style w:type="character" w:customStyle="1" w:styleId="CommentTextChar">
    <w:name w:val="Comment Text Char"/>
    <w:basedOn w:val="DefaultParagraphFont"/>
    <w:link w:val="CommentText"/>
    <w:uiPriority w:val="99"/>
    <w:rsid w:val="00B764CC"/>
    <w:rPr>
      <w:rFonts w:eastAsia="Calibri"/>
      <w:bCs/>
      <w:sz w:val="20"/>
      <w:szCs w:val="20"/>
      <w:lang w:eastAsia="en-GB"/>
    </w:rPr>
  </w:style>
  <w:style w:type="paragraph" w:styleId="CommentSubject">
    <w:name w:val="annotation subject"/>
    <w:basedOn w:val="CommentText"/>
    <w:next w:val="CommentText"/>
    <w:link w:val="CommentSubjectChar"/>
    <w:uiPriority w:val="99"/>
    <w:semiHidden/>
    <w:unhideWhenUsed/>
    <w:rsid w:val="00B764CC"/>
  </w:style>
  <w:style w:type="character" w:customStyle="1" w:styleId="CommentSubjectChar">
    <w:name w:val="Comment Subject Char"/>
    <w:basedOn w:val="CommentTextChar"/>
    <w:link w:val="CommentSubject"/>
    <w:uiPriority w:val="99"/>
    <w:semiHidden/>
    <w:rsid w:val="00B764CC"/>
    <w:rPr>
      <w:rFonts w:eastAsia="Calibri"/>
      <w:bCs/>
      <w:sz w:val="20"/>
      <w:szCs w:val="20"/>
      <w:lang w:eastAsia="en-GB"/>
    </w:rPr>
  </w:style>
  <w:style w:type="paragraph" w:styleId="Revision">
    <w:name w:val="Revision"/>
    <w:hidden/>
    <w:uiPriority w:val="99"/>
    <w:semiHidden/>
    <w:rsid w:val="00B764CC"/>
    <w:pPr>
      <w:spacing w:after="0" w:line="240" w:lineRule="auto"/>
    </w:pPr>
    <w:rPr>
      <w:rFonts w:eastAsia="Calibri"/>
      <w:bCs/>
      <w:lang w:eastAsia="en-GB"/>
    </w:rPr>
  </w:style>
  <w:style w:type="table" w:styleId="TableGridLight">
    <w:name w:val="Grid Table Light"/>
    <w:basedOn w:val="TableNormal"/>
    <w:uiPriority w:val="40"/>
    <w:rsid w:val="00B764CC"/>
    <w:pPr>
      <w:spacing w:after="0" w:line="240" w:lineRule="auto"/>
    </w:pPr>
    <w:rPr>
      <w:rFonts w:asciiTheme="minorHAnsi" w:hAnsiTheme="minorHAnsi" w:cstheme="minorBidi"/>
      <w:b w:val="0"/>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B764CC"/>
  </w:style>
  <w:style w:type="table" w:customStyle="1" w:styleId="TableGrid1">
    <w:name w:val="Table Grid1"/>
    <w:basedOn w:val="TableNormal"/>
    <w:next w:val="TableGrid"/>
    <w:uiPriority w:val="39"/>
    <w:rsid w:val="00B764CC"/>
    <w:pPr>
      <w:spacing w:after="0" w:line="240" w:lineRule="auto"/>
    </w:pPr>
    <w:rPr>
      <w:rFonts w:asciiTheme="minorHAnsi" w:hAnsiTheme="minorHAnsi" w:cstheme="minorBidi"/>
      <w:b w:val="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B764CC"/>
    <w:pPr>
      <w:spacing w:after="0" w:line="240" w:lineRule="auto"/>
    </w:pPr>
    <w:rPr>
      <w:rFonts w:asciiTheme="minorHAnsi" w:hAnsiTheme="minorHAnsi" w:cstheme="minorBidi"/>
      <w:b w:val="0"/>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2">
    <w:name w:val="No List2"/>
    <w:next w:val="NoList"/>
    <w:uiPriority w:val="99"/>
    <w:semiHidden/>
    <w:unhideWhenUsed/>
    <w:rsid w:val="00B764CC"/>
  </w:style>
  <w:style w:type="table" w:customStyle="1" w:styleId="GridTable3-Accent11">
    <w:name w:val="Grid Table 3 - Accent 11"/>
    <w:basedOn w:val="TableNormal"/>
    <w:next w:val="GridTable3-Accent1"/>
    <w:uiPriority w:val="48"/>
    <w:rsid w:val="00B764CC"/>
    <w:pPr>
      <w:spacing w:after="0" w:line="240" w:lineRule="auto"/>
    </w:pPr>
    <w:rPr>
      <w:rFonts w:asciiTheme="minorHAnsi" w:eastAsiaTheme="minorEastAsia" w:hAnsiTheme="minorHAnsi" w:cstheme="minorBidi"/>
      <w:b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leGrid2">
    <w:name w:val="Table Grid2"/>
    <w:basedOn w:val="TableNormal"/>
    <w:next w:val="TableGrid"/>
    <w:uiPriority w:val="39"/>
    <w:rsid w:val="00B764CC"/>
    <w:pPr>
      <w:spacing w:after="0" w:line="240" w:lineRule="auto"/>
    </w:pPr>
    <w:rPr>
      <w:rFonts w:asciiTheme="minorHAnsi" w:hAnsiTheme="minorHAnsi" w:cstheme="minorBidi"/>
      <w:b w:val="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51">
    <w:name w:val="List Table 2 - Accent 51"/>
    <w:basedOn w:val="TableNormal"/>
    <w:next w:val="ListTable2-Accent5"/>
    <w:uiPriority w:val="47"/>
    <w:rsid w:val="00B764CC"/>
    <w:pPr>
      <w:spacing w:after="0" w:line="240" w:lineRule="auto"/>
    </w:pPr>
    <w:rPr>
      <w:rFonts w:ascii="Calibri" w:eastAsia="Times New Roman" w:hAnsi="Calibri"/>
      <w:b w:val="0"/>
      <w:sz w:val="22"/>
      <w:szCs w:val="22"/>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51">
    <w:name w:val="List Table 6 Colorful - Accent 51"/>
    <w:basedOn w:val="TableNormal"/>
    <w:next w:val="ListTable6Colorful-Accent5"/>
    <w:uiPriority w:val="51"/>
    <w:rsid w:val="00B764CC"/>
    <w:pPr>
      <w:spacing w:after="0" w:line="240" w:lineRule="auto"/>
    </w:pPr>
    <w:rPr>
      <w:rFonts w:ascii="Calibri" w:eastAsia="Times New Roman" w:hAnsi="Calibri"/>
      <w:b w:val="0"/>
      <w:color w:val="2E74B5" w:themeColor="accent5" w:themeShade="BF"/>
      <w:sz w:val="22"/>
      <w:szCs w:val="22"/>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Light2">
    <w:name w:val="Table Grid Light2"/>
    <w:basedOn w:val="TableNormal"/>
    <w:next w:val="TableGridLight"/>
    <w:uiPriority w:val="40"/>
    <w:rsid w:val="00B764CC"/>
    <w:pPr>
      <w:spacing w:after="0" w:line="240" w:lineRule="auto"/>
    </w:pPr>
    <w:rPr>
      <w:rFonts w:asciiTheme="minorHAnsi" w:hAnsiTheme="minorHAnsi" w:cstheme="minorBidi"/>
      <w:b w:val="0"/>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
    <w:uiPriority w:val="40"/>
    <w:rsid w:val="00B764CC"/>
    <w:pPr>
      <w:spacing w:after="0" w:line="240" w:lineRule="auto"/>
    </w:pPr>
    <w:rPr>
      <w:rFonts w:asciiTheme="minorHAnsi" w:hAnsiTheme="minorHAnsi" w:cstheme="minorBidi"/>
      <w:b w:val="0"/>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2700</Words>
  <Characters>15393</Characters>
  <Application>Microsoft Office Word</Application>
  <DocSecurity>0</DocSecurity>
  <Lines>128</Lines>
  <Paragraphs>36</Paragraphs>
  <ScaleCrop>false</ScaleCrop>
  <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Saroeun Ven</dc:creator>
  <cp:keywords/>
  <dc:description/>
  <cp:lastModifiedBy>Saroeun Ven</cp:lastModifiedBy>
  <cp:revision>5</cp:revision>
  <dcterms:created xsi:type="dcterms:W3CDTF">2023-09-29T07:44:00Z</dcterms:created>
  <dcterms:modified xsi:type="dcterms:W3CDTF">2023-10-07T05:55:00Z</dcterms:modified>
</cp:coreProperties>
</file>