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D730" w14:textId="309111C9" w:rsidR="001E2F80" w:rsidRDefault="001E2F80" w:rsidP="001E2F80">
      <w:pPr>
        <w:rPr>
          <w:rFonts w:ascii="Times New Roman" w:hAnsi="Times New Roman"/>
        </w:rPr>
      </w:pPr>
    </w:p>
    <w:p w14:paraId="2CF3490B" w14:textId="77777777" w:rsidR="001E2F80" w:rsidRPr="00A47B9B" w:rsidRDefault="001E2F80" w:rsidP="001E2F80">
      <w:pPr>
        <w:pStyle w:val="2"/>
        <w:widowControl/>
        <w:pBdr>
          <w:bottom w:val="single" w:sz="6" w:space="0" w:color="97B0C8"/>
        </w:pBdr>
        <w:shd w:val="clear" w:color="auto" w:fill="FFFFFF"/>
        <w:spacing w:before="400" w:beforeAutospacing="0" w:after="200" w:afterAutospacing="0" w:line="450" w:lineRule="atLeast"/>
        <w:rPr>
          <w:rFonts w:ascii="Cambria" w:hAnsi="Cambria"/>
          <w:b w:val="0"/>
          <w:bCs w:val="0"/>
          <w:color w:val="212121"/>
          <w:sz w:val="30"/>
          <w:szCs w:val="30"/>
        </w:rPr>
      </w:pPr>
      <w:r w:rsidRPr="00A47B9B">
        <w:rPr>
          <w:rFonts w:ascii="Cambria" w:hAnsi="Cambria"/>
          <w:b w:val="0"/>
          <w:bCs w:val="0"/>
          <w:color w:val="212121"/>
          <w:sz w:val="30"/>
          <w:szCs w:val="30"/>
          <w:shd w:val="clear" w:color="auto" w:fill="FFFFFF"/>
        </w:rPr>
        <w:t>Materials and Methods</w:t>
      </w:r>
    </w:p>
    <w:p w14:paraId="0C460789" w14:textId="77777777" w:rsidR="001E2F80" w:rsidRPr="00A47B9B" w:rsidRDefault="001E2F80" w:rsidP="001E2F80">
      <w:pPr>
        <w:rPr>
          <w:rFonts w:ascii="Times New Roman" w:hAnsi="Times New Roman"/>
          <w:color w:val="0D0D0D" w:themeColor="text1" w:themeTint="F2"/>
          <w:sz w:val="28"/>
          <w:szCs w:val="28"/>
        </w:rPr>
      </w:pPr>
      <w:r w:rsidRPr="00A47B9B">
        <w:rPr>
          <w:rFonts w:ascii="Times New Roman" w:hAnsi="Times New Roman"/>
          <w:color w:val="0D0D0D" w:themeColor="text1" w:themeTint="F2"/>
          <w:sz w:val="28"/>
          <w:szCs w:val="28"/>
        </w:rPr>
        <w:t xml:space="preserve"> </w:t>
      </w:r>
    </w:p>
    <w:p w14:paraId="759BD2C1" w14:textId="77777777" w:rsidR="001E2F80" w:rsidRPr="00A47B9B" w:rsidRDefault="001E2F80" w:rsidP="001E2F80">
      <w:pPr>
        <w:rPr>
          <w:rFonts w:ascii="Times New Roman" w:hAnsi="Times New Roman"/>
          <w:color w:val="0D0D0D" w:themeColor="text1" w:themeTint="F2"/>
          <w:sz w:val="28"/>
          <w:szCs w:val="28"/>
        </w:rPr>
      </w:pPr>
      <w:r w:rsidRPr="00A47B9B">
        <w:rPr>
          <w:rFonts w:ascii="Times New Roman" w:hAnsi="Times New Roman"/>
          <w:color w:val="0D0D0D" w:themeColor="text1" w:themeTint="F2"/>
          <w:sz w:val="28"/>
          <w:szCs w:val="28"/>
        </w:rPr>
        <w:t>Human HCC tissue specimens</w:t>
      </w:r>
    </w:p>
    <w:p w14:paraId="75F13AF5" w14:textId="77777777" w:rsidR="001E2F80" w:rsidRDefault="001E2F80" w:rsidP="001E2F80">
      <w:pPr>
        <w:rPr>
          <w:rFonts w:ascii="Times New Roman" w:hAnsi="Times New Roman"/>
          <w:sz w:val="28"/>
          <w:szCs w:val="28"/>
        </w:rPr>
      </w:pPr>
      <w:r>
        <w:rPr>
          <w:rFonts w:ascii="Times New Roman" w:hAnsi="Times New Roman"/>
          <w:sz w:val="28"/>
          <w:szCs w:val="28"/>
        </w:rPr>
        <w:t>Between June 2019 and August 2020, 30 pairs of human HCC tissues and paired normal liver tissues were randomly collected from HCC patients undergoing histopathological examination who were not treated with radiotherapy or chemotherapy before resection. All patients underwent surgery at the First Affiliated Hospital of Zhengzhou University. The study protocol was approved by the Ethics Committee of the First Affiliated Hospital of Zhengzhou University.</w:t>
      </w:r>
    </w:p>
    <w:p w14:paraId="426FCB28" w14:textId="77777777" w:rsidR="001E2F80" w:rsidRPr="00A47B9B" w:rsidRDefault="001E2F80" w:rsidP="001E2F80">
      <w:pPr>
        <w:rPr>
          <w:rFonts w:ascii="Times New Roman" w:hAnsi="Times New Roman"/>
          <w:color w:val="0D0D0D" w:themeColor="text1" w:themeTint="F2"/>
          <w:sz w:val="28"/>
          <w:szCs w:val="28"/>
        </w:rPr>
      </w:pPr>
      <w:r w:rsidRPr="00A47B9B">
        <w:rPr>
          <w:rFonts w:ascii="Times New Roman" w:hAnsi="Times New Roman"/>
          <w:color w:val="0D0D0D" w:themeColor="text1" w:themeTint="F2"/>
          <w:sz w:val="28"/>
          <w:szCs w:val="28"/>
        </w:rPr>
        <w:t>Cell lines and cell culture</w:t>
      </w:r>
    </w:p>
    <w:p w14:paraId="55D184A3" w14:textId="77777777" w:rsidR="001E2F80" w:rsidRDefault="001E2F80" w:rsidP="001E2F80">
      <w:pPr>
        <w:rPr>
          <w:rFonts w:ascii="Times New Roman" w:hAnsi="Times New Roman"/>
          <w:sz w:val="28"/>
          <w:szCs w:val="28"/>
        </w:rPr>
      </w:pPr>
      <w:r>
        <w:rPr>
          <w:rFonts w:ascii="Times New Roman" w:hAnsi="Times New Roman"/>
          <w:sz w:val="28"/>
          <w:szCs w:val="28"/>
        </w:rPr>
        <w:t>Human hepatocellular carcinoma cell lines (Hep3B, LM3, Huh7, HepG2, MHCC97H) were available from Henan Organ Transplantation Research Centre. Cells were cultured in DMEM (Gibco, USA) supplemented with 1% antibiotics and 10% FBS (Gibco, USA). The incubator was sterilized at 37°C and 5% CO2.</w:t>
      </w:r>
    </w:p>
    <w:p w14:paraId="61DA4983" w14:textId="3270227B" w:rsidR="001E2F80" w:rsidRPr="00A47B9B" w:rsidRDefault="001E2F80" w:rsidP="001E2F80">
      <w:pPr>
        <w:rPr>
          <w:rFonts w:ascii="Times New Roman" w:hAnsi="Times New Roman"/>
          <w:color w:val="0D0D0D" w:themeColor="text1" w:themeTint="F2"/>
          <w:sz w:val="28"/>
          <w:szCs w:val="28"/>
        </w:rPr>
      </w:pPr>
      <w:r w:rsidRPr="00A47B9B">
        <w:rPr>
          <w:rFonts w:ascii="Times New Roman" w:hAnsi="Times New Roman"/>
          <w:color w:val="0D0D0D" w:themeColor="text1" w:themeTint="F2"/>
          <w:sz w:val="28"/>
          <w:szCs w:val="28"/>
        </w:rPr>
        <w:t>Quantitative Real-Time PCR Assay (</w:t>
      </w:r>
      <w:r w:rsidR="00A47B9B">
        <w:rPr>
          <w:rFonts w:ascii="Times New Roman" w:hAnsi="Times New Roman"/>
          <w:color w:val="0D0D0D" w:themeColor="text1" w:themeTint="F2"/>
          <w:sz w:val="28"/>
          <w:szCs w:val="28"/>
        </w:rPr>
        <w:t>Q</w:t>
      </w:r>
      <w:r w:rsidRPr="00A47B9B">
        <w:rPr>
          <w:rFonts w:ascii="Times New Roman" w:hAnsi="Times New Roman"/>
          <w:color w:val="0D0D0D" w:themeColor="text1" w:themeTint="F2"/>
          <w:sz w:val="28"/>
          <w:szCs w:val="28"/>
        </w:rPr>
        <w:t>RT-PCR)</w:t>
      </w:r>
    </w:p>
    <w:p w14:paraId="0E4320CD"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Cambria" w:hAnsi="Cambria"/>
          <w:color w:val="212121"/>
          <w:sz w:val="30"/>
          <w:szCs w:val="30"/>
          <w:shd w:val="clear" w:color="auto" w:fill="FFFFFF"/>
        </w:rPr>
        <w:t xml:space="preserve">The overall RNA of HCC cells or clinical specimens was extracted via </w:t>
      </w:r>
      <w:proofErr w:type="spellStart"/>
      <w:r>
        <w:rPr>
          <w:rFonts w:ascii="Cambria" w:hAnsi="Cambria"/>
          <w:color w:val="212121"/>
          <w:sz w:val="30"/>
          <w:szCs w:val="30"/>
          <w:shd w:val="clear" w:color="auto" w:fill="FFFFFF"/>
        </w:rPr>
        <w:t>Trizol</w:t>
      </w:r>
      <w:proofErr w:type="spellEnd"/>
      <w:r>
        <w:rPr>
          <w:rFonts w:ascii="Cambria" w:hAnsi="Cambria"/>
          <w:color w:val="212121"/>
          <w:sz w:val="30"/>
          <w:szCs w:val="30"/>
          <w:shd w:val="clear" w:color="auto" w:fill="FFFFFF"/>
        </w:rPr>
        <w:t xml:space="preserve"> (Invitrogen, United States) and then was reversed to cDNA via </w:t>
      </w:r>
      <w:proofErr w:type="spellStart"/>
      <w:r>
        <w:rPr>
          <w:rFonts w:ascii="Cambria" w:hAnsi="Cambria"/>
          <w:color w:val="212121"/>
          <w:sz w:val="30"/>
          <w:szCs w:val="30"/>
          <w:shd w:val="clear" w:color="auto" w:fill="FFFFFF"/>
        </w:rPr>
        <w:t>HiScript</w:t>
      </w:r>
      <w:proofErr w:type="spellEnd"/>
      <w:r>
        <w:rPr>
          <w:rFonts w:ascii="Cambria" w:hAnsi="Cambria"/>
          <w:color w:val="212121"/>
          <w:sz w:val="30"/>
          <w:szCs w:val="30"/>
          <w:shd w:val="clear" w:color="auto" w:fill="FFFFFF"/>
        </w:rPr>
        <w:t>® III first Strand cDNA Synthetic Kit (</w:t>
      </w:r>
      <w:proofErr w:type="spellStart"/>
      <w:r>
        <w:rPr>
          <w:rFonts w:ascii="Cambria" w:hAnsi="Cambria"/>
          <w:color w:val="212121"/>
          <w:sz w:val="30"/>
          <w:szCs w:val="30"/>
          <w:shd w:val="clear" w:color="auto" w:fill="FFFFFF"/>
        </w:rPr>
        <w:t>Vazyme</w:t>
      </w:r>
      <w:proofErr w:type="spellEnd"/>
      <w:r>
        <w:rPr>
          <w:rFonts w:ascii="Cambria" w:hAnsi="Cambria"/>
          <w:color w:val="212121"/>
          <w:sz w:val="30"/>
          <w:szCs w:val="30"/>
          <w:shd w:val="clear" w:color="auto" w:fill="FFFFFF"/>
        </w:rPr>
        <w:t xml:space="preserve">, </w:t>
      </w:r>
      <w:r>
        <w:rPr>
          <w:rFonts w:ascii="Cambria" w:hAnsi="Cambria"/>
          <w:color w:val="212121"/>
          <w:sz w:val="30"/>
          <w:szCs w:val="30"/>
          <w:shd w:val="clear" w:color="auto" w:fill="FFFFFF"/>
        </w:rPr>
        <w:lastRenderedPageBreak/>
        <w:t>China). The 2x SYBR Green qPCR Master Mix (</w:t>
      </w:r>
      <w:proofErr w:type="spellStart"/>
      <w:r>
        <w:rPr>
          <w:rFonts w:ascii="Cambria" w:hAnsi="Cambria"/>
          <w:color w:val="212121"/>
          <w:sz w:val="30"/>
          <w:szCs w:val="30"/>
          <w:shd w:val="clear" w:color="auto" w:fill="FFFFFF"/>
        </w:rPr>
        <w:t>Bimake</w:t>
      </w:r>
      <w:proofErr w:type="spellEnd"/>
      <w:r>
        <w:rPr>
          <w:rFonts w:ascii="Cambria" w:hAnsi="Cambria"/>
          <w:color w:val="212121"/>
          <w:sz w:val="30"/>
          <w:szCs w:val="30"/>
          <w:shd w:val="clear" w:color="auto" w:fill="FFFFFF"/>
        </w:rPr>
        <w:t xml:space="preserve">, United States) was utilized for the </w:t>
      </w:r>
      <w:proofErr w:type="spellStart"/>
      <w:r>
        <w:rPr>
          <w:rFonts w:ascii="Cambria" w:hAnsi="Cambria"/>
          <w:color w:val="212121"/>
          <w:sz w:val="30"/>
          <w:szCs w:val="30"/>
          <w:shd w:val="clear" w:color="auto" w:fill="FFFFFF"/>
        </w:rPr>
        <w:t>qRT</w:t>
      </w:r>
      <w:proofErr w:type="spellEnd"/>
      <w:r>
        <w:rPr>
          <w:rFonts w:ascii="Cambria" w:hAnsi="Cambria"/>
          <w:color w:val="212121"/>
          <w:sz w:val="30"/>
          <w:szCs w:val="30"/>
          <w:shd w:val="clear" w:color="auto" w:fill="FFFFFF"/>
        </w:rPr>
        <w:t>-PCR assay. Relative quantification of mRNA levels was computed as fold change by the standard formula, 2</w:t>
      </w:r>
      <w:r>
        <w:rPr>
          <w:rFonts w:ascii="Cambria" w:hAnsi="Cambria"/>
          <w:color w:val="212121"/>
          <w:sz w:val="23"/>
          <w:szCs w:val="23"/>
          <w:shd w:val="clear" w:color="auto" w:fill="FFFFFF"/>
          <w:vertAlign w:val="superscript"/>
        </w:rPr>
        <w:t>-△△CT</w:t>
      </w:r>
      <w:r>
        <w:rPr>
          <w:rFonts w:ascii="Cambria" w:hAnsi="Cambria"/>
          <w:color w:val="212121"/>
          <w:sz w:val="30"/>
          <w:szCs w:val="30"/>
          <w:shd w:val="clear" w:color="auto" w:fill="FFFFFF"/>
        </w:rPr>
        <w:t>= (</w:t>
      </w:r>
      <w:proofErr w:type="spellStart"/>
      <w:r>
        <w:rPr>
          <w:rFonts w:ascii="Cambria" w:hAnsi="Cambria"/>
          <w:color w:val="212121"/>
          <w:sz w:val="30"/>
          <w:szCs w:val="30"/>
          <w:shd w:val="clear" w:color="auto" w:fill="FFFFFF"/>
        </w:rPr>
        <w:t>CT</w:t>
      </w:r>
      <w:r>
        <w:rPr>
          <w:rFonts w:ascii="Cambria" w:hAnsi="Cambria"/>
          <w:color w:val="212121"/>
          <w:sz w:val="23"/>
          <w:szCs w:val="23"/>
          <w:shd w:val="clear" w:color="auto" w:fill="FFFFFF"/>
          <w:vertAlign w:val="subscript"/>
        </w:rPr>
        <w:t>target</w:t>
      </w:r>
      <w:proofErr w:type="spellEnd"/>
      <w:r>
        <w:rPr>
          <w:rFonts w:ascii="Cambria" w:hAnsi="Cambria"/>
          <w:color w:val="212121"/>
          <w:sz w:val="30"/>
          <w:szCs w:val="30"/>
          <w:shd w:val="clear" w:color="auto" w:fill="FFFFFF"/>
        </w:rPr>
        <w:t>−CT</w:t>
      </w:r>
      <w:r>
        <w:rPr>
          <w:rFonts w:ascii="Cambria" w:hAnsi="Cambria"/>
          <w:color w:val="212121"/>
          <w:sz w:val="23"/>
          <w:szCs w:val="23"/>
          <w:shd w:val="clear" w:color="auto" w:fill="FFFFFF"/>
          <w:vertAlign w:val="subscript"/>
        </w:rPr>
        <w:t>GAPDH</w:t>
      </w:r>
      <w:r>
        <w:rPr>
          <w:rFonts w:ascii="Cambria" w:hAnsi="Cambria"/>
          <w:color w:val="212121"/>
          <w:sz w:val="30"/>
          <w:szCs w:val="30"/>
          <w:shd w:val="clear" w:color="auto" w:fill="FFFFFF"/>
        </w:rPr>
        <w:t>) specimen− (</w:t>
      </w:r>
      <w:proofErr w:type="spellStart"/>
      <w:r>
        <w:rPr>
          <w:rFonts w:ascii="Cambria" w:hAnsi="Cambria"/>
          <w:color w:val="212121"/>
          <w:sz w:val="30"/>
          <w:szCs w:val="30"/>
          <w:shd w:val="clear" w:color="auto" w:fill="FFFFFF"/>
        </w:rPr>
        <w:t>CT</w:t>
      </w:r>
      <w:r>
        <w:rPr>
          <w:rFonts w:ascii="Cambria" w:hAnsi="Cambria"/>
          <w:color w:val="212121"/>
          <w:sz w:val="23"/>
          <w:szCs w:val="23"/>
          <w:shd w:val="clear" w:color="auto" w:fill="FFFFFF"/>
          <w:vertAlign w:val="subscript"/>
        </w:rPr>
        <w:t>target</w:t>
      </w:r>
      <w:proofErr w:type="spellEnd"/>
      <w:r>
        <w:rPr>
          <w:rFonts w:ascii="Cambria" w:hAnsi="Cambria"/>
          <w:color w:val="212121"/>
          <w:sz w:val="30"/>
          <w:szCs w:val="30"/>
          <w:shd w:val="clear" w:color="auto" w:fill="FFFFFF"/>
        </w:rPr>
        <w:t>−CT</w:t>
      </w:r>
      <w:r>
        <w:rPr>
          <w:rFonts w:ascii="Cambria" w:hAnsi="Cambria"/>
          <w:color w:val="212121"/>
          <w:sz w:val="23"/>
          <w:szCs w:val="23"/>
          <w:shd w:val="clear" w:color="auto" w:fill="FFFFFF"/>
          <w:vertAlign w:val="subscript"/>
        </w:rPr>
        <w:t>GAPDH</w:t>
      </w:r>
      <w:r>
        <w:rPr>
          <w:rFonts w:ascii="Cambria" w:hAnsi="Cambria"/>
          <w:color w:val="212121"/>
          <w:sz w:val="30"/>
          <w:szCs w:val="30"/>
          <w:shd w:val="clear" w:color="auto" w:fill="FFFFFF"/>
        </w:rPr>
        <w:t xml:space="preserve">) control. The sequence of the primers for the QRT-PCR are presented </w:t>
      </w:r>
      <w:proofErr w:type="gramStart"/>
      <w:r>
        <w:rPr>
          <w:rFonts w:ascii="Cambria" w:hAnsi="Cambria"/>
          <w:color w:val="212121"/>
          <w:sz w:val="30"/>
          <w:szCs w:val="30"/>
          <w:shd w:val="clear" w:color="auto" w:fill="FFFFFF"/>
        </w:rPr>
        <w:t>below:</w:t>
      </w:r>
      <w:r>
        <w:rPr>
          <w:rFonts w:ascii="Times New Roman" w:hAnsi="Times New Roman" w:cs="Times New Roman"/>
          <w:color w:val="212121"/>
          <w:sz w:val="28"/>
          <w:szCs w:val="28"/>
          <w:shd w:val="clear" w:color="auto" w:fill="FFFFFF"/>
        </w:rPr>
        <w:t>MARCH</w:t>
      </w:r>
      <w:proofErr w:type="gramEnd"/>
      <w:r>
        <w:rPr>
          <w:rFonts w:ascii="Times New Roman" w:hAnsi="Times New Roman" w:cs="Times New Roman"/>
          <w:color w:val="212121"/>
          <w:sz w:val="28"/>
          <w:szCs w:val="28"/>
          <w:shd w:val="clear" w:color="auto" w:fill="FFFFFF"/>
        </w:rPr>
        <w:t>5 sense: 5′-</w:t>
      </w:r>
      <w:r>
        <w:rPr>
          <w:rFonts w:ascii="Times New Roman" w:hAnsi="Times New Roman" w:cs="Times New Roman"/>
          <w:sz w:val="28"/>
          <w:szCs w:val="28"/>
          <w:shd w:val="clear" w:color="auto" w:fill="FFFFFF"/>
        </w:rPr>
        <w:t xml:space="preserve"> </w:t>
      </w:r>
      <w:r>
        <w:rPr>
          <w:rFonts w:ascii="Times New Roman" w:hAnsi="Times New Roman" w:cs="Times New Roman"/>
          <w:color w:val="212121"/>
          <w:sz w:val="28"/>
          <w:szCs w:val="28"/>
          <w:shd w:val="clear" w:color="auto" w:fill="FFFFFF"/>
        </w:rPr>
        <w:t>GTCCAGTGGTTTACGTCTTGG-3’; and antisense: 5′-</w:t>
      </w:r>
      <w:r>
        <w:rPr>
          <w:rFonts w:ascii="Times New Roman" w:hAnsi="Times New Roman" w:cs="Times New Roman"/>
          <w:sz w:val="28"/>
          <w:szCs w:val="28"/>
          <w:shd w:val="clear" w:color="auto" w:fill="FFFFFF"/>
        </w:rPr>
        <w:t xml:space="preserve"> </w:t>
      </w:r>
      <w:r>
        <w:rPr>
          <w:rFonts w:ascii="Times New Roman" w:hAnsi="Times New Roman" w:cs="Times New Roman"/>
          <w:color w:val="212121"/>
          <w:sz w:val="28"/>
          <w:szCs w:val="28"/>
          <w:shd w:val="clear" w:color="auto" w:fill="FFFFFF"/>
        </w:rPr>
        <w:t>CCGACCATTATTCCTGCTGC-3;</w:t>
      </w:r>
    </w:p>
    <w:p w14:paraId="404E15C4"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18S sense: 5′-</w:t>
      </w:r>
      <w:r>
        <w:rPr>
          <w:rFonts w:ascii="Times New Roman" w:hAnsi="Times New Roman" w:cs="Times New Roman"/>
          <w:sz w:val="28"/>
          <w:szCs w:val="28"/>
          <w:shd w:val="clear" w:color="auto" w:fill="FFFFFF"/>
        </w:rPr>
        <w:t xml:space="preserve"> </w:t>
      </w:r>
      <w:r>
        <w:rPr>
          <w:rFonts w:ascii="Times New Roman" w:hAnsi="Times New Roman" w:cs="Times New Roman"/>
          <w:color w:val="212121"/>
          <w:sz w:val="28"/>
          <w:szCs w:val="28"/>
          <w:shd w:val="clear" w:color="auto" w:fill="FFFFFF"/>
        </w:rPr>
        <w:t>CGCTTCCTTACCTGGTTGAT-3’; and antisense: 5′-</w:t>
      </w:r>
      <w:r>
        <w:rPr>
          <w:rFonts w:ascii="Times New Roman" w:hAnsi="Times New Roman" w:cs="Times New Roman"/>
          <w:sz w:val="28"/>
          <w:szCs w:val="28"/>
          <w:shd w:val="clear" w:color="auto" w:fill="FFFFFF"/>
        </w:rPr>
        <w:t xml:space="preserve"> </w:t>
      </w:r>
      <w:r>
        <w:rPr>
          <w:rFonts w:ascii="Times New Roman" w:hAnsi="Times New Roman" w:cs="Times New Roman"/>
          <w:color w:val="212121"/>
          <w:sz w:val="28"/>
          <w:szCs w:val="28"/>
          <w:shd w:val="clear" w:color="auto" w:fill="FFFFFF"/>
        </w:rPr>
        <w:t>GAGCGACCAAAGGAACGATA-3;</w:t>
      </w:r>
    </w:p>
    <w:p w14:paraId="0EA5CA03"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Nuclear Protein Extraction</w:t>
      </w:r>
    </w:p>
    <w:p w14:paraId="09438559"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The nuclear and cytoplasmic proteins of cells were extracted by the Nucleus and Cytoplasm Abstraction Kit (</w:t>
      </w:r>
      <w:proofErr w:type="spellStart"/>
      <w:r>
        <w:rPr>
          <w:rFonts w:ascii="Times New Roman" w:hAnsi="Times New Roman" w:cs="Times New Roman"/>
          <w:color w:val="212121"/>
          <w:sz w:val="28"/>
          <w:szCs w:val="28"/>
          <w:shd w:val="clear" w:color="auto" w:fill="FFFFFF"/>
        </w:rPr>
        <w:t>Solarbio</w:t>
      </w:r>
      <w:proofErr w:type="spellEnd"/>
      <w:r>
        <w:rPr>
          <w:rFonts w:ascii="Times New Roman" w:hAnsi="Times New Roman" w:cs="Times New Roman"/>
          <w:color w:val="212121"/>
          <w:sz w:val="28"/>
          <w:szCs w:val="28"/>
          <w:shd w:val="clear" w:color="auto" w:fill="FFFFFF"/>
        </w:rPr>
        <w:t>, China) following the supplier’s manual. The entire specimens were reserved at −80°C for the assays later on.</w:t>
      </w:r>
    </w:p>
    <w:p w14:paraId="2B090A6D" w14:textId="77777777" w:rsidR="001E2F80" w:rsidRPr="00A47B9B" w:rsidRDefault="001E2F80" w:rsidP="001E2F80">
      <w:pPr>
        <w:pStyle w:val="3"/>
        <w:keepLines w:val="0"/>
        <w:widowControl/>
        <w:shd w:val="clear" w:color="auto" w:fill="FFFFFF"/>
        <w:spacing w:before="400" w:after="200" w:line="450" w:lineRule="atLeast"/>
        <w:rPr>
          <w:rFonts w:ascii="Times New Roman" w:hAnsi="Times New Roman"/>
          <w:b w:val="0"/>
          <w:bCs w:val="0"/>
          <w:color w:val="0D0D0D" w:themeColor="text1" w:themeTint="F2"/>
          <w:sz w:val="28"/>
          <w:szCs w:val="28"/>
        </w:rPr>
      </w:pPr>
      <w:r w:rsidRPr="00A47B9B">
        <w:rPr>
          <w:rFonts w:ascii="Times New Roman" w:hAnsi="Times New Roman"/>
          <w:b w:val="0"/>
          <w:bCs w:val="0"/>
          <w:color w:val="0D0D0D" w:themeColor="text1" w:themeTint="F2"/>
          <w:sz w:val="28"/>
          <w:szCs w:val="28"/>
        </w:rPr>
        <w:t>Western Blot Assay</w:t>
      </w:r>
    </w:p>
    <w:p w14:paraId="14E1B5DE" w14:textId="77777777" w:rsidR="001E2F80" w:rsidRDefault="001E2F80" w:rsidP="001E2F80">
      <w:pPr>
        <w:pStyle w:val="a3"/>
        <w:shd w:val="clear" w:color="auto" w:fill="FFFFFF"/>
        <w:spacing w:before="400" w:beforeAutospacing="0" w:after="400" w:afterAutospacing="0"/>
        <w:rPr>
          <w:rFonts w:ascii="Cambria" w:hAnsi="Cambria"/>
          <w:color w:val="212121"/>
          <w:sz w:val="30"/>
          <w:szCs w:val="30"/>
        </w:rPr>
      </w:pPr>
      <w:r>
        <w:rPr>
          <w:rFonts w:ascii="Cambria" w:hAnsi="Cambria"/>
          <w:color w:val="212121"/>
          <w:sz w:val="30"/>
          <w:szCs w:val="30"/>
          <w:shd w:val="clear" w:color="auto" w:fill="FFFFFF"/>
        </w:rPr>
        <w:t>Cells or tissues were lysed by RIPA buffer added with 1 mM PMSF (</w:t>
      </w:r>
      <w:proofErr w:type="spellStart"/>
      <w:r>
        <w:rPr>
          <w:rFonts w:ascii="Cambria" w:hAnsi="Cambria"/>
          <w:color w:val="212121"/>
          <w:sz w:val="30"/>
          <w:szCs w:val="30"/>
          <w:shd w:val="clear" w:color="auto" w:fill="FFFFFF"/>
        </w:rPr>
        <w:t>Solarbio</w:t>
      </w:r>
      <w:proofErr w:type="spellEnd"/>
      <w:r>
        <w:rPr>
          <w:rFonts w:ascii="Cambria" w:hAnsi="Cambria"/>
          <w:color w:val="212121"/>
          <w:sz w:val="30"/>
          <w:szCs w:val="30"/>
          <w:shd w:val="clear" w:color="auto" w:fill="FFFFFF"/>
        </w:rPr>
        <w:t>, China) and Protease Suppressor Cocktail (</w:t>
      </w:r>
      <w:proofErr w:type="spellStart"/>
      <w:r>
        <w:rPr>
          <w:rFonts w:ascii="Cambria" w:hAnsi="Cambria"/>
          <w:color w:val="212121"/>
          <w:sz w:val="30"/>
          <w:szCs w:val="30"/>
          <w:shd w:val="clear" w:color="auto" w:fill="FFFFFF"/>
        </w:rPr>
        <w:t>Thermo</w:t>
      </w:r>
      <w:proofErr w:type="spellEnd"/>
      <w:r>
        <w:rPr>
          <w:rFonts w:ascii="Cambria" w:hAnsi="Cambria"/>
          <w:color w:val="212121"/>
          <w:sz w:val="30"/>
          <w:szCs w:val="30"/>
          <w:shd w:val="clear" w:color="auto" w:fill="FFFFFF"/>
        </w:rPr>
        <w:t xml:space="preserve"> Fisher Scientific, United States) and cultivated on ices </w:t>
      </w:r>
      <w:r>
        <w:rPr>
          <w:rFonts w:ascii="Cambria" w:hAnsi="Cambria"/>
          <w:color w:val="212121"/>
          <w:sz w:val="30"/>
          <w:szCs w:val="30"/>
          <w:shd w:val="clear" w:color="auto" w:fill="FFFFFF"/>
        </w:rPr>
        <w:lastRenderedPageBreak/>
        <w:t>for 0.5 h. The protein concentrations were identified via the BCA protein analysis kit (</w:t>
      </w:r>
      <w:proofErr w:type="spellStart"/>
      <w:r>
        <w:rPr>
          <w:rFonts w:ascii="Cambria" w:hAnsi="Cambria"/>
          <w:color w:val="212121"/>
          <w:sz w:val="30"/>
          <w:szCs w:val="30"/>
          <w:shd w:val="clear" w:color="auto" w:fill="FFFFFF"/>
        </w:rPr>
        <w:t>Solarbio</w:t>
      </w:r>
      <w:proofErr w:type="spellEnd"/>
      <w:r>
        <w:rPr>
          <w:rFonts w:ascii="Cambria" w:hAnsi="Cambria"/>
          <w:color w:val="212121"/>
          <w:sz w:val="30"/>
          <w:szCs w:val="30"/>
          <w:shd w:val="clear" w:color="auto" w:fill="FFFFFF"/>
        </w:rPr>
        <w:t xml:space="preserve">, China). The specimens were subjected to separation by 10% SDS-PAGE and moved to a PVDF film. Then, the treated films were subjected to 5% nonfat milk in TBST for 120 min under RT and immunoblotted with the specific primary antibody under 4°C nightlong. The films were subsequently cleaned with TBST and cultivated with alkaline phosphatase-conjugated second antibodies for 60 min under RT. Immunoblotting was observed via the Odyssey® </w:t>
      </w:r>
      <w:proofErr w:type="spellStart"/>
      <w:r>
        <w:rPr>
          <w:rFonts w:ascii="Cambria" w:hAnsi="Cambria"/>
          <w:color w:val="212121"/>
          <w:sz w:val="30"/>
          <w:szCs w:val="30"/>
          <w:shd w:val="clear" w:color="auto" w:fill="FFFFFF"/>
        </w:rPr>
        <w:t>Dlx</w:t>
      </w:r>
      <w:proofErr w:type="spellEnd"/>
      <w:r>
        <w:rPr>
          <w:rFonts w:ascii="Cambria" w:hAnsi="Cambria"/>
          <w:color w:val="212121"/>
          <w:sz w:val="30"/>
          <w:szCs w:val="30"/>
          <w:shd w:val="clear" w:color="auto" w:fill="FFFFFF"/>
        </w:rPr>
        <w:t xml:space="preserve"> Imaging System. ImageJ software was utilized to analyze the densitometric. </w:t>
      </w:r>
    </w:p>
    <w:p w14:paraId="320AB6F4"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Generation of stable MARCH5 overexpressing cell lines</w:t>
      </w:r>
    </w:p>
    <w:p w14:paraId="6019760C"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MARCH5 was overexpressed with pLenti-CMV-MARCH5-GFP-Puro plasmid (MARCH5). </w:t>
      </w:r>
      <w:proofErr w:type="spellStart"/>
      <w:r>
        <w:rPr>
          <w:rFonts w:ascii="Times New Roman" w:hAnsi="Times New Roman" w:cs="Times New Roman"/>
          <w:color w:val="212121"/>
          <w:sz w:val="28"/>
          <w:szCs w:val="28"/>
          <w:shd w:val="clear" w:color="auto" w:fill="FFFFFF"/>
        </w:rPr>
        <w:t>plenti</w:t>
      </w:r>
      <w:proofErr w:type="spellEnd"/>
      <w:r>
        <w:rPr>
          <w:rFonts w:ascii="Times New Roman" w:hAnsi="Times New Roman" w:cs="Times New Roman"/>
          <w:color w:val="212121"/>
          <w:sz w:val="28"/>
          <w:szCs w:val="28"/>
          <w:shd w:val="clear" w:color="auto" w:fill="FFFFFF"/>
        </w:rPr>
        <w:t>-CMV-GFP-Puro plasmid was used as a control (Vector). The plasmids were purchased from the Public Protein/Plasmid Library (China), and the whole constructs were verified by sequencing. Briefly, MHCC97H cells were placed in 6-well plates overnight and then transfected with pcDNA3.1/MARCH5 plasmid and pcDNA3.1/Vector plasmid using Lip</w:t>
      </w:r>
      <w:r>
        <w:rPr>
          <w:rFonts w:ascii="Times New Roman" w:hAnsi="Times New Roman" w:cs="Times New Roman" w:hint="eastAsia"/>
          <w:color w:val="212121"/>
          <w:sz w:val="28"/>
          <w:szCs w:val="28"/>
          <w:shd w:val="clear" w:color="auto" w:fill="FFFFFF"/>
        </w:rPr>
        <w:t xml:space="preserve">8000 </w:t>
      </w:r>
      <w:r>
        <w:rPr>
          <w:rFonts w:ascii="Times New Roman" w:hAnsi="Times New Roman" w:cs="Times New Roman"/>
          <w:color w:val="212121"/>
          <w:sz w:val="28"/>
          <w:szCs w:val="28"/>
          <w:shd w:val="clear" w:color="auto" w:fill="FFFFFF"/>
        </w:rPr>
        <w:t xml:space="preserve">reagent (SUDGEN, China) according to the supplier's instructions. Twenty-four hours after transfection, cells were selected with 1 </w:t>
      </w:r>
      <w:proofErr w:type="spellStart"/>
      <w:r>
        <w:rPr>
          <w:rFonts w:ascii="Times New Roman" w:hAnsi="Times New Roman" w:cs="Times New Roman"/>
          <w:color w:val="212121"/>
          <w:sz w:val="28"/>
          <w:szCs w:val="28"/>
          <w:shd w:val="clear" w:color="auto" w:fill="FFFFFF"/>
        </w:rPr>
        <w:t>μg</w:t>
      </w:r>
      <w:proofErr w:type="spellEnd"/>
      <w:r>
        <w:rPr>
          <w:rFonts w:ascii="Times New Roman" w:hAnsi="Times New Roman" w:cs="Times New Roman"/>
          <w:color w:val="212121"/>
          <w:sz w:val="28"/>
          <w:szCs w:val="28"/>
          <w:shd w:val="clear" w:color="auto" w:fill="FFFFFF"/>
        </w:rPr>
        <w:t xml:space="preserve">/ml puromycin (Invitrogen, </w:t>
      </w:r>
      <w:r>
        <w:rPr>
          <w:rFonts w:ascii="Times New Roman" w:hAnsi="Times New Roman" w:cs="Times New Roman"/>
          <w:color w:val="212121"/>
          <w:sz w:val="28"/>
          <w:szCs w:val="28"/>
          <w:shd w:val="clear" w:color="auto" w:fill="FFFFFF"/>
        </w:rPr>
        <w:lastRenderedPageBreak/>
        <w:t xml:space="preserve">USA) for 14 days. Stable colonies were screened and stored in 1 </w:t>
      </w:r>
      <w:proofErr w:type="spellStart"/>
      <w:r>
        <w:rPr>
          <w:rFonts w:ascii="Times New Roman" w:hAnsi="Times New Roman" w:cs="Times New Roman"/>
          <w:color w:val="212121"/>
          <w:sz w:val="28"/>
          <w:szCs w:val="28"/>
          <w:shd w:val="clear" w:color="auto" w:fill="FFFFFF"/>
        </w:rPr>
        <w:t>μg</w:t>
      </w:r>
      <w:proofErr w:type="spellEnd"/>
      <w:r>
        <w:rPr>
          <w:rFonts w:ascii="Times New Roman" w:hAnsi="Times New Roman" w:cs="Times New Roman"/>
          <w:color w:val="212121"/>
          <w:sz w:val="28"/>
          <w:szCs w:val="28"/>
          <w:shd w:val="clear" w:color="auto" w:fill="FFFFFF"/>
        </w:rPr>
        <w:t>/ml puromycin.</w:t>
      </w:r>
    </w:p>
    <w:p w14:paraId="4BD2882B"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Generation of stable MARCH5 knockdown cell lines</w:t>
      </w:r>
    </w:p>
    <w:p w14:paraId="66BEC358"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MARCH5 was knocked down with pPLK-CMV-MARCH5-sh1-GFP-Puro plasmid (MARCH5). </w:t>
      </w:r>
      <w:proofErr w:type="spellStart"/>
      <w:r>
        <w:rPr>
          <w:rFonts w:ascii="Times New Roman" w:hAnsi="Times New Roman" w:cs="Times New Roman"/>
          <w:color w:val="212121"/>
          <w:sz w:val="28"/>
          <w:szCs w:val="28"/>
          <w:shd w:val="clear" w:color="auto" w:fill="FFFFFF"/>
        </w:rPr>
        <w:t>pPLK</w:t>
      </w:r>
      <w:proofErr w:type="spellEnd"/>
      <w:r>
        <w:rPr>
          <w:rFonts w:ascii="Times New Roman" w:hAnsi="Times New Roman" w:cs="Times New Roman"/>
          <w:color w:val="212121"/>
          <w:sz w:val="28"/>
          <w:szCs w:val="28"/>
          <w:shd w:val="clear" w:color="auto" w:fill="FFFFFF"/>
        </w:rPr>
        <w:t xml:space="preserve">-CMV-GFP-Puro plasmid was used as control (NC). The plasmids were purchased from the Public Protein/Plasmid Library (China), and the whole constructs were verified by sequencing. Briefly, Huh7 cells were placed in 6-well plates overnight and then transfected with pcDNA3.1/MARCH5-sh1 and pcDNA3.1/MARCH5-sh2 plasmids and pcDNA3.1/NC plasmid using </w:t>
      </w:r>
      <w:proofErr w:type="spellStart"/>
      <w:r>
        <w:rPr>
          <w:rFonts w:ascii="Times New Roman" w:hAnsi="Times New Roman" w:cs="Times New Roman"/>
          <w:color w:val="212121"/>
          <w:sz w:val="28"/>
          <w:szCs w:val="28"/>
          <w:shd w:val="clear" w:color="auto" w:fill="FFFFFF"/>
        </w:rPr>
        <w:t>LipoMax</w:t>
      </w:r>
      <w:proofErr w:type="spellEnd"/>
      <w:r>
        <w:rPr>
          <w:rFonts w:ascii="Times New Roman" w:hAnsi="Times New Roman" w:cs="Times New Roman"/>
          <w:color w:val="212121"/>
          <w:sz w:val="28"/>
          <w:szCs w:val="28"/>
          <w:shd w:val="clear" w:color="auto" w:fill="FFFFFF"/>
        </w:rPr>
        <w:t xml:space="preserve"> reagent (SUDGEN, China) according to the supplier's instructions. Twenty-four hours after transfection, cells were selected with 1 </w:t>
      </w:r>
      <w:proofErr w:type="spellStart"/>
      <w:r>
        <w:rPr>
          <w:rFonts w:ascii="Times New Roman" w:hAnsi="Times New Roman" w:cs="Times New Roman"/>
          <w:color w:val="212121"/>
          <w:sz w:val="28"/>
          <w:szCs w:val="28"/>
          <w:shd w:val="clear" w:color="auto" w:fill="FFFFFF"/>
        </w:rPr>
        <w:t>μg</w:t>
      </w:r>
      <w:proofErr w:type="spellEnd"/>
      <w:r>
        <w:rPr>
          <w:rFonts w:ascii="Times New Roman" w:hAnsi="Times New Roman" w:cs="Times New Roman"/>
          <w:color w:val="212121"/>
          <w:sz w:val="28"/>
          <w:szCs w:val="28"/>
          <w:shd w:val="clear" w:color="auto" w:fill="FFFFFF"/>
        </w:rPr>
        <w:t xml:space="preserve">/ml puromycin (Invitrogen, USA) for 14 days. Stable colonies were screened and stored in 1 </w:t>
      </w:r>
      <w:proofErr w:type="spellStart"/>
      <w:r>
        <w:rPr>
          <w:rFonts w:ascii="Times New Roman" w:hAnsi="Times New Roman" w:cs="Times New Roman"/>
          <w:color w:val="212121"/>
          <w:sz w:val="28"/>
          <w:szCs w:val="28"/>
          <w:shd w:val="clear" w:color="auto" w:fill="FFFFFF"/>
        </w:rPr>
        <w:t>μg</w:t>
      </w:r>
      <w:proofErr w:type="spellEnd"/>
      <w:r>
        <w:rPr>
          <w:rFonts w:ascii="Times New Roman" w:hAnsi="Times New Roman" w:cs="Times New Roman"/>
          <w:color w:val="212121"/>
          <w:sz w:val="28"/>
          <w:szCs w:val="28"/>
          <w:shd w:val="clear" w:color="auto" w:fill="FFFFFF"/>
        </w:rPr>
        <w:t>/ml puromycin.</w:t>
      </w:r>
    </w:p>
    <w:p w14:paraId="3F58EC1F"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Cell proliferation analysis</w:t>
      </w:r>
    </w:p>
    <w:p w14:paraId="51674358"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Transfected MHCC97H and Huh7 cells were inoculated into 96-well plates at 1 × 103 per well and assayed on days 1, 2, 3, 4 and 5 post-</w:t>
      </w:r>
      <w:proofErr w:type="gramStart"/>
      <w:r>
        <w:rPr>
          <w:rFonts w:ascii="Times New Roman" w:hAnsi="Times New Roman" w:cs="Times New Roman"/>
          <w:color w:val="212121"/>
          <w:sz w:val="28"/>
          <w:szCs w:val="28"/>
          <w:shd w:val="clear" w:color="auto" w:fill="FFFFFF"/>
        </w:rPr>
        <w:t>transfection</w:t>
      </w:r>
      <w:proofErr w:type="gramEnd"/>
      <w:r>
        <w:rPr>
          <w:rFonts w:ascii="Times New Roman" w:hAnsi="Times New Roman" w:cs="Times New Roman"/>
          <w:color w:val="212121"/>
          <w:sz w:val="28"/>
          <w:szCs w:val="28"/>
          <w:shd w:val="clear" w:color="auto" w:fill="FFFFFF"/>
        </w:rPr>
        <w:t>. Cell activity was assessed by Cell Counting Kit-8 (</w:t>
      </w:r>
      <w:proofErr w:type="spellStart"/>
      <w:r>
        <w:rPr>
          <w:rFonts w:ascii="Times New Roman" w:hAnsi="Times New Roman" w:cs="Times New Roman"/>
          <w:color w:val="212121"/>
          <w:sz w:val="28"/>
          <w:szCs w:val="28"/>
          <w:shd w:val="clear" w:color="auto" w:fill="FFFFFF"/>
        </w:rPr>
        <w:t>Solarbio</w:t>
      </w:r>
      <w:proofErr w:type="spellEnd"/>
      <w:r>
        <w:rPr>
          <w:rFonts w:ascii="Times New Roman" w:hAnsi="Times New Roman" w:cs="Times New Roman"/>
          <w:color w:val="212121"/>
          <w:sz w:val="28"/>
          <w:szCs w:val="28"/>
          <w:shd w:val="clear" w:color="auto" w:fill="FFFFFF"/>
        </w:rPr>
        <w:t xml:space="preserve">, China). At predetermined time points, the original intermediates in each well were replaced with intermediates containing 10% CCK-8 reagent. </w:t>
      </w:r>
      <w:r>
        <w:rPr>
          <w:rFonts w:ascii="Times New Roman" w:hAnsi="Times New Roman" w:cs="Times New Roman"/>
          <w:color w:val="212121"/>
          <w:sz w:val="28"/>
          <w:szCs w:val="28"/>
          <w:shd w:val="clear" w:color="auto" w:fill="FFFFFF"/>
        </w:rPr>
        <w:lastRenderedPageBreak/>
        <w:t xml:space="preserve">After incubation at 37°C for 120 min, the absorption of the samples was </w:t>
      </w:r>
      <w:proofErr w:type="spellStart"/>
      <w:r>
        <w:rPr>
          <w:rFonts w:ascii="Times New Roman" w:hAnsi="Times New Roman" w:cs="Times New Roman"/>
          <w:color w:val="212121"/>
          <w:sz w:val="28"/>
          <w:szCs w:val="28"/>
          <w:shd w:val="clear" w:color="auto" w:fill="FFFFFF"/>
        </w:rPr>
        <w:t>characterised</w:t>
      </w:r>
      <w:proofErr w:type="spellEnd"/>
      <w:r>
        <w:rPr>
          <w:rFonts w:ascii="Times New Roman" w:hAnsi="Times New Roman" w:cs="Times New Roman"/>
          <w:color w:val="212121"/>
          <w:sz w:val="28"/>
          <w:szCs w:val="28"/>
          <w:shd w:val="clear" w:color="auto" w:fill="FFFFFF"/>
        </w:rPr>
        <w:t xml:space="preserve"> by a microplate reader at 450 nm.</w:t>
      </w:r>
    </w:p>
    <w:p w14:paraId="018F57E5"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Colony formation analysis</w:t>
      </w:r>
    </w:p>
    <w:p w14:paraId="732BA642"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Transfected MHCC97H and Huh7 cells are grown in 6-well plates (1000 cells per well) and cultured for approximately 14 days. The medium was changed every 3-4 days. The cells were then fixed with 4% PFA and stained with 0.1% CVSS for 15 minutes. After rinsing with PBS, colony formation was photographed and counted.</w:t>
      </w:r>
    </w:p>
    <w:p w14:paraId="6C962969"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proofErr w:type="spellStart"/>
      <w:r>
        <w:rPr>
          <w:rFonts w:ascii="Times New Roman" w:hAnsi="Times New Roman" w:cs="Times New Roman"/>
          <w:color w:val="212121"/>
          <w:sz w:val="28"/>
          <w:szCs w:val="28"/>
          <w:shd w:val="clear" w:color="auto" w:fill="FFFFFF"/>
        </w:rPr>
        <w:t>EdU</w:t>
      </w:r>
      <w:proofErr w:type="spellEnd"/>
      <w:r>
        <w:rPr>
          <w:rFonts w:ascii="Times New Roman" w:hAnsi="Times New Roman" w:cs="Times New Roman"/>
          <w:color w:val="212121"/>
          <w:sz w:val="28"/>
          <w:szCs w:val="28"/>
          <w:shd w:val="clear" w:color="auto" w:fill="FFFFFF"/>
        </w:rPr>
        <w:t xml:space="preserve"> labeling assay</w:t>
      </w:r>
    </w:p>
    <w:p w14:paraId="57BF9B0D"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MARCH5 overexpressing MHCC-97H and Huh7 cells after knockdown of MARCH5 were detected using the Click-</w:t>
      </w:r>
      <w:proofErr w:type="spellStart"/>
      <w:r>
        <w:rPr>
          <w:rFonts w:ascii="Times New Roman" w:hAnsi="Times New Roman" w:cs="Times New Roman"/>
          <w:color w:val="212121"/>
          <w:sz w:val="28"/>
          <w:szCs w:val="28"/>
          <w:shd w:val="clear" w:color="auto" w:fill="FFFFFF"/>
        </w:rPr>
        <w:t>iT</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EdU</w:t>
      </w:r>
      <w:proofErr w:type="spellEnd"/>
      <w:r>
        <w:rPr>
          <w:rFonts w:ascii="Times New Roman" w:hAnsi="Times New Roman" w:cs="Times New Roman"/>
          <w:color w:val="212121"/>
          <w:sz w:val="28"/>
          <w:szCs w:val="28"/>
          <w:shd w:val="clear" w:color="auto" w:fill="FFFFFF"/>
        </w:rPr>
        <w:t xml:space="preserve"> Cell Proliferation Kit for Imaging, Alexa Fluor™ 555 dye (C10338, Invitrogen), according to protocols provided by the manufacturer.</w:t>
      </w:r>
    </w:p>
    <w:p w14:paraId="6CAC2FF1"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Wound Healing Assay</w:t>
      </w:r>
    </w:p>
    <w:p w14:paraId="24B811CF"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Transfected MHCC97H and Huh7 cells were cultured into 6-well plates. When the cells reach 90% fusion, a linear wound is formed with a 200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standard pipette after 2 washes with PBS. Cells were incubated in FBS-free intermediate medium for an additional 48 hours.</w:t>
      </w:r>
    </w:p>
    <w:p w14:paraId="44900359"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lastRenderedPageBreak/>
        <w:t>Cell migration and invasion assay</w:t>
      </w:r>
    </w:p>
    <w:p w14:paraId="63DD3C4E"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Transfected MHCC97H and Huh7 cells were inoculated into the upper chamber of Corning cell culture inserts with polycarbonate filter membrane (pore size 8 </w:t>
      </w:r>
      <w:proofErr w:type="spellStart"/>
      <w:r>
        <w:rPr>
          <w:rFonts w:ascii="Times New Roman" w:hAnsi="Times New Roman" w:cs="Times New Roman"/>
          <w:color w:val="212121"/>
          <w:sz w:val="28"/>
          <w:szCs w:val="28"/>
          <w:shd w:val="clear" w:color="auto" w:fill="FFFFFF"/>
        </w:rPr>
        <w:t>μm</w:t>
      </w:r>
      <w:proofErr w:type="spellEnd"/>
      <w:r>
        <w:rPr>
          <w:rFonts w:ascii="Times New Roman" w:hAnsi="Times New Roman" w:cs="Times New Roman"/>
          <w:color w:val="212121"/>
          <w:sz w:val="28"/>
          <w:szCs w:val="28"/>
          <w:shd w:val="clear" w:color="auto" w:fill="FFFFFF"/>
        </w:rPr>
        <w:t xml:space="preserve">, diameter 6.5 mm). For cell migration capacity, 2 × 105 cells were inoculated with 100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of FBS-free intermediate solution into the upper chamber without Matrigel (BD, USA). For cell invasion ability, 2 × 105 cells were inoculated into the upper chamber pre-coated with Matrigel by adding 2 × 105 cells in 100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of FBS-free intermediate solution. The lower chamber was used with 800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of DMEM intermediate medium (with 20% FBS added). After 48 hours of incubation at 37°C in a humidified environment with 5% carbon dioxide, non-migrated or non-infected cells adhering to the upper chamber were carefully removed, while migrated or infected cells adhering to the lower chamber were treated with 4% PFA for 15 minutes and stained with 0.1% CVSS for 15 minutes.</w:t>
      </w:r>
    </w:p>
    <w:p w14:paraId="395F6769"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Xenograft experiment</w:t>
      </w:r>
    </w:p>
    <w:p w14:paraId="1C0EF047"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Animal experiments were approved by the Ethics Committee of the First Affiliated Hospital of Zhengzhou University.5-week-old female BALB/C nude mice were purchased from Beijing Vitality River Laboratory Animal Technology Co Ltd (China) for in vivo proliferative capacity </w:t>
      </w:r>
      <w:r>
        <w:rPr>
          <w:rFonts w:ascii="Times New Roman" w:hAnsi="Times New Roman" w:cs="Times New Roman"/>
          <w:color w:val="212121"/>
          <w:sz w:val="28"/>
          <w:szCs w:val="28"/>
          <w:shd w:val="clear" w:color="auto" w:fill="FFFFFF"/>
        </w:rPr>
        <w:lastRenderedPageBreak/>
        <w:t xml:space="preserve">assessment. 5 × 106 MHCC97H cells stably overexpressing MARCH5 were suspended in 100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PBS and injected subcutaneously into the right dorsal side of the animals. The cancer volume and body weight of the animals were identified every other day and the average cancer volume was calculated using the formula: volume = (length × width2)/2. After 3 weeks, all the animals were </w:t>
      </w:r>
      <w:proofErr w:type="spellStart"/>
      <w:r>
        <w:rPr>
          <w:rFonts w:ascii="Times New Roman" w:hAnsi="Times New Roman" w:cs="Times New Roman"/>
          <w:color w:val="212121"/>
          <w:sz w:val="28"/>
          <w:szCs w:val="28"/>
          <w:shd w:val="clear" w:color="auto" w:fill="FFFFFF"/>
        </w:rPr>
        <w:t>euthanised</w:t>
      </w:r>
      <w:proofErr w:type="spellEnd"/>
      <w:r>
        <w:rPr>
          <w:rFonts w:ascii="Times New Roman" w:hAnsi="Times New Roman" w:cs="Times New Roman"/>
          <w:color w:val="212121"/>
          <w:sz w:val="28"/>
          <w:szCs w:val="28"/>
          <w:shd w:val="clear" w:color="auto" w:fill="FFFFFF"/>
        </w:rPr>
        <w:t xml:space="preserve"> and imaged, and the cancerous tissues were peeled off and meticulously measured.</w:t>
      </w:r>
    </w:p>
    <w:p w14:paraId="04249210"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Lung metastasis model</w:t>
      </w:r>
    </w:p>
    <w:p w14:paraId="0A04211E"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To assess tumor metastasis in vivo, 3 × 106 MHCC97H cells stably overexpressing MARCH5 were suspended in 100 </w:t>
      </w:r>
      <w:proofErr w:type="spellStart"/>
      <w:r>
        <w:rPr>
          <w:rFonts w:ascii="Times New Roman" w:hAnsi="Times New Roman" w:cs="Times New Roman"/>
          <w:color w:val="212121"/>
          <w:sz w:val="28"/>
          <w:szCs w:val="28"/>
          <w:shd w:val="clear" w:color="auto" w:fill="FFFFFF"/>
        </w:rPr>
        <w:t>μL</w:t>
      </w:r>
      <w:proofErr w:type="spellEnd"/>
      <w:r>
        <w:rPr>
          <w:rFonts w:ascii="Times New Roman" w:hAnsi="Times New Roman" w:cs="Times New Roman"/>
          <w:color w:val="212121"/>
          <w:sz w:val="28"/>
          <w:szCs w:val="28"/>
          <w:shd w:val="clear" w:color="auto" w:fill="FFFFFF"/>
        </w:rPr>
        <w:t xml:space="preserve"> of PBS and injected into the animals via the tail vein, and the whole animals were </w:t>
      </w:r>
      <w:proofErr w:type="spellStart"/>
      <w:r>
        <w:rPr>
          <w:rFonts w:ascii="Times New Roman" w:hAnsi="Times New Roman" w:cs="Times New Roman"/>
          <w:color w:val="212121"/>
          <w:sz w:val="28"/>
          <w:szCs w:val="28"/>
          <w:shd w:val="clear" w:color="auto" w:fill="FFFFFF"/>
        </w:rPr>
        <w:t>euthanised</w:t>
      </w:r>
      <w:proofErr w:type="spellEnd"/>
      <w:r>
        <w:rPr>
          <w:rFonts w:ascii="Times New Roman" w:hAnsi="Times New Roman" w:cs="Times New Roman"/>
          <w:color w:val="212121"/>
          <w:sz w:val="28"/>
          <w:szCs w:val="28"/>
          <w:shd w:val="clear" w:color="auto" w:fill="FFFFFF"/>
        </w:rPr>
        <w:t xml:space="preserve"> after 8 weeks. Lung tissues were carefully dissected and photographed. The lungs were stained with H&amp;E. Whole lung tissues of all mice were sectioned and lung metastatic nodules in HPF were counted using microscopic equipment.</w:t>
      </w:r>
    </w:p>
    <w:p w14:paraId="5B77434E"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Histological and IHC assays</w:t>
      </w:r>
    </w:p>
    <w:p w14:paraId="095DE526"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Clinical samples and lung tissues from animals were RT-fixed in 4.0% PFA night growth solution. Subsequently, the tissues were fixed in paraffin and sectioned (5 </w:t>
      </w:r>
      <w:proofErr w:type="spellStart"/>
      <w:r>
        <w:rPr>
          <w:rFonts w:ascii="Times New Roman" w:hAnsi="Times New Roman" w:cs="Times New Roman"/>
          <w:color w:val="212121"/>
          <w:sz w:val="28"/>
          <w:szCs w:val="28"/>
          <w:shd w:val="clear" w:color="auto" w:fill="FFFFFF"/>
        </w:rPr>
        <w:t>μm</w:t>
      </w:r>
      <w:proofErr w:type="spellEnd"/>
      <w:r>
        <w:rPr>
          <w:rFonts w:ascii="Times New Roman" w:hAnsi="Times New Roman" w:cs="Times New Roman"/>
          <w:color w:val="212121"/>
          <w:sz w:val="28"/>
          <w:szCs w:val="28"/>
          <w:shd w:val="clear" w:color="auto" w:fill="FFFFFF"/>
        </w:rPr>
        <w:t xml:space="preserve">). Afterwards, lung tissue sections were stained with H&amp;E and observed by light microscopy. For IHC analysis, </w:t>
      </w:r>
      <w:r>
        <w:rPr>
          <w:rFonts w:ascii="Times New Roman" w:hAnsi="Times New Roman" w:cs="Times New Roman"/>
          <w:color w:val="212121"/>
          <w:sz w:val="28"/>
          <w:szCs w:val="28"/>
          <w:shd w:val="clear" w:color="auto" w:fill="FFFFFF"/>
        </w:rPr>
        <w:lastRenderedPageBreak/>
        <w:t xml:space="preserve">after </w:t>
      </w:r>
      <w:proofErr w:type="spellStart"/>
      <w:r>
        <w:rPr>
          <w:rFonts w:ascii="Times New Roman" w:hAnsi="Times New Roman" w:cs="Times New Roman"/>
          <w:color w:val="212121"/>
          <w:sz w:val="28"/>
          <w:szCs w:val="28"/>
          <w:shd w:val="clear" w:color="auto" w:fill="FFFFFF"/>
        </w:rPr>
        <w:t>deparaffinisation</w:t>
      </w:r>
      <w:proofErr w:type="spellEnd"/>
      <w:r>
        <w:rPr>
          <w:rFonts w:ascii="Times New Roman" w:hAnsi="Times New Roman" w:cs="Times New Roman"/>
          <w:color w:val="212121"/>
          <w:sz w:val="28"/>
          <w:szCs w:val="28"/>
          <w:shd w:val="clear" w:color="auto" w:fill="FFFFFF"/>
        </w:rPr>
        <w:t xml:space="preserve"> and hydration, the sections were blocked with 3% H₂O₂ to block endogenous peroxidase and pre-treated with microwave heating in EDTA (pH 8.0) for 300 seconds. Sections were stained with DAB and counterstained with hematoxylin. The level of immunostaining was scored separately by two researchers who were unaware of the histopathological features and patient information. The score was determined by a combination of the number of positively stained </w:t>
      </w:r>
      <w:proofErr w:type="spellStart"/>
      <w:r>
        <w:rPr>
          <w:rFonts w:ascii="Times New Roman" w:hAnsi="Times New Roman" w:cs="Times New Roman"/>
          <w:color w:val="212121"/>
          <w:sz w:val="28"/>
          <w:szCs w:val="28"/>
          <w:shd w:val="clear" w:color="auto" w:fill="FFFFFF"/>
        </w:rPr>
        <w:t>tumour</w:t>
      </w:r>
      <w:proofErr w:type="spellEnd"/>
      <w:r>
        <w:rPr>
          <w:rFonts w:ascii="Times New Roman" w:hAnsi="Times New Roman" w:cs="Times New Roman"/>
          <w:color w:val="212121"/>
          <w:sz w:val="28"/>
          <w:szCs w:val="28"/>
          <w:shd w:val="clear" w:color="auto" w:fill="FFFFFF"/>
        </w:rPr>
        <w:t xml:space="preserve"> cells and the intensity of staining.</w:t>
      </w:r>
    </w:p>
    <w:p w14:paraId="722CA62A" w14:textId="77777777" w:rsidR="001E2F80" w:rsidRDefault="001E2F80" w:rsidP="001E2F80">
      <w:pPr>
        <w:pStyle w:val="a3"/>
        <w:shd w:val="clear" w:color="auto" w:fill="FFFFFF"/>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Statistical analysis</w:t>
      </w:r>
    </w:p>
    <w:p w14:paraId="35EF7E69"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Data are expressed as mean ± SD of three independent tests. Differences between experimental and control groups were compared by Student's t-test or one-way ANOVA. Survival rates were calculated by the K-M method, and differences in survival rates were assessed by the log-rank test. Differences were significant at *p &lt; 0.05, **p &lt; 0.01, ***, p &lt; 0.001 when compared to the vector or NC groups. Results were </w:t>
      </w:r>
      <w:proofErr w:type="spellStart"/>
      <w:r>
        <w:rPr>
          <w:rFonts w:ascii="Times New Roman" w:hAnsi="Times New Roman" w:cs="Times New Roman"/>
          <w:color w:val="212121"/>
          <w:sz w:val="28"/>
          <w:szCs w:val="28"/>
          <w:shd w:val="clear" w:color="auto" w:fill="FFFFFF"/>
        </w:rPr>
        <w:t>analysed</w:t>
      </w:r>
      <w:proofErr w:type="spellEnd"/>
      <w:r>
        <w:rPr>
          <w:rFonts w:ascii="Times New Roman" w:hAnsi="Times New Roman" w:cs="Times New Roman"/>
          <w:color w:val="212121"/>
          <w:sz w:val="28"/>
          <w:szCs w:val="28"/>
          <w:shd w:val="clear" w:color="auto" w:fill="FFFFFF"/>
        </w:rPr>
        <w:t xml:space="preserve"> using GraphPad Prism 8.0.</w:t>
      </w:r>
    </w:p>
    <w:p w14:paraId="3FD16460"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w:t>
      </w:r>
    </w:p>
    <w:p w14:paraId="5F0495BC" w14:textId="77777777" w:rsidR="001E2F80" w:rsidRDefault="001E2F80" w:rsidP="001E2F80">
      <w:pPr>
        <w:pStyle w:val="a3"/>
        <w:shd w:val="clear" w:color="auto" w:fill="FFFFFF"/>
        <w:spacing w:before="400" w:beforeAutospacing="0" w:after="400" w:afterAutospacing="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w:t>
      </w:r>
    </w:p>
    <w:p w14:paraId="4DF1257D" w14:textId="77777777" w:rsidR="001E2F80" w:rsidRDefault="001E2F80" w:rsidP="001E2F80">
      <w:pPr>
        <w:rPr>
          <w:rFonts w:ascii="Times New Roman" w:hAnsi="Times New Roman"/>
          <w:sz w:val="28"/>
          <w:szCs w:val="28"/>
        </w:rPr>
      </w:pPr>
      <w:r>
        <w:rPr>
          <w:rFonts w:ascii="Times New Roman" w:hAnsi="Times New Roman"/>
          <w:sz w:val="28"/>
          <w:szCs w:val="28"/>
        </w:rPr>
        <w:t xml:space="preserve"> </w:t>
      </w:r>
    </w:p>
    <w:p w14:paraId="7AB586F9" w14:textId="77777777" w:rsidR="00ED4600" w:rsidRDefault="00ED4600"/>
    <w:sectPr w:rsidR="00ED46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80"/>
    <w:rsid w:val="001E2F80"/>
    <w:rsid w:val="00A47B9B"/>
    <w:rsid w:val="00E96BA4"/>
    <w:rsid w:val="00ED4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E047"/>
  <w15:chartTrackingRefBased/>
  <w15:docId w15:val="{9036CC4F-B324-4D6E-B3A2-4A054E90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F80"/>
    <w:pPr>
      <w:widowControl w:val="0"/>
      <w:jc w:val="both"/>
    </w:pPr>
    <w:rPr>
      <w:rFonts w:ascii="等线" w:eastAsia="等线" w:hAnsi="等线" w:cs="Times New Roman"/>
      <w:szCs w:val="21"/>
    </w:rPr>
  </w:style>
  <w:style w:type="paragraph" w:styleId="2">
    <w:name w:val="heading 2"/>
    <w:basedOn w:val="a"/>
    <w:next w:val="a"/>
    <w:link w:val="20"/>
    <w:uiPriority w:val="99"/>
    <w:qFormat/>
    <w:rsid w:val="001E2F80"/>
    <w:pPr>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9"/>
    <w:qFormat/>
    <w:rsid w:val="001E2F8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1E2F80"/>
    <w:rPr>
      <w:rFonts w:ascii="宋体" w:eastAsia="宋体" w:hAnsi="宋体" w:cs="宋体"/>
      <w:b/>
      <w:bCs/>
      <w:kern w:val="0"/>
      <w:sz w:val="36"/>
      <w:szCs w:val="36"/>
    </w:rPr>
  </w:style>
  <w:style w:type="character" w:customStyle="1" w:styleId="30">
    <w:name w:val="标题 3 字符"/>
    <w:basedOn w:val="a0"/>
    <w:link w:val="3"/>
    <w:uiPriority w:val="99"/>
    <w:rsid w:val="001E2F80"/>
    <w:rPr>
      <w:rFonts w:ascii="等线" w:eastAsia="等线" w:hAnsi="等线" w:cs="Times New Roman"/>
      <w:b/>
      <w:bCs/>
      <w:sz w:val="32"/>
      <w:szCs w:val="32"/>
    </w:rPr>
  </w:style>
  <w:style w:type="paragraph" w:styleId="a3">
    <w:name w:val="Normal (Web)"/>
    <w:basedOn w:val="a"/>
    <w:uiPriority w:val="99"/>
    <w:semiHidden/>
    <w:unhideWhenUsed/>
    <w:rsid w:val="001E2F8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1328</Words>
  <Characters>7573</Characters>
  <Application>Microsoft Office Word</Application>
  <DocSecurity>0</DocSecurity>
  <Lines>63</Lines>
  <Paragraphs>17</Paragraphs>
  <ScaleCrop>false</ScaleCrop>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鑫 蔡</dc:creator>
  <cp:keywords/>
  <dc:description/>
  <cp:lastModifiedBy>鑫 蔡</cp:lastModifiedBy>
  <cp:revision>2</cp:revision>
  <dcterms:created xsi:type="dcterms:W3CDTF">2023-10-03T03:08:00Z</dcterms:created>
  <dcterms:modified xsi:type="dcterms:W3CDTF">2023-10-06T15:23:00Z</dcterms:modified>
</cp:coreProperties>
</file>