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F73" w:rsidRPr="00EA6356" w:rsidRDefault="00417D7E">
      <w:pPr>
        <w:spacing w:after="0" w:line="360" w:lineRule="auto"/>
        <w:jc w:val="center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Supplementary t</w:t>
      </w:r>
      <w:r w:rsidR="00EA6356" w:rsidRPr="00EA6356">
        <w:rPr>
          <w:b/>
          <w:bCs/>
          <w:u w:val="single"/>
          <w:lang w:val="en-US"/>
        </w:rPr>
        <w:t xml:space="preserve">able </w:t>
      </w:r>
      <w:r>
        <w:rPr>
          <w:b/>
          <w:bCs/>
          <w:u w:val="single"/>
          <w:lang w:val="en-US"/>
        </w:rPr>
        <w:t>1</w:t>
      </w:r>
      <w:bookmarkStart w:id="0" w:name="_GoBack"/>
      <w:bookmarkEnd w:id="0"/>
      <w:r w:rsidR="00EA6356" w:rsidRPr="00EA6356">
        <w:rPr>
          <w:b/>
          <w:bCs/>
          <w:u w:val="single"/>
          <w:lang w:val="en-US"/>
        </w:rPr>
        <w:t>: Association of pre-, intra- and postoperative parameters with decline in BChE-activity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1771"/>
        <w:gridCol w:w="1771"/>
        <w:gridCol w:w="1576"/>
      </w:tblGrid>
      <w:tr w:rsidR="00D24F73" w:rsidRPr="00EA6356">
        <w:trPr>
          <w:jc w:val="center"/>
        </w:trPr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lang w:val="en-GB"/>
              </w:rPr>
              <w:t>3.A Preoperative variables (categorial)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  <w:p w:rsidR="00D24F73" w:rsidRPr="00EA6356" w:rsidRDefault="00EA6356">
            <w:pPr>
              <w:spacing w:line="60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n (patients) (%)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p-value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Arterial hypertension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51 (21.5%)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0.045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 xml:space="preserve">Type two diabetes 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65 (27.4%)</w:t>
            </w:r>
          </w:p>
        </w:tc>
        <w:tc>
          <w:tcPr>
            <w:tcW w:w="1771" w:type="dxa"/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GB"/>
              </w:rPr>
            </w:pP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0.014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Adipositas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62 (26.2%)</w:t>
            </w:r>
          </w:p>
        </w:tc>
        <w:tc>
          <w:tcPr>
            <w:tcW w:w="1771" w:type="dxa"/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GB"/>
              </w:rPr>
            </w:pP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Cs/>
                <w:lang w:val="en-GB"/>
              </w:rPr>
              <w:t>0.171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Myocardial infarction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35 (14.8%)</w:t>
            </w:r>
          </w:p>
        </w:tc>
        <w:tc>
          <w:tcPr>
            <w:tcW w:w="1771" w:type="dxa"/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0.355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Atrial fibrillation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67 (28.3%)</w:t>
            </w:r>
          </w:p>
        </w:tc>
        <w:tc>
          <w:tcPr>
            <w:tcW w:w="1771" w:type="dxa"/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0.297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Alcohol abuse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19 (8.0%)</w:t>
            </w:r>
          </w:p>
        </w:tc>
        <w:tc>
          <w:tcPr>
            <w:tcW w:w="1771" w:type="dxa"/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0.425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Pulmonary embolism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6 (2.5%)</w:t>
            </w:r>
          </w:p>
        </w:tc>
        <w:tc>
          <w:tcPr>
            <w:tcW w:w="1771" w:type="dxa"/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0.081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Meningitis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6 (2.5%)</w:t>
            </w:r>
          </w:p>
        </w:tc>
        <w:tc>
          <w:tcPr>
            <w:tcW w:w="1771" w:type="dxa"/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0.833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Coronary heart disease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206 (86.9%)</w:t>
            </w:r>
          </w:p>
        </w:tc>
        <w:tc>
          <w:tcPr>
            <w:tcW w:w="1771" w:type="dxa"/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0.115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 xml:space="preserve">Heart failure 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130 (54.9%)</w:t>
            </w:r>
          </w:p>
        </w:tc>
        <w:tc>
          <w:tcPr>
            <w:tcW w:w="1771" w:type="dxa"/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0.179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History of POD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15 (6.3%)</w:t>
            </w:r>
          </w:p>
        </w:tc>
        <w:tc>
          <w:tcPr>
            <w:tcW w:w="1771" w:type="dxa"/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0.817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History of stroke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24 (10.1%)</w:t>
            </w:r>
          </w:p>
        </w:tc>
        <w:tc>
          <w:tcPr>
            <w:tcW w:w="1771" w:type="dxa"/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0.407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Depression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18 (7.6%)</w:t>
            </w:r>
          </w:p>
        </w:tc>
        <w:tc>
          <w:tcPr>
            <w:tcW w:w="1771" w:type="dxa"/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0.867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Carcinoma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29 (12.2%)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0.252</w:t>
            </w:r>
            <w:r w:rsidRPr="00EA6356">
              <w:rPr>
                <w:rFonts w:asciiTheme="minorHAnsi" w:hAnsiTheme="minorHAnsi"/>
                <w:lang w:val="en-GB"/>
              </w:rPr>
              <w:t>†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it-IT"/>
              </w:rPr>
              <w:t>3.B Pre-, intra, postoperative variables (continuous)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n (patients)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Correlation (Rho)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p-value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Age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-0.136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lang w:val="en-GB"/>
              </w:rPr>
              <w:t>0.037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/>
                <w:lang w:val="en-GB"/>
              </w:rPr>
            </w:pPr>
            <w:r w:rsidRPr="00EA6356">
              <w:rPr>
                <w:rFonts w:asciiTheme="minorHAnsi" w:hAnsiTheme="minorHAnsi"/>
                <w:lang w:val="en-GB"/>
              </w:rPr>
              <w:t>Haemoglobine (g dl</w:t>
            </w:r>
            <w:r w:rsidRPr="00EA6356">
              <w:rPr>
                <w:rFonts w:asciiTheme="minorHAnsi" w:hAnsiTheme="minorHAnsi"/>
                <w:vertAlign w:val="superscript"/>
                <w:lang w:val="en-GB"/>
              </w:rPr>
              <w:t>-1</w:t>
            </w:r>
            <w:r w:rsidRPr="00EA6356">
              <w:rPr>
                <w:rFonts w:asciiTheme="minorHAnsi" w:hAnsiTheme="minorHAnsi"/>
                <w:lang w:val="en-GB"/>
              </w:rPr>
              <w:t>)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-0.014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0.833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MoCA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0.014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0.832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BMI (kg m</w:t>
            </w:r>
            <w:r w:rsidRPr="00EA6356">
              <w:rPr>
                <w:rFonts w:asciiTheme="minorHAnsi" w:hAnsiTheme="minorHAnsi" w:cstheme="minorHAnsi"/>
                <w:vertAlign w:val="superscript"/>
                <w:lang w:val="en-GB"/>
              </w:rPr>
              <w:t>-2</w:t>
            </w:r>
            <w:r w:rsidRPr="00EA6356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-0.090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0.168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lang w:val="en-GB"/>
              </w:rPr>
              <w:t>Intraoperative variables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D24F73" w:rsidRPr="00EA6356" w:rsidRDefault="00D24F73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</w:tr>
      <w:tr w:rsidR="00D24F73" w:rsidRPr="00EA6356">
        <w:trPr>
          <w:jc w:val="center"/>
        </w:trPr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Lactate (mmol l</w:t>
            </w:r>
            <w:r w:rsidRPr="00EA6356">
              <w:rPr>
                <w:rFonts w:asciiTheme="minorHAnsi" w:hAnsiTheme="minorHAnsi" w:cstheme="minorHAnsi"/>
                <w:vertAlign w:val="superscript"/>
                <w:lang w:val="en-GB"/>
              </w:rPr>
              <w:t>-1</w:t>
            </w:r>
            <w:r w:rsidRPr="00EA6356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0.188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0.004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Length of surgery (min)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0.357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&lt;0.001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Time on CPB (min)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168 (70.9%)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-0.062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0.421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MAP (mmHg)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-0.202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0.002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Total number of RCCs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0.308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&lt;0.001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/>
                <w:lang w:val="en-GB"/>
              </w:rPr>
            </w:pPr>
            <w:r w:rsidRPr="00EA6356">
              <w:rPr>
                <w:rFonts w:asciiTheme="minorHAnsi" w:hAnsiTheme="minorHAnsi"/>
                <w:lang w:val="en-GB"/>
              </w:rPr>
              <w:t>Haemoglobine (g dl</w:t>
            </w:r>
            <w:r w:rsidRPr="00EA6356">
              <w:rPr>
                <w:rFonts w:asciiTheme="minorHAnsi" w:hAnsiTheme="minorHAnsi"/>
                <w:vertAlign w:val="superscript"/>
                <w:lang w:val="en-GB"/>
              </w:rPr>
              <w:t>-1</w:t>
            </w:r>
            <w:r w:rsidRPr="00EA6356">
              <w:rPr>
                <w:rFonts w:asciiTheme="minorHAnsi" w:hAnsiTheme="minorHAnsi"/>
                <w:lang w:val="en-GB"/>
              </w:rPr>
              <w:t>)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-0.233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&lt;0.001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lang w:val="en-GB"/>
              </w:rPr>
              <w:t>Postoperative variables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4F73" w:rsidRPr="00EA6356" w:rsidRDefault="00D24F7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</w:tr>
      <w:tr w:rsidR="00D24F73" w:rsidRPr="00EA6356">
        <w:trPr>
          <w:jc w:val="center"/>
        </w:trPr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CRP (mg l</w:t>
            </w:r>
            <w:r w:rsidRPr="00EA6356">
              <w:rPr>
                <w:rFonts w:asciiTheme="minorHAnsi" w:hAnsiTheme="minorHAnsi" w:cstheme="minorHAnsi"/>
                <w:vertAlign w:val="superscript"/>
                <w:lang w:val="en-GB"/>
              </w:rPr>
              <w:t>-1</w:t>
            </w:r>
            <w:r w:rsidRPr="00EA6356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0.316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&lt;0.001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/>
                <w:lang w:val="en-GB"/>
              </w:rPr>
            </w:pPr>
            <w:r w:rsidRPr="00EA6356">
              <w:rPr>
                <w:rFonts w:asciiTheme="minorHAnsi" w:hAnsiTheme="minorHAnsi"/>
                <w:lang w:val="en-GB"/>
              </w:rPr>
              <w:t>Haemoglobine (g dl</w:t>
            </w:r>
            <w:r w:rsidRPr="00EA6356">
              <w:rPr>
                <w:rFonts w:asciiTheme="minorHAnsi" w:hAnsiTheme="minorHAnsi"/>
                <w:vertAlign w:val="superscript"/>
                <w:lang w:val="en-GB"/>
              </w:rPr>
              <w:t>-1</w:t>
            </w:r>
            <w:r w:rsidRPr="00EA6356">
              <w:rPr>
                <w:rFonts w:asciiTheme="minorHAnsi" w:hAnsiTheme="minorHAnsi"/>
                <w:lang w:val="en-GB"/>
              </w:rPr>
              <w:t>)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-0.185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0.004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Glucose (mmol l</w:t>
            </w:r>
            <w:r w:rsidRPr="00EA6356">
              <w:rPr>
                <w:rFonts w:asciiTheme="minorHAnsi" w:hAnsiTheme="minorHAnsi" w:cstheme="minorHAnsi"/>
                <w:vertAlign w:val="superscript"/>
                <w:lang w:val="en-GB"/>
              </w:rPr>
              <w:t>-1</w:t>
            </w:r>
            <w:r w:rsidRPr="00EA6356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-0.196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0.002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LDH (U l</w:t>
            </w:r>
            <w:r w:rsidRPr="00EA6356">
              <w:rPr>
                <w:rFonts w:asciiTheme="minorHAnsi" w:hAnsiTheme="minorHAnsi" w:cstheme="minorHAnsi"/>
                <w:vertAlign w:val="superscript"/>
                <w:lang w:val="en-GB"/>
              </w:rPr>
              <w:t>-1</w:t>
            </w:r>
            <w:r w:rsidRPr="00EA6356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196 (82.7%)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0.102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Cs/>
                <w:lang w:val="en-GB"/>
              </w:rPr>
              <w:t>0.157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lastRenderedPageBreak/>
              <w:t>Leukocytes (1000 µl</w:t>
            </w:r>
            <w:r w:rsidRPr="00EA6356">
              <w:rPr>
                <w:rFonts w:asciiTheme="minorHAnsi" w:hAnsiTheme="minorHAnsi" w:cstheme="minorHAnsi"/>
                <w:vertAlign w:val="superscript"/>
                <w:lang w:val="en-GB"/>
              </w:rPr>
              <w:t>-1</w:t>
            </w:r>
            <w:r w:rsidRPr="00EA6356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-0.199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0.002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Potassium (mmol l</w:t>
            </w:r>
            <w:r w:rsidRPr="00EA6356">
              <w:rPr>
                <w:rFonts w:asciiTheme="minorHAnsi" w:hAnsiTheme="minorHAnsi" w:cstheme="minorHAnsi"/>
                <w:vertAlign w:val="superscript"/>
                <w:lang w:val="en-GB"/>
              </w:rPr>
              <w:t>-1</w:t>
            </w:r>
            <w:r w:rsidRPr="00EA6356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0.314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&lt;0.001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Sodium (mmol l</w:t>
            </w:r>
            <w:r w:rsidRPr="00EA6356">
              <w:rPr>
                <w:rFonts w:asciiTheme="minorHAnsi" w:hAnsiTheme="minorHAnsi" w:cstheme="minorHAnsi"/>
                <w:vertAlign w:val="superscript"/>
                <w:lang w:val="en-GB"/>
              </w:rPr>
              <w:t>-1</w:t>
            </w:r>
            <w:r w:rsidRPr="00EA6356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0.092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Cs/>
                <w:lang w:val="en-GB"/>
              </w:rPr>
              <w:t>0.156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Calcium (mmol l</w:t>
            </w:r>
            <w:r w:rsidRPr="00EA6356">
              <w:rPr>
                <w:rFonts w:asciiTheme="minorHAnsi" w:hAnsiTheme="minorHAnsi" w:cstheme="minorHAnsi"/>
                <w:vertAlign w:val="superscript"/>
                <w:lang w:val="en-GB"/>
              </w:rPr>
              <w:t>-1</w:t>
            </w:r>
            <w:r w:rsidRPr="00EA6356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0.171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0.008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Lactate (mmol l</w:t>
            </w:r>
            <w:r w:rsidRPr="00EA6356">
              <w:rPr>
                <w:rFonts w:asciiTheme="minorHAnsi" w:hAnsiTheme="minorHAnsi" w:cstheme="minorHAnsi"/>
                <w:vertAlign w:val="superscript"/>
                <w:lang w:val="en-GB"/>
              </w:rPr>
              <w:t>-1</w:t>
            </w:r>
            <w:r w:rsidRPr="00EA6356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0.138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/>
                <w:bCs/>
                <w:lang w:val="en-GB"/>
              </w:rPr>
              <w:t>0.034</w:t>
            </w:r>
          </w:p>
        </w:tc>
      </w:tr>
      <w:tr w:rsidR="00D24F73" w:rsidRPr="00EA6356">
        <w:trPr>
          <w:jc w:val="center"/>
        </w:trPr>
        <w:tc>
          <w:tcPr>
            <w:tcW w:w="2448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/>
                <w:lang w:val="en-GB"/>
              </w:rPr>
            </w:pPr>
            <w:r w:rsidRPr="00EA6356">
              <w:rPr>
                <w:rFonts w:asciiTheme="minorHAnsi" w:hAnsiTheme="minorHAnsi"/>
                <w:lang w:val="en-GB"/>
              </w:rPr>
              <w:t>Creatinine (µmol l</w:t>
            </w:r>
            <w:r w:rsidRPr="00EA6356">
              <w:rPr>
                <w:rFonts w:asciiTheme="minorHAnsi" w:hAnsiTheme="minorHAnsi"/>
                <w:vertAlign w:val="superscript"/>
                <w:lang w:val="en-GB"/>
              </w:rPr>
              <w:t>-1</w:t>
            </w:r>
            <w:r w:rsidRPr="00EA6356">
              <w:rPr>
                <w:rFonts w:asciiTheme="minorHAnsi" w:hAnsiTheme="minorHAnsi"/>
                <w:lang w:val="en-GB"/>
              </w:rPr>
              <w:t xml:space="preserve">) </w:t>
            </w:r>
          </w:p>
        </w:tc>
        <w:tc>
          <w:tcPr>
            <w:tcW w:w="1771" w:type="dxa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237 (100%)</w:t>
            </w:r>
          </w:p>
        </w:tc>
        <w:tc>
          <w:tcPr>
            <w:tcW w:w="1771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6356">
              <w:rPr>
                <w:rFonts w:asciiTheme="minorHAnsi" w:hAnsiTheme="minorHAnsi" w:cstheme="minorHAnsi"/>
                <w:lang w:val="en-GB"/>
              </w:rPr>
              <w:t>-0.003</w:t>
            </w:r>
          </w:p>
        </w:tc>
        <w:tc>
          <w:tcPr>
            <w:tcW w:w="1576" w:type="dxa"/>
            <w:vAlign w:val="center"/>
          </w:tcPr>
          <w:p w:rsidR="00D24F73" w:rsidRPr="00EA6356" w:rsidRDefault="00EA6356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GB"/>
              </w:rPr>
            </w:pPr>
            <w:r w:rsidRPr="00EA6356">
              <w:rPr>
                <w:rFonts w:asciiTheme="minorHAnsi" w:hAnsiTheme="minorHAnsi" w:cstheme="minorHAnsi"/>
                <w:bCs/>
                <w:lang w:val="en-GB"/>
              </w:rPr>
              <w:t>0.967</w:t>
            </w:r>
          </w:p>
        </w:tc>
      </w:tr>
    </w:tbl>
    <w:p w:rsidR="00D24F73" w:rsidRPr="00EA6356" w:rsidRDefault="00EA6356">
      <w:pPr>
        <w:pStyle w:val="KeinLeerraum"/>
        <w:pBdr>
          <w:top w:val="single" w:sz="4" w:space="1" w:color="auto"/>
        </w:pBdr>
        <w:jc w:val="center"/>
        <w:rPr>
          <w:lang w:val="en-GB"/>
        </w:rPr>
      </w:pPr>
      <w:r w:rsidRPr="00EA6356">
        <w:rPr>
          <w:lang w:val="en-US"/>
        </w:rPr>
        <w:t xml:space="preserve">Shown are total numbers of patients. Testing was performed with </w:t>
      </w:r>
      <w:r w:rsidRPr="00EA6356">
        <w:rPr>
          <w:iCs/>
          <w:lang w:val="en-US"/>
        </w:rPr>
        <w:t>Mann-Whitney-U</w:t>
      </w:r>
      <w:r w:rsidRPr="00EA6356">
        <w:rPr>
          <w:lang w:val="en-US"/>
        </w:rPr>
        <w:t xml:space="preserve"> test (3A) (</w:t>
      </w:r>
      <w:r w:rsidRPr="00EA6356">
        <w:rPr>
          <w:lang w:val="en-GB"/>
        </w:rPr>
        <w:t>†</w:t>
      </w:r>
      <w:r w:rsidRPr="00EA6356">
        <w:rPr>
          <w:lang w:val="en-US"/>
        </w:rPr>
        <w:t xml:space="preserve">) or </w:t>
      </w:r>
      <w:r w:rsidRPr="00EA6356">
        <w:rPr>
          <w:iCs/>
          <w:lang w:val="en-US"/>
        </w:rPr>
        <w:t>Spearman’s</w:t>
      </w:r>
      <w:r w:rsidRPr="00EA6356">
        <w:rPr>
          <w:lang w:val="en-US"/>
        </w:rPr>
        <w:t xml:space="preserve"> correlation (3B).</w:t>
      </w:r>
      <w:r w:rsidRPr="00EA6356">
        <w:rPr>
          <w:lang w:val="en-GB"/>
        </w:rPr>
        <w:t xml:space="preserve"> Statistically significant results are shown in </w:t>
      </w:r>
      <w:r w:rsidRPr="00EA6356">
        <w:rPr>
          <w:b/>
          <w:bCs/>
          <w:lang w:val="en-GB"/>
        </w:rPr>
        <w:t>bold</w:t>
      </w:r>
      <w:r w:rsidRPr="00EA6356">
        <w:rPr>
          <w:lang w:val="en-GB"/>
        </w:rPr>
        <w:t xml:space="preserve">, </w:t>
      </w:r>
      <w:r w:rsidRPr="00EA6356">
        <w:rPr>
          <w:lang w:val="en-GB"/>
        </w:rPr>
        <w:br/>
        <w:t>p&lt;.05 was considered significant.</w:t>
      </w:r>
      <w:r w:rsidRPr="00EA6356">
        <w:rPr>
          <w:lang w:val="en-GB"/>
        </w:rPr>
        <w:br/>
        <w:t>BChE, Butyrylcholinesterase; POD, Postoperative Delirium; MoCA, Montreal Cognitive Assessment; BMI, Body Mass Index; CPB, Cardiopulmonary bypass; MAP, Mean Arterial Pressure; RCC, Red cell concentrate; CRP, C-reactive Protein; LDH, Lactate-dehydrogenase.</w:t>
      </w:r>
    </w:p>
    <w:p w:rsidR="00D24F73" w:rsidRDefault="00D24F73">
      <w:pPr>
        <w:rPr>
          <w:rFonts w:ascii="Frutiger LT 47 LightCn" w:hAnsi="Frutiger LT 47 LightCn"/>
          <w:lang w:val="en-GB"/>
        </w:rPr>
      </w:pPr>
    </w:p>
    <w:sectPr w:rsidR="00D24F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utiger LT 47 LightCn">
    <w:altName w:val="Calibri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73"/>
    <w:rsid w:val="00417D7E"/>
    <w:rsid w:val="00D24F73"/>
    <w:rsid w:val="00EA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0C29"/>
  <w15:chartTrackingRefBased/>
  <w15:docId w15:val="{0F9A5333-22CB-4B90-A014-4B7C7922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1855</Characters>
  <Application>Microsoft Office Word</Application>
  <DocSecurity>0</DocSecurity>
  <Lines>15</Lines>
  <Paragraphs>4</Paragraphs>
  <ScaleCrop>false</ScaleCrop>
  <Company>.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Konstantin Schlake </cp:lastModifiedBy>
  <cp:revision>4</cp:revision>
  <dcterms:created xsi:type="dcterms:W3CDTF">2023-08-17T09:02:00Z</dcterms:created>
  <dcterms:modified xsi:type="dcterms:W3CDTF">2023-10-09T07:53:00Z</dcterms:modified>
</cp:coreProperties>
</file>