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69AF3" w14:textId="0B7356C0" w:rsidR="00580191" w:rsidRPr="00DD2FA4" w:rsidRDefault="00580191" w:rsidP="003D1A11">
      <w:pPr>
        <w:spacing w:after="240" w:line="240" w:lineRule="auto"/>
        <w:rPr>
          <w:rFonts w:ascii="Arial" w:hAnsi="Arial" w:cs="Arial"/>
          <w:i/>
          <w:iCs/>
        </w:rPr>
      </w:pPr>
      <w:r w:rsidRPr="00DD2FA4">
        <w:rPr>
          <w:rFonts w:ascii="Arial" w:hAnsi="Arial" w:cs="Arial"/>
          <w:i/>
          <w:iCs/>
        </w:rPr>
        <w:t xml:space="preserve">Supplementary Material </w:t>
      </w:r>
    </w:p>
    <w:p w14:paraId="084B5FC9" w14:textId="3C9FAB0B" w:rsidR="00DD2FA4" w:rsidRPr="00DD2FA4" w:rsidRDefault="00580191" w:rsidP="003D1A11">
      <w:pPr>
        <w:spacing w:after="240" w:line="240" w:lineRule="auto"/>
        <w:rPr>
          <w:rFonts w:ascii="Arial" w:hAnsi="Arial" w:cs="Arial"/>
        </w:rPr>
      </w:pPr>
      <w:r w:rsidRPr="00DD2FA4">
        <w:rPr>
          <w:rFonts w:ascii="Arial" w:hAnsi="Arial" w:cs="Arial"/>
        </w:rPr>
        <w:t xml:space="preserve">Sang S Pak, PT, DPT, </w:t>
      </w:r>
      <w:r w:rsidR="00365A91" w:rsidRPr="00DD2FA4">
        <w:rPr>
          <w:rFonts w:ascii="Arial" w:hAnsi="Arial" w:cs="Arial"/>
        </w:rPr>
        <w:t xml:space="preserve">Madeline </w:t>
      </w:r>
      <w:proofErr w:type="spellStart"/>
      <w:r w:rsidR="00365A91" w:rsidRPr="00DD2FA4">
        <w:rPr>
          <w:rFonts w:ascii="Arial" w:hAnsi="Arial" w:cs="Arial"/>
        </w:rPr>
        <w:t>Ratoza</w:t>
      </w:r>
      <w:proofErr w:type="spellEnd"/>
      <w:r w:rsidR="00365A91" w:rsidRPr="00DD2FA4">
        <w:rPr>
          <w:rFonts w:ascii="Arial" w:hAnsi="Arial" w:cs="Arial"/>
        </w:rPr>
        <w:t xml:space="preserve">, PT, DPT, PhD(C), Victor </w:t>
      </w:r>
      <w:proofErr w:type="spellStart"/>
      <w:r w:rsidR="00365A91" w:rsidRPr="00DD2FA4">
        <w:rPr>
          <w:rFonts w:ascii="Arial" w:hAnsi="Arial" w:cs="Arial"/>
        </w:rPr>
        <w:t>Cheuy</w:t>
      </w:r>
      <w:proofErr w:type="spellEnd"/>
      <w:r w:rsidR="00365A91" w:rsidRPr="00DD2FA4">
        <w:rPr>
          <w:rFonts w:ascii="Arial" w:hAnsi="Arial" w:cs="Arial"/>
        </w:rPr>
        <w:t xml:space="preserve">, PhD </w:t>
      </w:r>
    </w:p>
    <w:p w14:paraId="103E96B9" w14:textId="4183B577" w:rsidR="003D1A11" w:rsidRPr="00DD2FA4" w:rsidRDefault="003D1A11" w:rsidP="003D1A11">
      <w:pPr>
        <w:spacing w:after="240" w:line="240" w:lineRule="auto"/>
        <w:rPr>
          <w:rFonts w:ascii="Arial" w:hAnsi="Arial" w:cs="Arial"/>
          <w:b/>
          <w:bCs/>
        </w:rPr>
      </w:pPr>
      <w:r w:rsidRPr="00DD2FA4">
        <w:rPr>
          <w:rFonts w:ascii="Arial" w:hAnsi="Arial" w:cs="Arial"/>
          <w:b/>
          <w:bCs/>
        </w:rPr>
        <w:t>Data Preparation</w:t>
      </w:r>
    </w:p>
    <w:p w14:paraId="54F38E11" w14:textId="44824345" w:rsidR="00DD2FA4" w:rsidRPr="00DD2FA4" w:rsidRDefault="003D1A11" w:rsidP="00DD2FA4">
      <w:pPr>
        <w:spacing w:after="240" w:line="240" w:lineRule="auto"/>
        <w:rPr>
          <w:rFonts w:ascii="Arial" w:hAnsi="Arial" w:cs="Arial"/>
        </w:rPr>
      </w:pPr>
      <w:r w:rsidRPr="00DD2FA4">
        <w:rPr>
          <w:rFonts w:ascii="Arial" w:hAnsi="Arial" w:cs="Arial"/>
        </w:rPr>
        <w:t xml:space="preserve">Original </w:t>
      </w:r>
      <w:r w:rsidR="00DD2FA4" w:rsidRPr="00DD2FA4">
        <w:rPr>
          <w:rFonts w:ascii="Arial" w:hAnsi="Arial" w:cs="Arial"/>
        </w:rPr>
        <w:t xml:space="preserve">patient-level </w:t>
      </w:r>
      <w:r w:rsidRPr="00DD2FA4">
        <w:rPr>
          <w:rFonts w:ascii="Arial" w:hAnsi="Arial" w:cs="Arial"/>
        </w:rPr>
        <w:t xml:space="preserve">dataset </w:t>
      </w:r>
      <w:r w:rsidR="00DD2FA4" w:rsidRPr="00DD2FA4">
        <w:rPr>
          <w:rFonts w:ascii="Arial" w:hAnsi="Arial" w:cs="Arial"/>
        </w:rPr>
        <w:t xml:space="preserve">containing </w:t>
      </w:r>
      <w:r w:rsidRPr="00DD2FA4">
        <w:rPr>
          <w:rFonts w:ascii="Arial" w:hAnsi="Arial" w:cs="Arial"/>
        </w:rPr>
        <w:t xml:space="preserve">three access metrics were extracted </w:t>
      </w:r>
      <w:r w:rsidR="0016605D">
        <w:rPr>
          <w:rFonts w:ascii="Arial" w:hAnsi="Arial" w:cs="Arial"/>
        </w:rPr>
        <w:t xml:space="preserve">from CDW </w:t>
      </w:r>
      <w:r w:rsidR="00DD2FA4" w:rsidRPr="00DD2FA4">
        <w:rPr>
          <w:rFonts w:ascii="Arial" w:hAnsi="Arial" w:cs="Arial"/>
        </w:rPr>
        <w:t xml:space="preserve">with linked with </w:t>
      </w:r>
      <w:r w:rsidRPr="00DD2FA4">
        <w:rPr>
          <w:rFonts w:ascii="Arial" w:hAnsi="Arial" w:cs="Arial"/>
        </w:rPr>
        <w:t xml:space="preserve">geocoded data prepared by </w:t>
      </w:r>
      <w:r w:rsidR="0016605D">
        <w:rPr>
          <w:rFonts w:ascii="Arial" w:hAnsi="Arial" w:cs="Arial"/>
        </w:rPr>
        <w:t xml:space="preserve">the </w:t>
      </w:r>
      <w:r w:rsidRPr="00DD2FA4">
        <w:rPr>
          <w:rFonts w:ascii="Arial" w:hAnsi="Arial" w:cs="Arial"/>
        </w:rPr>
        <w:t>UCSF PHDI geocoding team</w:t>
      </w:r>
      <w:r w:rsidR="0016605D">
        <w:rPr>
          <w:rFonts w:ascii="Arial" w:hAnsi="Arial" w:cs="Arial"/>
        </w:rPr>
        <w:t xml:space="preserve"> </w:t>
      </w:r>
      <w:r w:rsidRPr="00DD2FA4">
        <w:rPr>
          <w:rFonts w:ascii="Arial" w:hAnsi="Arial" w:cs="Arial"/>
        </w:rPr>
        <w:t>(ref here</w:t>
      </w:r>
      <w:r w:rsidR="00DD2FA4" w:rsidRPr="00DD2FA4">
        <w:rPr>
          <w:rFonts w:ascii="Arial" w:hAnsi="Arial" w:cs="Arial"/>
        </w:rPr>
        <w:t xml:space="preserve">) </w:t>
      </w:r>
    </w:p>
    <w:p w14:paraId="66EF907E" w14:textId="10A34F88" w:rsidR="00DD2FA4" w:rsidRPr="00DD2FA4" w:rsidRDefault="37B4DDC7" w:rsidP="00DD2FA4">
      <w:pPr>
        <w:spacing w:after="240" w:line="240" w:lineRule="auto"/>
        <w:rPr>
          <w:rFonts w:ascii="Arial" w:hAnsi="Arial" w:cs="Arial"/>
        </w:rPr>
      </w:pPr>
      <w:r w:rsidRPr="37B4DDC7">
        <w:rPr>
          <w:rFonts w:ascii="Arial" w:hAnsi="Arial" w:cs="Arial"/>
        </w:rPr>
        <w:t>Publicly available Area Deprivation Index Score dataset (2020 version) was downloaded (</w:t>
      </w:r>
      <w:hyperlink r:id="rId6">
        <w:r w:rsidRPr="37B4DDC7">
          <w:rPr>
            <w:rStyle w:val="Hyperlink"/>
            <w:rFonts w:ascii="Arial" w:hAnsi="Arial" w:cs="Arial"/>
          </w:rPr>
          <w:t>https://www.neighborhoodatlas.medicine.wisc.edu/</w:t>
        </w:r>
      </w:hyperlink>
      <w:r w:rsidRPr="37B4DDC7">
        <w:rPr>
          <w:rFonts w:ascii="Arial" w:hAnsi="Arial" w:cs="Arial"/>
        </w:rPr>
        <w:t xml:space="preserve"> and matched to patient ZIP codes. Additional parameters include: </w:t>
      </w:r>
    </w:p>
    <w:p w14:paraId="21ED33C2" w14:textId="77777777" w:rsidR="00DD2FA4" w:rsidRPr="00DD2FA4" w:rsidRDefault="00DD2FA4" w:rsidP="00DD2FA4">
      <w:pPr>
        <w:pStyle w:val="NormalWeb"/>
        <w:numPr>
          <w:ilvl w:val="1"/>
          <w:numId w:val="13"/>
        </w:numPr>
        <w:spacing w:before="0" w:beforeAutospacing="0" w:after="0" w:afterAutospacing="0"/>
        <w:rPr>
          <w:rFonts w:ascii="Arial" w:hAnsi="Arial" w:cs="Arial"/>
          <w:sz w:val="22"/>
          <w:szCs w:val="22"/>
        </w:rPr>
      </w:pPr>
      <w:r w:rsidRPr="00DD2FA4">
        <w:rPr>
          <w:rFonts w:ascii="Arial" w:hAnsi="Arial" w:cs="Arial"/>
          <w:sz w:val="22"/>
          <w:szCs w:val="22"/>
        </w:rPr>
        <w:t xml:space="preserve">All ADI data are generated at the block group </w:t>
      </w:r>
      <w:proofErr w:type="gramStart"/>
      <w:r w:rsidRPr="00DD2FA4">
        <w:rPr>
          <w:rFonts w:ascii="Arial" w:hAnsi="Arial" w:cs="Arial"/>
          <w:sz w:val="22"/>
          <w:szCs w:val="22"/>
        </w:rPr>
        <w:t>level</w:t>
      </w:r>
      <w:proofErr w:type="gramEnd"/>
      <w:r w:rsidRPr="00DD2FA4">
        <w:rPr>
          <w:rFonts w:ascii="Arial" w:hAnsi="Arial" w:cs="Arial"/>
          <w:sz w:val="22"/>
          <w:szCs w:val="22"/>
        </w:rPr>
        <w:t xml:space="preserve"> </w:t>
      </w:r>
    </w:p>
    <w:p w14:paraId="23E769A7" w14:textId="72DF0D73" w:rsidR="00DD2FA4" w:rsidRPr="00DD2FA4" w:rsidRDefault="1F5F5488" w:rsidP="1F5F5488">
      <w:pPr>
        <w:pStyle w:val="NormalWeb"/>
        <w:numPr>
          <w:ilvl w:val="1"/>
          <w:numId w:val="13"/>
        </w:numPr>
        <w:spacing w:before="0" w:beforeAutospacing="0" w:after="0" w:afterAutospacing="0"/>
        <w:rPr>
          <w:rFonts w:ascii="Arial" w:hAnsi="Arial" w:cs="Arial"/>
          <w:sz w:val="22"/>
          <w:szCs w:val="22"/>
        </w:rPr>
      </w:pPr>
      <w:r w:rsidRPr="1F5F5488">
        <w:rPr>
          <w:rFonts w:ascii="Arial" w:hAnsi="Arial" w:cs="Arial"/>
          <w:sz w:val="22"/>
          <w:szCs w:val="22"/>
        </w:rPr>
        <w:t xml:space="preserve">Downloaded 9-digitZIP code to match with patient ZIP </w:t>
      </w:r>
      <w:proofErr w:type="gramStart"/>
      <w:r w:rsidRPr="1F5F5488">
        <w:rPr>
          <w:rFonts w:ascii="Arial" w:hAnsi="Arial" w:cs="Arial"/>
          <w:sz w:val="22"/>
          <w:szCs w:val="22"/>
        </w:rPr>
        <w:t>codes</w:t>
      </w:r>
      <w:proofErr w:type="gramEnd"/>
    </w:p>
    <w:p w14:paraId="55B59E7F" w14:textId="0590B22A" w:rsidR="00DD2FA4" w:rsidRPr="00DD2FA4" w:rsidRDefault="00DD2FA4" w:rsidP="00DD2FA4">
      <w:pPr>
        <w:pStyle w:val="NormalWeb"/>
        <w:numPr>
          <w:ilvl w:val="1"/>
          <w:numId w:val="13"/>
        </w:numPr>
        <w:spacing w:before="0" w:beforeAutospacing="0" w:after="0" w:afterAutospacing="0"/>
        <w:rPr>
          <w:rFonts w:ascii="Arial" w:hAnsi="Arial" w:cs="Arial"/>
          <w:sz w:val="22"/>
          <w:szCs w:val="22"/>
        </w:rPr>
      </w:pPr>
      <w:r w:rsidRPr="00DD2FA4">
        <w:rPr>
          <w:rFonts w:ascii="Arial" w:hAnsi="Arial" w:cs="Arial"/>
          <w:sz w:val="22"/>
          <w:szCs w:val="22"/>
        </w:rPr>
        <w:t>Geocoded patient addresses were assigned an ADI national rank according to their residential census block group. Of note, higher ADI rank indicates more disadvantage. Analyses used ADI rank quintiles.</w:t>
      </w:r>
    </w:p>
    <w:p w14:paraId="26CD3F12" w14:textId="77777777" w:rsidR="00DD2FA4" w:rsidRPr="00DD2FA4" w:rsidRDefault="00DD2FA4" w:rsidP="00DD2FA4">
      <w:pPr>
        <w:pStyle w:val="NormalWeb"/>
        <w:spacing w:before="0" w:beforeAutospacing="0" w:after="0" w:afterAutospacing="0"/>
        <w:ind w:left="1440"/>
        <w:rPr>
          <w:rFonts w:ascii="Arial" w:hAnsi="Arial" w:cs="Arial"/>
          <w:sz w:val="22"/>
          <w:szCs w:val="22"/>
        </w:rPr>
      </w:pPr>
    </w:p>
    <w:p w14:paraId="454E0B8B" w14:textId="7213F20E" w:rsidR="00DD2FA4" w:rsidRPr="00DD2FA4" w:rsidRDefault="1F5F5488" w:rsidP="1F5F5488">
      <w:pPr>
        <w:pStyle w:val="NormalWeb"/>
        <w:spacing w:before="0" w:beforeAutospacing="0" w:after="0" w:afterAutospacing="0"/>
        <w:rPr>
          <w:rFonts w:ascii="Arial" w:hAnsi="Arial" w:cs="Arial"/>
          <w:sz w:val="22"/>
          <w:szCs w:val="22"/>
        </w:rPr>
      </w:pPr>
      <w:r w:rsidRPr="1F5F5488">
        <w:rPr>
          <w:rFonts w:ascii="Arial" w:hAnsi="Arial" w:cs="Arial"/>
          <w:sz w:val="22"/>
          <w:szCs w:val="22"/>
        </w:rPr>
        <w:t>Distance between clinic and place of residency was calculated using ArcGIS Pro’s Near Analysis function.</w:t>
      </w:r>
      <w:r w:rsidR="00DD2FA4" w:rsidRPr="1F5F5488">
        <w:rPr>
          <w:rFonts w:ascii="Arial" w:hAnsi="Arial" w:cs="Arial"/>
          <w:sz w:val="22"/>
          <w:szCs w:val="22"/>
        </w:rPr>
        <w:fldChar w:fldCharType="begin" w:fldLock="1"/>
      </w:r>
      <w:r w:rsidR="00DD2FA4" w:rsidRPr="1F5F5488">
        <w:rPr>
          <w:rFonts w:ascii="Arial" w:hAnsi="Arial" w:cs="Arial"/>
          <w:sz w:val="22"/>
          <w:szCs w:val="22"/>
        </w:rPr>
        <w:instrText>ADDIN CSL_CITATION {"citationItems":[{"id":"ITEM-1","itemData":{"id":"ITEM-1","issued":{"date-parts":[["0"]]},"title":"Find the nearest feature—ArcGIS Pro | Documentation","type":"article"},"uris":["http://www.mendeley.com/documents/?uuid=a6d13657-dfba-473d-9192-f330443ab672"]}],"mendeley":{"formattedCitation":"&lt;sup&gt;1&lt;/sup&gt;","plainTextFormattedCitation":"1"},"properties":{"noteIndex":0},"schema":"https://github.com/citation-style-language/schema/raw/master/csl-citation.json"}</w:instrText>
      </w:r>
      <w:r w:rsidR="00DD2FA4" w:rsidRPr="1F5F5488">
        <w:rPr>
          <w:rFonts w:ascii="Arial" w:hAnsi="Arial" w:cs="Arial"/>
          <w:sz w:val="22"/>
          <w:szCs w:val="22"/>
        </w:rPr>
        <w:fldChar w:fldCharType="separate"/>
      </w:r>
      <w:r w:rsidRPr="1F5F5488">
        <w:rPr>
          <w:rFonts w:ascii="Arial" w:hAnsi="Arial" w:cs="Arial"/>
          <w:noProof/>
          <w:sz w:val="22"/>
          <w:szCs w:val="22"/>
          <w:vertAlign w:val="superscript"/>
        </w:rPr>
        <w:t>1</w:t>
      </w:r>
      <w:r w:rsidR="00DD2FA4" w:rsidRPr="1F5F5488">
        <w:rPr>
          <w:rFonts w:ascii="Arial" w:hAnsi="Arial" w:cs="Arial"/>
          <w:sz w:val="22"/>
          <w:szCs w:val="22"/>
        </w:rPr>
        <w:fldChar w:fldCharType="end"/>
      </w:r>
      <w:r w:rsidRPr="1F5F5488">
        <w:rPr>
          <w:rFonts w:ascii="Arial" w:hAnsi="Arial" w:cs="Arial"/>
          <w:sz w:val="22"/>
          <w:szCs w:val="22"/>
        </w:rPr>
        <w:t xml:space="preserve"> This function calculates distance and additional proximity information between the input features (patient resident location) and the closest feature (clinic) in another layer or feature class.</w:t>
      </w:r>
    </w:p>
    <w:p w14:paraId="69073D31" w14:textId="77777777" w:rsidR="00DD2FA4" w:rsidRPr="00DD2FA4" w:rsidRDefault="00DD2FA4" w:rsidP="00DD2FA4">
      <w:pPr>
        <w:pStyle w:val="NormalWeb"/>
        <w:spacing w:before="0" w:beforeAutospacing="0" w:after="0" w:afterAutospacing="0"/>
        <w:rPr>
          <w:rFonts w:ascii="Arial" w:hAnsi="Arial" w:cs="Arial"/>
          <w:sz w:val="22"/>
          <w:szCs w:val="22"/>
        </w:rPr>
      </w:pPr>
    </w:p>
    <w:p w14:paraId="086B3C42" w14:textId="357B9AEE" w:rsidR="00DD2FA4" w:rsidRPr="00DD2FA4" w:rsidRDefault="00DD2FA4" w:rsidP="00DD2FA4">
      <w:pPr>
        <w:pStyle w:val="NormalWeb"/>
        <w:spacing w:before="0" w:beforeAutospacing="0" w:after="0" w:afterAutospacing="0"/>
        <w:rPr>
          <w:rFonts w:ascii="Arial" w:hAnsi="Arial" w:cs="Arial"/>
          <w:b/>
          <w:bCs/>
          <w:sz w:val="22"/>
          <w:szCs w:val="22"/>
        </w:rPr>
      </w:pPr>
      <w:bookmarkStart w:id="0" w:name="_Hlk142089420"/>
      <w:r w:rsidRPr="00DD2FA4">
        <w:rPr>
          <w:rFonts w:ascii="Arial" w:hAnsi="Arial" w:cs="Arial"/>
          <w:b/>
          <w:bCs/>
          <w:sz w:val="22"/>
          <w:szCs w:val="22"/>
        </w:rPr>
        <w:t xml:space="preserve">Geospatial clustering – Hot Spot and Cold Spot Analysis </w:t>
      </w:r>
    </w:p>
    <w:p w14:paraId="51A4637F" w14:textId="77777777" w:rsidR="00DD2FA4" w:rsidRPr="00DD2FA4" w:rsidRDefault="00DD2FA4" w:rsidP="00DD2FA4">
      <w:pPr>
        <w:pStyle w:val="NormalWeb"/>
        <w:spacing w:before="0" w:beforeAutospacing="0" w:after="0" w:afterAutospacing="0"/>
        <w:rPr>
          <w:rFonts w:ascii="Arial" w:hAnsi="Arial" w:cs="Arial"/>
          <w:sz w:val="22"/>
          <w:szCs w:val="22"/>
        </w:rPr>
      </w:pPr>
    </w:p>
    <w:p w14:paraId="43013BDA" w14:textId="48579159" w:rsidR="00DD2FA4" w:rsidRPr="00DD2FA4" w:rsidRDefault="4776C809" w:rsidP="00DD2FA4">
      <w:pPr>
        <w:spacing w:after="240"/>
        <w:rPr>
          <w:rFonts w:ascii="Arial" w:hAnsi="Arial" w:cs="Arial"/>
        </w:rPr>
      </w:pPr>
      <w:r w:rsidRPr="4776C809">
        <w:rPr>
          <w:rFonts w:ascii="Arial" w:hAnsi="Arial" w:cs="Arial"/>
        </w:rPr>
        <w:t>First step is to calculate the "fixed distance band"</w:t>
      </w:r>
      <w:r w:rsidR="00DD2FA4" w:rsidRPr="4776C809">
        <w:rPr>
          <w:rFonts w:ascii="Arial" w:hAnsi="Arial" w:cs="Arial"/>
        </w:rPr>
        <w:fldChar w:fldCharType="begin" w:fldLock="1"/>
      </w:r>
      <w:r w:rsidR="00DD2FA4" w:rsidRPr="4776C809">
        <w:rPr>
          <w:rFonts w:ascii="Arial" w:hAnsi="Arial" w:cs="Arial"/>
        </w:rPr>
        <w:instrText>ADDIN CSL_CITATION {"citationItems":[{"id":"ITEM-1","itemData":{"URL":"https://pro.arcgis.com/en/pro-app/2.8/tool-reference/spatial-statistics/modeling-spatial-relationships.htm","accessed":{"date-parts":[["2023","8","4"]]},"id":"ITEM-1","issued":{"date-parts":[["0"]]},"title":"Modeling spatial relationships—ArcGIS Pro | Documentation","type":"webpage"},"uris":["http://www.mendeley.com/documents/?uuid=f0703816-0e33-3fdf-819d-b0165d22ba80"]}],"mendeley":{"formattedCitation":"&lt;sup&gt;2&lt;/sup&gt;","plainTextFormattedCitation":"2","previouslyFormattedCitation":"&lt;sup&gt;1&lt;/sup&gt;"},"properties":{"noteIndex":0},"schema":"https://github.com/citation-style-language/schema/raw/master/csl-citation.json"}</w:instrText>
      </w:r>
      <w:r w:rsidR="00DD2FA4" w:rsidRPr="4776C809">
        <w:rPr>
          <w:rFonts w:ascii="Arial" w:hAnsi="Arial" w:cs="Arial"/>
        </w:rPr>
        <w:fldChar w:fldCharType="separate"/>
      </w:r>
      <w:r w:rsidRPr="4776C809">
        <w:rPr>
          <w:rFonts w:ascii="Arial" w:hAnsi="Arial" w:cs="Arial"/>
          <w:noProof/>
          <w:vertAlign w:val="superscript"/>
        </w:rPr>
        <w:t>2:</w:t>
      </w:r>
      <w:r w:rsidR="00DD2FA4" w:rsidRPr="4776C809">
        <w:rPr>
          <w:rFonts w:ascii="Arial" w:hAnsi="Arial" w:cs="Arial"/>
        </w:rPr>
        <w:fldChar w:fldCharType="end"/>
      </w:r>
      <w:r w:rsidRPr="4776C809">
        <w:rPr>
          <w:rFonts w:ascii="Arial" w:hAnsi="Arial" w:cs="Arial"/>
        </w:rPr>
        <w:t xml:space="preserve"> features that are closer to each other within a critical distance receive a higher weight in spatial computation and so use of the fixed distance band is recommended for </w:t>
      </w:r>
      <w:r w:rsidRPr="4776C809">
        <w:rPr>
          <w:rStyle w:val="Emphasis"/>
          <w:rFonts w:ascii="Arial" w:hAnsi="Arial" w:cs="Arial"/>
        </w:rPr>
        <w:t>G</w:t>
      </w:r>
      <w:r w:rsidRPr="4776C809">
        <w:rPr>
          <w:rStyle w:val="Emphasis"/>
          <w:rFonts w:ascii="Arial" w:hAnsi="Arial" w:cs="Arial"/>
          <w:vertAlign w:val="subscript"/>
        </w:rPr>
        <w:t>i</w:t>
      </w:r>
      <w:r w:rsidRPr="4776C809">
        <w:rPr>
          <w:rStyle w:val="Emphasis"/>
          <w:rFonts w:ascii="Cambria Math" w:hAnsi="Cambria Math" w:cs="Cambria Math"/>
          <w:vertAlign w:val="superscript"/>
        </w:rPr>
        <w:t>∗</w:t>
      </w:r>
      <w:r w:rsidRPr="4776C809">
        <w:rPr>
          <w:rStyle w:val="Emphasis"/>
          <w:rFonts w:ascii="Arial" w:hAnsi="Arial" w:cs="Arial"/>
          <w:vertAlign w:val="superscript"/>
        </w:rPr>
        <w:t xml:space="preserve"> </w:t>
      </w:r>
      <w:r w:rsidRPr="4776C809">
        <w:rPr>
          <w:rFonts w:ascii="Arial" w:hAnsi="Arial" w:cs="Arial"/>
        </w:rPr>
        <w:t>statistics.</w:t>
      </w:r>
      <w:r w:rsidR="00DD2FA4" w:rsidRPr="4776C809">
        <w:rPr>
          <w:rFonts w:ascii="Arial" w:hAnsi="Arial" w:cs="Arial"/>
        </w:rPr>
        <w:fldChar w:fldCharType="begin" w:fldLock="1"/>
      </w:r>
      <w:r w:rsidR="00DD2FA4" w:rsidRPr="4776C809">
        <w:rPr>
          <w:rFonts w:ascii="Arial" w:hAnsi="Arial" w:cs="Arial"/>
        </w:rPr>
        <w:instrText>ADDIN CSL_CITATION {"citationItems":[{"id":"ITEM-1","itemData":{"DOI":"DOI: 10.1017/9781108614528","ISBN":"9781108498982","abstract":"This is an introductory textbook on spatial analysis and spatial statistics through GIS. Each chapter presents methods and metrics, explains how to interpret results, and provides worked examples. Topics include: describing and mapping data through exploratory spatial data analysis; analyzing geographic distributions and point patterns; spatial autocorrelation; spatial clustering; geographically weighted regression and OLS regression; and spatial econometrics. The worked examples link theory to practice through a single real-world case study, with software and illustrated guidance. Exercises are solved twice: first through ArcGIS, and then GeoDa. Through a simple methodological framework the book describes the dataset, explores spatial relations and associations, and builds models. Results are critically interpreted, and the advantages and pitfalls of using various spatial analysis methods are discussed. This is a valuable resource for graduate students and researchers analyzing geospatial data through a spatial analysis lens, including those using GIS in the environmental sciences, geography, and social sciences.","author":[{"dropping-particle":"","family":"Grekousis","given":"George","non-dropping-particle":"","parse-names":false,"suffix":""}],"id":"ITEM-1","issued":{"date-parts":[["2020"]]},"publisher":"Cambridge University Press","publisher-place":"Cambridge","title":"Spatial Analysis Methods and Practice: Describe – Explore – Explain through GIS","type":"book"},"uris":["http://www.mendeley.com/documents/?uuid=11b60fed-cd85-4f69-80cd-7d06411423ba"]}],"mendeley":{"formattedCitation":"&lt;sup&gt;3&lt;/sup&gt;","plainTextFormattedCitation":"3","previouslyFormattedCitation":"&lt;sup&gt;2&lt;/sup&gt;"},"properties":{"noteIndex":0},"schema":"https://github.com/citation-style-language/schema/raw/master/csl-citation.json"}</w:instrText>
      </w:r>
      <w:r w:rsidR="00DD2FA4" w:rsidRPr="4776C809">
        <w:rPr>
          <w:rFonts w:ascii="Arial" w:hAnsi="Arial" w:cs="Arial"/>
        </w:rPr>
        <w:fldChar w:fldCharType="separate"/>
      </w:r>
      <w:r w:rsidRPr="4776C809">
        <w:rPr>
          <w:rFonts w:ascii="Arial" w:hAnsi="Arial" w:cs="Arial"/>
          <w:noProof/>
          <w:vertAlign w:val="superscript"/>
        </w:rPr>
        <w:t>3</w:t>
      </w:r>
      <w:r w:rsidR="00DD2FA4" w:rsidRPr="4776C809">
        <w:rPr>
          <w:rFonts w:ascii="Arial" w:hAnsi="Arial" w:cs="Arial"/>
        </w:rPr>
        <w:fldChar w:fldCharType="end"/>
      </w:r>
      <w:r w:rsidRPr="4776C809">
        <w:rPr>
          <w:rFonts w:ascii="Arial" w:hAnsi="Arial" w:cs="Arial"/>
        </w:rPr>
        <w:t xml:space="preserve"> The value for the fixed distance band was calculated by choosing the minimum neighbors required for analyzing spatial relationships to ensure the input feature had at least ten neighbors (Supplemental Table 1) </w:t>
      </w:r>
    </w:p>
    <w:p w14:paraId="56F3AD3F" w14:textId="2C81441E" w:rsidR="00DD2FA4" w:rsidRPr="00DD2FA4" w:rsidRDefault="4776C809" w:rsidP="00DD2FA4">
      <w:pPr>
        <w:spacing w:after="240"/>
        <w:rPr>
          <w:rFonts w:ascii="Arial" w:hAnsi="Arial" w:cs="Arial"/>
        </w:rPr>
      </w:pPr>
      <w:r w:rsidRPr="4776C809">
        <w:rPr>
          <w:rFonts w:ascii="Arial" w:hAnsi="Arial" w:cs="Arial"/>
        </w:rPr>
        <w:t>Second step is to determine the average distance to the Nth nearest feature (Supplemental Table 2 &amp; Figure 1). For example, we calculated the average distance to the Nth nearest feature</w:t>
      </w:r>
      <w:r w:rsidR="00DD2FA4" w:rsidRPr="4776C809">
        <w:rPr>
          <w:rFonts w:ascii="Arial" w:hAnsi="Arial" w:cs="Arial"/>
        </w:rPr>
        <w:fldChar w:fldCharType="begin" w:fldLock="1"/>
      </w:r>
      <w:r w:rsidR="00DD2FA4" w:rsidRPr="4776C809">
        <w:rPr>
          <w:rFonts w:ascii="Arial" w:hAnsi="Arial" w:cs="Arial"/>
        </w:rPr>
        <w:instrText>ADDIN CSL_CITATION {"citationItems":[{"id":"ITEM-1","itemData":{"id":"ITEM-1","issued":{"date-parts":[["0"]]},"title":"Find the nearest feature—ArcGIS Pro | Documentation","type":"article"},"uris":["http://www.mendeley.com/documents/?uuid=a6d13657-dfba-473d-9192-f330443ab672"]}],"mendeley":{"formattedCitation":"&lt;sup&gt;1&lt;/sup&gt;","plainTextFormattedCitation":"1","previouslyFormattedCitation":"&lt;sup&gt;3&lt;/sup&gt;"},"properties":{"noteIndex":0},"schema":"https://github.com/citation-style-language/schema/raw/master/csl-citation.json"}</w:instrText>
      </w:r>
      <w:r w:rsidR="00DD2FA4" w:rsidRPr="4776C809">
        <w:rPr>
          <w:rFonts w:ascii="Arial" w:hAnsi="Arial" w:cs="Arial"/>
        </w:rPr>
        <w:fldChar w:fldCharType="separate"/>
      </w:r>
      <w:r w:rsidRPr="4776C809">
        <w:rPr>
          <w:rFonts w:ascii="Arial" w:hAnsi="Arial" w:cs="Arial"/>
          <w:noProof/>
          <w:vertAlign w:val="superscript"/>
        </w:rPr>
        <w:t>1</w:t>
      </w:r>
      <w:r w:rsidR="00DD2FA4" w:rsidRPr="4776C809">
        <w:rPr>
          <w:rFonts w:ascii="Arial" w:hAnsi="Arial" w:cs="Arial"/>
        </w:rPr>
        <w:fldChar w:fldCharType="end"/>
      </w:r>
      <w:r w:rsidRPr="4776C809">
        <w:rPr>
          <w:rFonts w:ascii="Arial" w:hAnsi="Arial" w:cs="Arial"/>
        </w:rPr>
        <w:t xml:space="preserve"> using ArcGIS Pro Near Analysis function with a feature of interest (</w:t>
      </w:r>
      <w:proofErr w:type="spellStart"/>
      <w:r w:rsidRPr="4776C809">
        <w:rPr>
          <w:rFonts w:ascii="Arial" w:hAnsi="Arial" w:cs="Arial"/>
        </w:rPr>
        <w:t>i.e</w:t>
      </w:r>
      <w:proofErr w:type="spellEnd"/>
      <w:r w:rsidRPr="4776C809">
        <w:rPr>
          <w:rFonts w:ascii="Arial" w:hAnsi="Arial" w:cs="Arial"/>
        </w:rPr>
        <w:t xml:space="preserve">, referral metrics) to calculate the maximum distance between </w:t>
      </w:r>
      <w:r w:rsidR="00B6087C" w:rsidRPr="4776C809">
        <w:rPr>
          <w:rFonts w:ascii="Arial" w:hAnsi="Arial" w:cs="Arial"/>
        </w:rPr>
        <w:t>clusters, identify</w:t>
      </w:r>
      <w:r w:rsidRPr="4776C809">
        <w:rPr>
          <w:rFonts w:ascii="Arial" w:hAnsi="Arial" w:cs="Arial"/>
        </w:rPr>
        <w:t xml:space="preserve"> whether initial spatial patterns of clustering exist and calculate spatial statistics</w:t>
      </w:r>
      <w:r w:rsidR="00DD2FA4" w:rsidRPr="4776C809">
        <w:rPr>
          <w:rFonts w:ascii="Arial" w:hAnsi="Arial" w:cs="Arial"/>
        </w:rPr>
        <w:fldChar w:fldCharType="begin" w:fldLock="1"/>
      </w:r>
      <w:r w:rsidR="00DD2FA4" w:rsidRPr="4776C809">
        <w:rPr>
          <w:rFonts w:ascii="Arial" w:hAnsi="Arial" w:cs="Arial"/>
        </w:rPr>
        <w:instrText>ADDIN CSL_CITATION {"citationItems":[{"id":"ITEM-1","itemData":{"URL":"https://pro.arcgis.com/en/pro-app/latest/tool-reference/spatial-statistics/calculate-distance-band-from-neighbor-count.htm","accessed":{"date-parts":[["2023","3","5"]]},"id":"ITEM-1","issued":{"date-parts":[["0"]]},"title":"Calculate Distance Band from Neighbor Count (Spatial Statistics)—ArcGIS Pro | Documentation","type":"webpage"},"uris":["http://www.mendeley.com/documents/?uuid=393632fe-5f19-3827-b1e3-1792a1ee43a6"]}],"mendeley":{"formattedCitation":"&lt;sup&gt;4&lt;/sup&gt;","plainTextFormattedCitation":"4","previouslyFormattedCitation":"&lt;sup&gt;4&lt;/sup&gt;"},"properties":{"noteIndex":0},"schema":"https://github.com/citation-style-language/schema/raw/master/csl-citation.json"}</w:instrText>
      </w:r>
      <w:r w:rsidR="00DD2FA4" w:rsidRPr="4776C809">
        <w:rPr>
          <w:rFonts w:ascii="Arial" w:hAnsi="Arial" w:cs="Arial"/>
        </w:rPr>
        <w:fldChar w:fldCharType="separate"/>
      </w:r>
      <w:r w:rsidRPr="4776C809">
        <w:rPr>
          <w:rFonts w:ascii="Arial" w:hAnsi="Arial" w:cs="Arial"/>
          <w:noProof/>
          <w:vertAlign w:val="superscript"/>
        </w:rPr>
        <w:t>4</w:t>
      </w:r>
      <w:r w:rsidR="00DD2FA4" w:rsidRPr="4776C809">
        <w:rPr>
          <w:rFonts w:ascii="Arial" w:hAnsi="Arial" w:cs="Arial"/>
        </w:rPr>
        <w:fldChar w:fldCharType="end"/>
      </w:r>
      <w:r w:rsidRPr="4776C809">
        <w:rPr>
          <w:rFonts w:ascii="Arial" w:hAnsi="Arial" w:cs="Arial"/>
        </w:rPr>
        <w:t xml:space="preserve"> </w:t>
      </w:r>
      <w:bookmarkStart w:id="1" w:name="_Hlk130425085"/>
    </w:p>
    <w:p w14:paraId="1CD3E117" w14:textId="48538FF6" w:rsidR="00DD2FA4" w:rsidRPr="00DD2FA4" w:rsidRDefault="00DD2FA4" w:rsidP="00DD2FA4">
      <w:pPr>
        <w:spacing w:after="240"/>
        <w:rPr>
          <w:rFonts w:ascii="Arial" w:hAnsi="Arial" w:cs="Arial"/>
          <w:b/>
          <w:bCs/>
        </w:rPr>
      </w:pPr>
      <w:r w:rsidRPr="00DD2FA4">
        <w:rPr>
          <w:rFonts w:ascii="Arial" w:hAnsi="Arial" w:cs="Arial"/>
          <w:b/>
          <w:bCs/>
        </w:rPr>
        <w:t>Supplemental Table 1. Distance Band Summary</w:t>
      </w:r>
    </w:p>
    <w:tbl>
      <w:tblPr>
        <w:tblStyle w:val="TableGrid"/>
        <w:tblW w:w="0" w:type="auto"/>
        <w:tblLook w:val="04A0" w:firstRow="1" w:lastRow="0" w:firstColumn="1" w:lastColumn="0" w:noHBand="0" w:noVBand="1"/>
      </w:tblPr>
      <w:tblGrid>
        <w:gridCol w:w="3685"/>
        <w:gridCol w:w="3240"/>
      </w:tblGrid>
      <w:tr w:rsidR="00DD2FA4" w:rsidRPr="00DD2FA4" w14:paraId="10638E28" w14:textId="77777777" w:rsidTr="00DD2FA4">
        <w:tc>
          <w:tcPr>
            <w:tcW w:w="3685" w:type="dxa"/>
          </w:tcPr>
          <w:p w14:paraId="40D23C3F" w14:textId="1614B8A6" w:rsidR="00DD2FA4" w:rsidRPr="00DD2FA4" w:rsidRDefault="00DD2FA4" w:rsidP="00DD2FA4">
            <w:pPr>
              <w:spacing w:after="240"/>
              <w:rPr>
                <w:rFonts w:ascii="Arial" w:eastAsia="Times New Roman" w:hAnsi="Arial" w:cs="Arial"/>
                <w:b/>
                <w:bCs/>
                <w:color w:val="333333"/>
              </w:rPr>
            </w:pPr>
            <w:bookmarkStart w:id="2" w:name="_Hlk142056120"/>
            <w:r w:rsidRPr="00DD2FA4">
              <w:rPr>
                <w:rFonts w:ascii="Arial" w:eastAsia="Times New Roman" w:hAnsi="Arial" w:cs="Arial"/>
                <w:b/>
                <w:bCs/>
                <w:color w:val="333333"/>
              </w:rPr>
              <w:t xml:space="preserve">Parameters for distance band </w:t>
            </w:r>
          </w:p>
        </w:tc>
        <w:tc>
          <w:tcPr>
            <w:tcW w:w="3240" w:type="dxa"/>
          </w:tcPr>
          <w:p w14:paraId="5C5E20D7" w14:textId="0BFE5ABD" w:rsidR="00DD2FA4" w:rsidRPr="00DD2FA4" w:rsidRDefault="00DD2FA4" w:rsidP="00DD2FA4">
            <w:pPr>
              <w:spacing w:after="240"/>
              <w:rPr>
                <w:rFonts w:ascii="Arial" w:eastAsia="Times New Roman" w:hAnsi="Arial" w:cs="Arial"/>
                <w:b/>
                <w:bCs/>
                <w:color w:val="333333"/>
              </w:rPr>
            </w:pPr>
            <w:r w:rsidRPr="00DD2FA4">
              <w:rPr>
                <w:rFonts w:ascii="Arial" w:eastAsia="Times New Roman" w:hAnsi="Arial" w:cs="Arial"/>
                <w:b/>
                <w:bCs/>
                <w:color w:val="333333"/>
              </w:rPr>
              <w:t xml:space="preserve">Distance in Meters </w:t>
            </w:r>
          </w:p>
        </w:tc>
      </w:tr>
      <w:tr w:rsidR="00DD2FA4" w:rsidRPr="00DD2FA4" w14:paraId="72EFC0A0" w14:textId="77777777" w:rsidTr="00DD2FA4">
        <w:tc>
          <w:tcPr>
            <w:tcW w:w="3685" w:type="dxa"/>
          </w:tcPr>
          <w:p w14:paraId="3803BE0A" w14:textId="3BA4CF4C" w:rsidR="00DD2FA4" w:rsidRPr="00DD2FA4" w:rsidRDefault="00DD2FA4" w:rsidP="00DD2FA4">
            <w:pPr>
              <w:spacing w:after="240"/>
              <w:rPr>
                <w:rFonts w:ascii="Arial" w:hAnsi="Arial" w:cs="Arial"/>
              </w:rPr>
            </w:pPr>
            <w:r w:rsidRPr="00DD2FA4">
              <w:rPr>
                <w:rFonts w:ascii="Arial" w:eastAsia="Times New Roman" w:hAnsi="Arial" w:cs="Arial"/>
                <w:color w:val="333333"/>
              </w:rPr>
              <w:t>Minimum 10 neighbor distance</w:t>
            </w:r>
          </w:p>
        </w:tc>
        <w:tc>
          <w:tcPr>
            <w:tcW w:w="3240" w:type="dxa"/>
          </w:tcPr>
          <w:p w14:paraId="029E597B" w14:textId="2199365C" w:rsidR="00DD2FA4" w:rsidRPr="00DD2FA4" w:rsidRDefault="00DD2FA4" w:rsidP="00DD2FA4">
            <w:pPr>
              <w:spacing w:after="240"/>
              <w:rPr>
                <w:rFonts w:ascii="Arial" w:hAnsi="Arial" w:cs="Arial"/>
              </w:rPr>
            </w:pPr>
            <w:r w:rsidRPr="00DD2FA4">
              <w:rPr>
                <w:rFonts w:ascii="Arial" w:eastAsia="Times New Roman" w:hAnsi="Arial" w:cs="Arial"/>
                <w:color w:val="333333"/>
              </w:rPr>
              <w:t xml:space="preserve">0.000000 </w:t>
            </w:r>
          </w:p>
        </w:tc>
      </w:tr>
      <w:tr w:rsidR="00DD2FA4" w:rsidRPr="00DD2FA4" w14:paraId="0D0B16CB" w14:textId="77777777" w:rsidTr="00DD2FA4">
        <w:tc>
          <w:tcPr>
            <w:tcW w:w="3685" w:type="dxa"/>
          </w:tcPr>
          <w:p w14:paraId="72BDA7BE" w14:textId="3CB16EF3" w:rsidR="00DD2FA4" w:rsidRPr="00DD2FA4" w:rsidRDefault="00DD2FA4" w:rsidP="00DD2FA4">
            <w:pPr>
              <w:spacing w:after="240"/>
              <w:rPr>
                <w:rFonts w:ascii="Arial" w:hAnsi="Arial" w:cs="Arial"/>
              </w:rPr>
            </w:pPr>
            <w:r w:rsidRPr="00DD2FA4">
              <w:rPr>
                <w:rFonts w:ascii="Arial" w:eastAsia="Times New Roman" w:hAnsi="Arial" w:cs="Arial"/>
                <w:color w:val="333333"/>
              </w:rPr>
              <w:t xml:space="preserve">Average 10 neighbor distance  </w:t>
            </w:r>
          </w:p>
        </w:tc>
        <w:tc>
          <w:tcPr>
            <w:tcW w:w="3240" w:type="dxa"/>
          </w:tcPr>
          <w:p w14:paraId="70D91A55" w14:textId="4F79BE90" w:rsidR="00DD2FA4" w:rsidRPr="00DD2FA4" w:rsidRDefault="00DD2FA4" w:rsidP="00DD2FA4">
            <w:pPr>
              <w:spacing w:after="240"/>
              <w:rPr>
                <w:rFonts w:ascii="Arial" w:hAnsi="Arial" w:cs="Arial"/>
              </w:rPr>
            </w:pPr>
            <w:r w:rsidRPr="00DD2FA4">
              <w:rPr>
                <w:rFonts w:ascii="Arial" w:eastAsia="Times New Roman" w:hAnsi="Arial" w:cs="Arial"/>
                <w:color w:val="333333"/>
              </w:rPr>
              <w:t xml:space="preserve">152.70 </w:t>
            </w:r>
          </w:p>
        </w:tc>
      </w:tr>
      <w:tr w:rsidR="00DD2FA4" w:rsidRPr="00DD2FA4" w14:paraId="00EF97AC" w14:textId="77777777" w:rsidTr="00DD2FA4">
        <w:tc>
          <w:tcPr>
            <w:tcW w:w="3685" w:type="dxa"/>
          </w:tcPr>
          <w:p w14:paraId="7D762FBA" w14:textId="7DFA4008" w:rsidR="00DD2FA4" w:rsidRPr="00DD2FA4" w:rsidRDefault="00DD2FA4" w:rsidP="00DD2FA4">
            <w:pPr>
              <w:spacing w:after="240"/>
              <w:rPr>
                <w:rFonts w:ascii="Arial" w:hAnsi="Arial" w:cs="Arial"/>
              </w:rPr>
            </w:pPr>
            <w:r w:rsidRPr="00DD2FA4">
              <w:rPr>
                <w:rFonts w:ascii="Arial" w:eastAsia="Times New Roman" w:hAnsi="Arial" w:cs="Arial"/>
              </w:rPr>
              <w:t xml:space="preserve">Maximum 10 neighbor distance  </w:t>
            </w:r>
          </w:p>
        </w:tc>
        <w:tc>
          <w:tcPr>
            <w:tcW w:w="3240" w:type="dxa"/>
          </w:tcPr>
          <w:p w14:paraId="3A11E570" w14:textId="1E43A899" w:rsidR="00DD2FA4" w:rsidRPr="00DD2FA4" w:rsidRDefault="00DD2FA4" w:rsidP="00DD2FA4">
            <w:pPr>
              <w:spacing w:after="240"/>
              <w:rPr>
                <w:rFonts w:ascii="Arial" w:hAnsi="Arial" w:cs="Arial"/>
              </w:rPr>
            </w:pPr>
            <w:r w:rsidRPr="00DD2FA4">
              <w:rPr>
                <w:rFonts w:ascii="Arial" w:eastAsia="Times New Roman" w:hAnsi="Arial" w:cs="Arial"/>
              </w:rPr>
              <w:t xml:space="preserve">1751.37 </w:t>
            </w:r>
          </w:p>
        </w:tc>
      </w:tr>
    </w:tbl>
    <w:p w14:paraId="5A29D668" w14:textId="717E3C9F" w:rsidR="00DD2FA4" w:rsidRPr="00DD2FA4" w:rsidRDefault="00DD2FA4" w:rsidP="00DD2FA4">
      <w:pPr>
        <w:pStyle w:val="HTMLPreformatted"/>
        <w:shd w:val="clear" w:color="auto" w:fill="FFFFFF"/>
        <w:rPr>
          <w:rFonts w:ascii="Arial" w:hAnsi="Arial" w:cs="Arial"/>
          <w:b/>
          <w:bCs/>
          <w:color w:val="333333"/>
          <w:sz w:val="22"/>
          <w:szCs w:val="22"/>
        </w:rPr>
      </w:pPr>
      <w:bookmarkStart w:id="3" w:name="_Hlk142056127"/>
      <w:bookmarkEnd w:id="2"/>
      <w:r w:rsidRPr="00DD2FA4">
        <w:rPr>
          <w:rFonts w:ascii="Arial" w:hAnsi="Arial" w:cs="Arial"/>
          <w:b/>
          <w:bCs/>
          <w:color w:val="333333"/>
          <w:sz w:val="22"/>
          <w:szCs w:val="22"/>
        </w:rPr>
        <w:t xml:space="preserve">Supplemental Table 2. Nth Nearest Feature Summary </w:t>
      </w:r>
    </w:p>
    <w:p w14:paraId="35A6B1F3" w14:textId="77777777" w:rsidR="00DD2FA4" w:rsidRPr="00DD2FA4" w:rsidRDefault="00DD2FA4" w:rsidP="00DD2FA4">
      <w:pPr>
        <w:pStyle w:val="HTMLPreformatted"/>
        <w:shd w:val="clear" w:color="auto" w:fill="FFFFFF"/>
        <w:rPr>
          <w:rFonts w:ascii="Arial" w:hAnsi="Arial" w:cs="Arial"/>
          <w:b/>
          <w:bCs/>
          <w:color w:val="333333"/>
          <w:sz w:val="22"/>
          <w:szCs w:val="22"/>
        </w:rPr>
      </w:pPr>
    </w:p>
    <w:tbl>
      <w:tblPr>
        <w:tblStyle w:val="TableGrid"/>
        <w:tblW w:w="0" w:type="auto"/>
        <w:tblLook w:val="04A0" w:firstRow="1" w:lastRow="0" w:firstColumn="1" w:lastColumn="0" w:noHBand="0" w:noVBand="1"/>
      </w:tblPr>
      <w:tblGrid>
        <w:gridCol w:w="3685"/>
        <w:gridCol w:w="3240"/>
      </w:tblGrid>
      <w:tr w:rsidR="00DD2FA4" w:rsidRPr="00DD2FA4" w14:paraId="58CF68F1" w14:textId="77777777" w:rsidTr="00BF71DA">
        <w:tc>
          <w:tcPr>
            <w:tcW w:w="3685" w:type="dxa"/>
          </w:tcPr>
          <w:p w14:paraId="6A633EF2" w14:textId="653BD166" w:rsidR="00DD2FA4" w:rsidRPr="00DD2FA4" w:rsidRDefault="00DD2FA4" w:rsidP="00BF71DA">
            <w:pPr>
              <w:spacing w:after="240"/>
              <w:rPr>
                <w:rFonts w:ascii="Arial" w:eastAsia="Times New Roman" w:hAnsi="Arial" w:cs="Arial"/>
                <w:b/>
                <w:bCs/>
                <w:color w:val="333333"/>
              </w:rPr>
            </w:pPr>
            <w:r w:rsidRPr="00DD2FA4">
              <w:rPr>
                <w:rFonts w:ascii="Arial" w:eastAsia="Times New Roman" w:hAnsi="Arial" w:cs="Arial"/>
                <w:b/>
                <w:bCs/>
                <w:color w:val="333333"/>
              </w:rPr>
              <w:lastRenderedPageBreak/>
              <w:t>Parameters for Nth Nearest Feature</w:t>
            </w:r>
          </w:p>
        </w:tc>
        <w:tc>
          <w:tcPr>
            <w:tcW w:w="3240" w:type="dxa"/>
          </w:tcPr>
          <w:p w14:paraId="7C72BD27" w14:textId="2AF0DDCE" w:rsidR="00DD2FA4" w:rsidRPr="00DD2FA4" w:rsidRDefault="00DD2FA4" w:rsidP="00BF71DA">
            <w:pPr>
              <w:spacing w:after="240"/>
              <w:rPr>
                <w:rFonts w:ascii="Arial" w:eastAsia="Times New Roman" w:hAnsi="Arial" w:cs="Arial"/>
                <w:b/>
                <w:bCs/>
                <w:color w:val="333333"/>
              </w:rPr>
            </w:pPr>
            <w:r w:rsidRPr="00DD2FA4">
              <w:rPr>
                <w:rFonts w:ascii="Arial" w:eastAsia="Times New Roman" w:hAnsi="Arial" w:cs="Arial"/>
                <w:b/>
                <w:bCs/>
                <w:color w:val="333333"/>
              </w:rPr>
              <w:t xml:space="preserve">Results </w:t>
            </w:r>
          </w:p>
        </w:tc>
      </w:tr>
      <w:tr w:rsidR="00DD2FA4" w:rsidRPr="00DD2FA4" w14:paraId="7FB2423E" w14:textId="77777777" w:rsidTr="00BF71DA">
        <w:tc>
          <w:tcPr>
            <w:tcW w:w="3685" w:type="dxa"/>
          </w:tcPr>
          <w:p w14:paraId="27F9D56C" w14:textId="5FD3537D" w:rsidR="00DD2FA4" w:rsidRPr="00DD2FA4" w:rsidRDefault="00DD2FA4" w:rsidP="00BF71DA">
            <w:pPr>
              <w:spacing w:after="240"/>
              <w:rPr>
                <w:rFonts w:ascii="Arial" w:hAnsi="Arial" w:cs="Arial"/>
              </w:rPr>
            </w:pPr>
            <w:r w:rsidRPr="00DD2FA4">
              <w:rPr>
                <w:rFonts w:ascii="Arial" w:hAnsi="Arial" w:cs="Arial"/>
                <w:color w:val="333333"/>
              </w:rPr>
              <w:t>Observed Mean Distance (Meters)</w:t>
            </w:r>
          </w:p>
        </w:tc>
        <w:tc>
          <w:tcPr>
            <w:tcW w:w="3240" w:type="dxa"/>
          </w:tcPr>
          <w:p w14:paraId="367D4AFB" w14:textId="06A7BA6A" w:rsidR="00DD2FA4" w:rsidRPr="00DD2FA4" w:rsidRDefault="00DD2FA4" w:rsidP="00BF71DA">
            <w:pPr>
              <w:spacing w:after="240"/>
              <w:rPr>
                <w:rFonts w:ascii="Arial" w:hAnsi="Arial" w:cs="Arial"/>
              </w:rPr>
            </w:pPr>
            <w:r w:rsidRPr="00DD2FA4">
              <w:rPr>
                <w:rFonts w:ascii="Arial" w:hAnsi="Arial" w:cs="Arial"/>
                <w:color w:val="333333"/>
              </w:rPr>
              <w:t>31.66</w:t>
            </w:r>
          </w:p>
        </w:tc>
      </w:tr>
      <w:tr w:rsidR="00DD2FA4" w:rsidRPr="00DD2FA4" w14:paraId="678E2AE4" w14:textId="77777777" w:rsidTr="00BF71DA">
        <w:tc>
          <w:tcPr>
            <w:tcW w:w="3685" w:type="dxa"/>
          </w:tcPr>
          <w:p w14:paraId="74A4342A" w14:textId="49F86D84" w:rsidR="00DD2FA4" w:rsidRPr="00DD2FA4" w:rsidRDefault="00DD2FA4" w:rsidP="00DD2FA4">
            <w:pPr>
              <w:spacing w:after="240"/>
              <w:rPr>
                <w:rFonts w:ascii="Arial" w:hAnsi="Arial" w:cs="Arial"/>
              </w:rPr>
            </w:pPr>
            <w:r w:rsidRPr="00DD2FA4">
              <w:rPr>
                <w:rFonts w:ascii="Arial" w:hAnsi="Arial" w:cs="Arial"/>
                <w:color w:val="333333"/>
              </w:rPr>
              <w:t>Expected Mean Distance (Meters)</w:t>
            </w:r>
          </w:p>
        </w:tc>
        <w:tc>
          <w:tcPr>
            <w:tcW w:w="3240" w:type="dxa"/>
          </w:tcPr>
          <w:p w14:paraId="5A7221F9" w14:textId="26808166" w:rsidR="00DD2FA4" w:rsidRPr="00DD2FA4" w:rsidRDefault="00DD2FA4" w:rsidP="00DD2FA4">
            <w:pPr>
              <w:spacing w:after="240"/>
              <w:rPr>
                <w:rFonts w:ascii="Arial" w:hAnsi="Arial" w:cs="Arial"/>
              </w:rPr>
            </w:pPr>
            <w:r w:rsidRPr="00DD2FA4">
              <w:rPr>
                <w:rFonts w:ascii="Arial" w:hAnsi="Arial" w:cs="Arial"/>
                <w:color w:val="333333"/>
              </w:rPr>
              <w:t>57.56</w:t>
            </w:r>
          </w:p>
        </w:tc>
      </w:tr>
      <w:tr w:rsidR="00DD2FA4" w:rsidRPr="00DD2FA4" w14:paraId="7C9A69D0" w14:textId="77777777" w:rsidTr="00BF71DA">
        <w:tc>
          <w:tcPr>
            <w:tcW w:w="3685" w:type="dxa"/>
          </w:tcPr>
          <w:p w14:paraId="54105A13" w14:textId="7CE1A924" w:rsidR="00DD2FA4" w:rsidRPr="00DD2FA4" w:rsidRDefault="00DD2FA4" w:rsidP="00BF71DA">
            <w:pPr>
              <w:spacing w:after="240"/>
              <w:rPr>
                <w:rFonts w:ascii="Arial" w:hAnsi="Arial" w:cs="Arial"/>
              </w:rPr>
            </w:pPr>
            <w:r w:rsidRPr="00DD2FA4">
              <w:rPr>
                <w:rFonts w:ascii="Arial" w:hAnsi="Arial" w:cs="Arial"/>
                <w:color w:val="333333"/>
              </w:rPr>
              <w:t>Nearest Neighbor Ratio</w:t>
            </w:r>
          </w:p>
        </w:tc>
        <w:tc>
          <w:tcPr>
            <w:tcW w:w="3240" w:type="dxa"/>
          </w:tcPr>
          <w:p w14:paraId="125C5E4D" w14:textId="0E618695" w:rsidR="00DD2FA4" w:rsidRPr="00DD2FA4" w:rsidRDefault="00DD2FA4" w:rsidP="00BF71DA">
            <w:pPr>
              <w:spacing w:after="240"/>
              <w:rPr>
                <w:rFonts w:ascii="Arial" w:hAnsi="Arial" w:cs="Arial"/>
              </w:rPr>
            </w:pPr>
            <w:r w:rsidRPr="00DD2FA4">
              <w:rPr>
                <w:rFonts w:ascii="Arial" w:hAnsi="Arial" w:cs="Arial"/>
                <w:color w:val="333333"/>
              </w:rPr>
              <w:t xml:space="preserve">0.550050  </w:t>
            </w:r>
          </w:p>
        </w:tc>
      </w:tr>
      <w:tr w:rsidR="00DD2FA4" w:rsidRPr="00DD2FA4" w14:paraId="093E2D16" w14:textId="77777777" w:rsidTr="00BF71DA">
        <w:tc>
          <w:tcPr>
            <w:tcW w:w="3685" w:type="dxa"/>
          </w:tcPr>
          <w:p w14:paraId="1EF1585D" w14:textId="12A48F7F" w:rsidR="00DD2FA4" w:rsidRPr="00DD2FA4" w:rsidRDefault="00DD2FA4" w:rsidP="00BF71DA">
            <w:pPr>
              <w:spacing w:after="240"/>
              <w:rPr>
                <w:rFonts w:ascii="Arial" w:hAnsi="Arial" w:cs="Arial"/>
                <w:color w:val="333333"/>
              </w:rPr>
            </w:pPr>
            <w:r w:rsidRPr="00DD2FA4">
              <w:rPr>
                <w:rFonts w:ascii="Arial" w:hAnsi="Arial" w:cs="Arial"/>
                <w:color w:val="333333"/>
              </w:rPr>
              <w:t>z-score</w:t>
            </w:r>
          </w:p>
        </w:tc>
        <w:tc>
          <w:tcPr>
            <w:tcW w:w="3240" w:type="dxa"/>
          </w:tcPr>
          <w:p w14:paraId="2BD79A10" w14:textId="782A8AA5" w:rsidR="00DD2FA4" w:rsidRPr="00DD2FA4" w:rsidRDefault="00DD2FA4" w:rsidP="00BF71DA">
            <w:pPr>
              <w:spacing w:after="240"/>
              <w:rPr>
                <w:rFonts w:ascii="Arial" w:hAnsi="Arial" w:cs="Arial"/>
                <w:color w:val="333333"/>
              </w:rPr>
            </w:pPr>
            <w:r w:rsidRPr="00DD2FA4">
              <w:rPr>
                <w:rFonts w:ascii="Arial" w:hAnsi="Arial" w:cs="Arial"/>
                <w:color w:val="333333"/>
              </w:rPr>
              <w:t>-87.63</w:t>
            </w:r>
          </w:p>
        </w:tc>
      </w:tr>
      <w:tr w:rsidR="00DD2FA4" w:rsidRPr="00DD2FA4" w14:paraId="631109F2" w14:textId="77777777" w:rsidTr="00BF71DA">
        <w:tc>
          <w:tcPr>
            <w:tcW w:w="3685" w:type="dxa"/>
          </w:tcPr>
          <w:p w14:paraId="50C54DF5" w14:textId="4BC785BE" w:rsidR="00DD2FA4" w:rsidRPr="00DD2FA4" w:rsidRDefault="00DD2FA4" w:rsidP="00BF71DA">
            <w:pPr>
              <w:spacing w:after="240"/>
              <w:rPr>
                <w:rFonts w:ascii="Arial" w:hAnsi="Arial" w:cs="Arial"/>
                <w:color w:val="333333"/>
              </w:rPr>
            </w:pPr>
            <w:r w:rsidRPr="00DD2FA4">
              <w:rPr>
                <w:rFonts w:ascii="Arial" w:hAnsi="Arial" w:cs="Arial"/>
                <w:color w:val="333333"/>
              </w:rPr>
              <w:t>p-value</w:t>
            </w:r>
          </w:p>
        </w:tc>
        <w:tc>
          <w:tcPr>
            <w:tcW w:w="3240" w:type="dxa"/>
          </w:tcPr>
          <w:p w14:paraId="3C4CA2DF" w14:textId="59ADEEB7" w:rsidR="00DD2FA4" w:rsidRPr="00DD2FA4" w:rsidRDefault="00DD2FA4" w:rsidP="00BF71DA">
            <w:pPr>
              <w:spacing w:after="240"/>
              <w:rPr>
                <w:rFonts w:ascii="Arial" w:hAnsi="Arial" w:cs="Arial"/>
                <w:color w:val="333333"/>
              </w:rPr>
            </w:pPr>
            <w:r w:rsidRPr="00DD2FA4">
              <w:rPr>
                <w:rFonts w:ascii="Arial" w:hAnsi="Arial" w:cs="Arial"/>
                <w:color w:val="333333"/>
              </w:rPr>
              <w:t>P&gt;.0001</w:t>
            </w:r>
          </w:p>
        </w:tc>
      </w:tr>
      <w:bookmarkEnd w:id="3"/>
    </w:tbl>
    <w:p w14:paraId="0102E762" w14:textId="77777777" w:rsidR="00DD2FA4" w:rsidRPr="00DD2FA4" w:rsidRDefault="00DD2FA4" w:rsidP="00DD2FA4">
      <w:pPr>
        <w:pStyle w:val="HTMLPreformatted"/>
        <w:shd w:val="clear" w:color="auto" w:fill="FFFFFF"/>
        <w:rPr>
          <w:rFonts w:ascii="Arial" w:hAnsi="Arial" w:cs="Arial"/>
          <w:b/>
          <w:bCs/>
          <w:color w:val="333333"/>
          <w:sz w:val="22"/>
          <w:szCs w:val="22"/>
        </w:rPr>
      </w:pPr>
    </w:p>
    <w:p w14:paraId="5BEC1B26" w14:textId="42A20E92" w:rsidR="00DD2FA4" w:rsidRPr="00DD2FA4" w:rsidRDefault="00DD2FA4" w:rsidP="00DD2FA4">
      <w:pPr>
        <w:pStyle w:val="HTMLPreformatted"/>
        <w:shd w:val="clear" w:color="auto" w:fill="FFFFFF"/>
        <w:rPr>
          <w:rFonts w:ascii="Arial" w:hAnsi="Arial" w:cs="Arial"/>
          <w:b/>
          <w:bCs/>
          <w:color w:val="333333"/>
          <w:sz w:val="22"/>
          <w:szCs w:val="22"/>
        </w:rPr>
      </w:pPr>
      <w:bookmarkStart w:id="4" w:name="_Hlk142056142"/>
      <w:r w:rsidRPr="00DD2FA4">
        <w:rPr>
          <w:rFonts w:ascii="Arial" w:hAnsi="Arial" w:cs="Arial"/>
          <w:b/>
          <w:bCs/>
          <w:color w:val="333333"/>
          <w:sz w:val="22"/>
          <w:szCs w:val="22"/>
        </w:rPr>
        <w:t xml:space="preserve">Supplemental Figure 1. Average Nearest Neighbor Summary </w:t>
      </w:r>
    </w:p>
    <w:p w14:paraId="5E25EF03" w14:textId="77777777" w:rsidR="00DD2FA4" w:rsidRPr="00DD2FA4" w:rsidRDefault="00DD2FA4" w:rsidP="00DD2FA4">
      <w:pPr>
        <w:pStyle w:val="HTMLPreformatted"/>
        <w:shd w:val="clear" w:color="auto" w:fill="FFFFFF"/>
        <w:rPr>
          <w:rFonts w:ascii="Arial" w:hAnsi="Arial" w:cs="Arial"/>
          <w:b/>
          <w:bCs/>
          <w:color w:val="333333"/>
          <w:sz w:val="22"/>
          <w:szCs w:val="22"/>
        </w:rPr>
      </w:pPr>
    </w:p>
    <w:p w14:paraId="1FCFCACB" w14:textId="543BF4AE" w:rsidR="00DD2FA4" w:rsidRPr="00DD2FA4" w:rsidRDefault="00DD2FA4" w:rsidP="00DD2FA4">
      <w:pPr>
        <w:pStyle w:val="ListParagraph"/>
        <w:spacing w:after="240" w:line="240" w:lineRule="auto"/>
        <w:rPr>
          <w:rFonts w:ascii="Arial" w:eastAsia="Times New Roman" w:hAnsi="Arial" w:cs="Arial"/>
          <w:b/>
          <w:color w:val="2E2E2E"/>
        </w:rPr>
      </w:pPr>
      <w:r w:rsidRPr="00DD2FA4">
        <w:rPr>
          <w:rFonts w:ascii="Arial" w:hAnsi="Arial" w:cs="Arial"/>
          <w:noProof/>
        </w:rPr>
        <w:drawing>
          <wp:inline distT="0" distB="0" distL="0" distR="0" wp14:anchorId="32E4BD55" wp14:editId="6818C2EA">
            <wp:extent cx="3336053" cy="4470089"/>
            <wp:effectExtent l="0" t="0" r="0" b="6985"/>
            <wp:docPr id="19" name="Picture 19"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diagram&#10;&#10;Description automatically generated"/>
                    <pic:cNvPicPr/>
                  </pic:nvPicPr>
                  <pic:blipFill>
                    <a:blip r:embed="rId7"/>
                    <a:stretch>
                      <a:fillRect/>
                    </a:stretch>
                  </pic:blipFill>
                  <pic:spPr>
                    <a:xfrm>
                      <a:off x="0" y="0"/>
                      <a:ext cx="3350827" cy="4489885"/>
                    </a:xfrm>
                    <a:prstGeom prst="rect">
                      <a:avLst/>
                    </a:prstGeom>
                  </pic:spPr>
                </pic:pic>
              </a:graphicData>
            </a:graphic>
          </wp:inline>
        </w:drawing>
      </w:r>
    </w:p>
    <w:p w14:paraId="3526A866" w14:textId="77777777" w:rsidR="00DD2FA4" w:rsidRPr="00DD2FA4" w:rsidRDefault="00DD2FA4" w:rsidP="00DD2FA4">
      <w:pPr>
        <w:pStyle w:val="ListParagraph"/>
        <w:spacing w:after="240" w:line="240" w:lineRule="auto"/>
        <w:rPr>
          <w:rFonts w:ascii="Arial" w:eastAsia="Times New Roman" w:hAnsi="Arial" w:cs="Arial"/>
          <w:b/>
          <w:color w:val="2E2E2E"/>
        </w:rPr>
      </w:pPr>
    </w:p>
    <w:bookmarkEnd w:id="4"/>
    <w:p w14:paraId="524F64B8" w14:textId="794DE99A" w:rsidR="00DD2FA4" w:rsidRPr="00DD2FA4" w:rsidRDefault="4776C809" w:rsidP="00DD2FA4">
      <w:pPr>
        <w:spacing w:after="240"/>
        <w:rPr>
          <w:rFonts w:ascii="Arial" w:hAnsi="Arial" w:cs="Arial"/>
        </w:rPr>
      </w:pPr>
      <w:r w:rsidRPr="4776C809">
        <w:rPr>
          <w:rFonts w:ascii="Arial" w:hAnsi="Arial" w:cs="Arial"/>
        </w:rPr>
        <w:t>Th</w:t>
      </w:r>
      <w:bookmarkEnd w:id="1"/>
      <w:r w:rsidRPr="4776C809">
        <w:rPr>
          <w:rFonts w:ascii="Arial" w:hAnsi="Arial" w:cs="Arial"/>
        </w:rPr>
        <w:t>e third step is to calculate the critical distance or distance bandwidths at maximum clustering using Incremental spatial autocorrelation</w:t>
      </w:r>
      <w:r w:rsidR="00DD2FA4" w:rsidRPr="4776C809">
        <w:rPr>
          <w:rFonts w:ascii="Arial" w:hAnsi="Arial" w:cs="Arial"/>
        </w:rPr>
        <w:fldChar w:fldCharType="begin" w:fldLock="1"/>
      </w:r>
      <w:r w:rsidR="00DD2FA4" w:rsidRPr="4776C809">
        <w:rPr>
          <w:rFonts w:ascii="Arial" w:hAnsi="Arial" w:cs="Arial"/>
        </w:rPr>
        <w:instrText>ADDIN CSL_CITATION {"citationItems":[{"id":"ITEM-1","itemData":{"DOI":"10.1016/j.compag.2014.12.011","ISSN":"01681699","abstract":"We propose a multivariate spatial clustering approach for partitioning orchard data.Data is spatially scaled by Getis-Ord Gi? statistic, followed by k-means clustering.Trees are discriminated into spatially homogeneous groups.Feasibility and performance were assessed in comparison to k-means clustering.Results improved cluster discrimination and representation of spatial structure. Precision agriculture aims at sustainably optimizing the management of cultivated fields by addressing the spatial variability found in crops and their environment. Spatial variability can be evaluated using spatial cluster analysis, which partitions data into homogeneous groups, considering the geographical location of features and their spatial relationships. Spatial clustering methods evaluate the degree of spatial autocorrelation between features and quantify the statistical significance of identified clusters. Clustering of orchard data calls for an approach which is based on modeling point data, i.e. individual trees, which can be related to site-specific measurements. We present and evaluate a spatial clustering method using the Getis-Ord Gi? statistic to the analysis of tree-based data in an experimental orchard. We examine the robustness of this method for the analysis of \"hot-spots\" (clusters of high data values) and \"cold-spots\" (clusters of low data values) in orchards and compare it to the k-means clustering algorithm, a widely-used aspatial method. We then present a novel approach which accounts for the spatial structure of data in a multivariate cluster analysis by combining the spatial Getis-Ord Gi? statistic with k-means multivariate clustering. The combined method improved results by both discriminating among features values as well as representing their spatial structure and therefore represents a superior technique for identifying homogenous spatial clusters in orchards. This approach can be used as a tool for precision management of orchards by partitioning trees into management zones.","author":[{"dropping-particle":"","family":"Peeters","given":"Aviva","non-dropping-particle":"","parse-names":false,"suffix":""},{"dropping-particle":"","family":"Zude","given":"Manuela","non-dropping-particle":"","parse-names":false,"suffix":""},{"dropping-particle":"","family":"Käthner","given":"Jana","non-dropping-particle":"","parse-names":false,"suffix":""},{"dropping-particle":"","family":"Ünlü","given":"Mustafa","non-dropping-particle":"","parse-names":false,"suffix":""},{"dropping-particle":"","family":"Kanber","given":"Riza","non-dropping-particle":"","parse-names":false,"suffix":""},{"dropping-particle":"","family":"Hetzroni","given":"Amots","non-dropping-particle":"","parse-names":false,"suffix":""},{"dropping-particle":"","family":"Gebbers","given":"Robin","non-dropping-particle":"","parse-names":false,"suffix":""},{"dropping-particle":"","family":"Ben-Gal","given":"Alon","non-dropping-particle":"","parse-names":false,"suffix":""}],"container-title":"Computers and Electronics in Agriculture","id":"ITEM-1","issued":{"date-parts":[["2015","2","1"]]},"page":"140-150","publisher":"Elsevier","title":"Getis–Ord\\textquoterights hot- and cold-spot statistics as a basis for multivariate spatial clustering of orchard tree data","type":"article-journal","volume":"111"},"uris":["http://www.mendeley.com/documents/?uuid=256b6d5c-e967-4b71-9b23-dc02bbb78285"]}],"mendeley":{"formattedCitation":"&lt;sup&gt;5&lt;/sup&gt;","plainTextFormattedCitation":"5","previouslyFormattedCitation":"&lt;sup&gt;5&lt;/sup&gt;"},"properties":{"noteIndex":0},"schema":"https://github.com/citation-style-language/schema/raw/master/csl-citation.json"}</w:instrText>
      </w:r>
      <w:r w:rsidR="00DD2FA4" w:rsidRPr="4776C809">
        <w:rPr>
          <w:rFonts w:ascii="Arial" w:hAnsi="Arial" w:cs="Arial"/>
        </w:rPr>
        <w:fldChar w:fldCharType="separate"/>
      </w:r>
      <w:r w:rsidRPr="4776C809">
        <w:rPr>
          <w:rFonts w:ascii="Arial" w:hAnsi="Arial" w:cs="Arial"/>
          <w:noProof/>
          <w:vertAlign w:val="superscript"/>
        </w:rPr>
        <w:t>5</w:t>
      </w:r>
      <w:r w:rsidR="00DD2FA4" w:rsidRPr="4776C809">
        <w:rPr>
          <w:rFonts w:ascii="Arial" w:hAnsi="Arial" w:cs="Arial"/>
        </w:rPr>
        <w:fldChar w:fldCharType="end"/>
      </w:r>
      <w:r w:rsidRPr="4776C809">
        <w:rPr>
          <w:rFonts w:ascii="Arial" w:hAnsi="Arial" w:cs="Arial"/>
        </w:rPr>
        <w:t xml:space="preserve"> (Figure 2 &amp; Table 3). We used spatial autocorrelation at multiple distances and plotted the corresponding z-scores on a line graph (Figure 2). The z-scores indicate the level of spatial clustering intensity, and statistically significant z-scores signify the distances at which the maximum clustering is detected.</w:t>
      </w:r>
    </w:p>
    <w:p w14:paraId="6DEA3E25" w14:textId="5447A3C9" w:rsidR="00DD2FA4" w:rsidRPr="00DD2FA4" w:rsidRDefault="00DD2FA4" w:rsidP="00DD2FA4">
      <w:pPr>
        <w:spacing w:after="240"/>
        <w:rPr>
          <w:rFonts w:ascii="Arial" w:hAnsi="Arial" w:cs="Arial"/>
          <w:b/>
          <w:bCs/>
        </w:rPr>
      </w:pPr>
      <w:bookmarkStart w:id="5" w:name="_Hlk142056156"/>
      <w:r w:rsidRPr="00DD2FA4">
        <w:rPr>
          <w:rFonts w:ascii="Arial" w:hAnsi="Arial" w:cs="Arial"/>
          <w:b/>
          <w:bCs/>
        </w:rPr>
        <w:lastRenderedPageBreak/>
        <w:t xml:space="preserve">Figure 2 Spatial Autocorrelation with </w:t>
      </w:r>
      <w:r>
        <w:rPr>
          <w:rFonts w:ascii="Arial" w:hAnsi="Arial" w:cs="Arial"/>
          <w:b/>
          <w:bCs/>
        </w:rPr>
        <w:t xml:space="preserve">Calculated </w:t>
      </w:r>
      <w:r w:rsidRPr="00DD2FA4">
        <w:rPr>
          <w:rFonts w:ascii="Arial" w:hAnsi="Arial" w:cs="Arial"/>
          <w:b/>
          <w:bCs/>
        </w:rPr>
        <w:t xml:space="preserve">Peaks </w:t>
      </w:r>
    </w:p>
    <w:p w14:paraId="4A6BCBA1" w14:textId="364DFCA6" w:rsidR="00DD2FA4" w:rsidRPr="00DD2FA4" w:rsidRDefault="00DD2FA4" w:rsidP="00DD2FA4">
      <w:pPr>
        <w:spacing w:after="240"/>
        <w:ind w:left="360"/>
        <w:rPr>
          <w:rFonts w:ascii="Arial" w:hAnsi="Arial" w:cs="Arial"/>
        </w:rPr>
      </w:pPr>
      <w:r w:rsidRPr="00DD2FA4">
        <w:rPr>
          <w:rFonts w:ascii="Arial" w:hAnsi="Arial" w:cs="Arial"/>
          <w:noProof/>
        </w:rPr>
        <w:drawing>
          <wp:inline distT="0" distB="0" distL="0" distR="0" wp14:anchorId="68E22C97" wp14:editId="5CBB28C3">
            <wp:extent cx="4250453" cy="29408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65494" cy="2951212"/>
                    </a:xfrm>
                    <a:prstGeom prst="rect">
                      <a:avLst/>
                    </a:prstGeom>
                  </pic:spPr>
                </pic:pic>
              </a:graphicData>
            </a:graphic>
          </wp:inline>
        </w:drawing>
      </w:r>
    </w:p>
    <w:p w14:paraId="20D9E5B4" w14:textId="624DDE8A" w:rsidR="00DD2FA4" w:rsidRPr="00DD2FA4" w:rsidRDefault="00DD2FA4">
      <w:pPr>
        <w:rPr>
          <w:rFonts w:ascii="Arial" w:hAnsi="Arial" w:cs="Arial"/>
        </w:rPr>
      </w:pPr>
      <w:r w:rsidRPr="00DD2FA4">
        <w:rPr>
          <w:rFonts w:ascii="Arial" w:hAnsi="Arial" w:cs="Arial"/>
        </w:rPr>
        <w:br w:type="page"/>
      </w:r>
    </w:p>
    <w:p w14:paraId="4477D7DC" w14:textId="77777777" w:rsidR="006D3AA8" w:rsidRPr="00DD2FA4" w:rsidRDefault="006D3AA8" w:rsidP="006D3AA8">
      <w:pPr>
        <w:spacing w:after="240" w:line="480" w:lineRule="auto"/>
        <w:rPr>
          <w:rFonts w:ascii="Arial" w:hAnsi="Arial" w:cs="Arial"/>
          <w:b/>
          <w:bCs/>
        </w:rPr>
      </w:pPr>
      <w:bookmarkStart w:id="6" w:name="_Hlk142056174"/>
      <w:bookmarkEnd w:id="5"/>
      <w:r w:rsidRPr="00DD2FA4">
        <w:rPr>
          <w:rFonts w:ascii="Arial" w:hAnsi="Arial" w:cs="Arial"/>
          <w:b/>
          <w:bCs/>
        </w:rPr>
        <w:lastRenderedPageBreak/>
        <w:t xml:space="preserve">Table 3 </w:t>
      </w:r>
      <w:r>
        <w:rPr>
          <w:rFonts w:ascii="Arial" w:hAnsi="Arial" w:cs="Arial"/>
          <w:b/>
          <w:bCs/>
        </w:rPr>
        <w:t xml:space="preserve">Spatial Autocorrelation </w:t>
      </w:r>
      <w:r w:rsidRPr="00DD2FA4">
        <w:rPr>
          <w:rFonts w:ascii="Arial" w:hAnsi="Arial" w:cs="Arial"/>
          <w:b/>
          <w:bCs/>
        </w:rPr>
        <w:t>Global Moran</w:t>
      </w:r>
      <w:r>
        <w:rPr>
          <w:rFonts w:ascii="Arial" w:hAnsi="Arial" w:cs="Arial"/>
          <w:b/>
          <w:bCs/>
        </w:rPr>
        <w:t>’</w:t>
      </w:r>
      <w:r w:rsidRPr="00DD2FA4">
        <w:rPr>
          <w:rFonts w:ascii="Arial" w:hAnsi="Arial" w:cs="Arial"/>
          <w:b/>
          <w:bCs/>
        </w:rPr>
        <w:t xml:space="preserve">s </w:t>
      </w:r>
      <w:r>
        <w:rPr>
          <w:rFonts w:ascii="Arial" w:hAnsi="Arial" w:cs="Arial"/>
          <w:b/>
          <w:bCs/>
        </w:rPr>
        <w:t xml:space="preserve">I Table by Distance </w:t>
      </w:r>
    </w:p>
    <w:p w14:paraId="2E2C702C" w14:textId="0F48BFBA" w:rsidR="00DD2FA4" w:rsidRPr="00DD2FA4" w:rsidRDefault="00DD2FA4" w:rsidP="00DD2FA4">
      <w:pPr>
        <w:spacing w:after="240"/>
        <w:rPr>
          <w:rFonts w:ascii="Arial" w:hAnsi="Arial" w:cs="Arial"/>
        </w:rPr>
      </w:pPr>
      <w:r w:rsidRPr="00DD2FA4">
        <w:rPr>
          <w:rFonts w:ascii="Arial" w:hAnsi="Arial" w:cs="Arial"/>
          <w:noProof/>
        </w:rPr>
        <w:drawing>
          <wp:inline distT="0" distB="0" distL="0" distR="0" wp14:anchorId="74F006C1" wp14:editId="3D104BA7">
            <wp:extent cx="4423551" cy="7315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25645" cy="7318663"/>
                    </a:xfrm>
                    <a:prstGeom prst="rect">
                      <a:avLst/>
                    </a:prstGeom>
                  </pic:spPr>
                </pic:pic>
              </a:graphicData>
            </a:graphic>
          </wp:inline>
        </w:drawing>
      </w:r>
    </w:p>
    <w:p w14:paraId="53E63439" w14:textId="77777777" w:rsidR="00DD2FA4" w:rsidRPr="00DD2FA4" w:rsidRDefault="00DD2FA4" w:rsidP="00DD2FA4">
      <w:pPr>
        <w:spacing w:after="240"/>
        <w:rPr>
          <w:rFonts w:ascii="Arial" w:hAnsi="Arial" w:cs="Arial"/>
        </w:rPr>
      </w:pPr>
    </w:p>
    <w:p w14:paraId="4134F9C3" w14:textId="7EF51644" w:rsidR="00DD2FA4" w:rsidRPr="00DD2FA4" w:rsidRDefault="00DD2FA4" w:rsidP="00DD2FA4">
      <w:pPr>
        <w:spacing w:after="240"/>
        <w:rPr>
          <w:rFonts w:ascii="Arial" w:hAnsi="Arial" w:cs="Arial"/>
          <w:b/>
          <w:bCs/>
        </w:rPr>
      </w:pPr>
      <w:r w:rsidRPr="00DD2FA4">
        <w:rPr>
          <w:rFonts w:ascii="Arial" w:hAnsi="Arial" w:cs="Arial"/>
          <w:b/>
          <w:bCs/>
        </w:rPr>
        <w:lastRenderedPageBreak/>
        <w:t xml:space="preserve">Figure 4 Example of Spatial Autocorrelation Report Demonstrating Clustered </w:t>
      </w:r>
    </w:p>
    <w:p w14:paraId="72731D34" w14:textId="28F180C8" w:rsidR="00DD2FA4" w:rsidRPr="00DD2FA4" w:rsidRDefault="00DD2FA4" w:rsidP="00DD2FA4">
      <w:pPr>
        <w:spacing w:after="240"/>
        <w:rPr>
          <w:rFonts w:ascii="Arial" w:hAnsi="Arial" w:cs="Arial"/>
        </w:rPr>
      </w:pPr>
      <w:r w:rsidRPr="00DD2FA4">
        <w:rPr>
          <w:rFonts w:ascii="Arial" w:hAnsi="Arial" w:cs="Arial"/>
          <w:noProof/>
        </w:rPr>
        <w:drawing>
          <wp:inline distT="0" distB="0" distL="0" distR="0" wp14:anchorId="73B5F5A0" wp14:editId="269CF243">
            <wp:extent cx="4024365" cy="4108636"/>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26405" cy="4110719"/>
                    </a:xfrm>
                    <a:prstGeom prst="rect">
                      <a:avLst/>
                    </a:prstGeom>
                  </pic:spPr>
                </pic:pic>
              </a:graphicData>
            </a:graphic>
          </wp:inline>
        </w:drawing>
      </w:r>
    </w:p>
    <w:bookmarkEnd w:id="6"/>
    <w:p w14:paraId="0C64AE1E" w14:textId="2B225752" w:rsidR="00DD2FA4" w:rsidRDefault="4776C809" w:rsidP="00DD2FA4">
      <w:pPr>
        <w:spacing w:after="240"/>
        <w:rPr>
          <w:rFonts w:ascii="Arial" w:hAnsi="Arial" w:cs="Arial"/>
        </w:rPr>
      </w:pPr>
      <w:r w:rsidRPr="4776C809">
        <w:rPr>
          <w:rFonts w:ascii="Arial" w:hAnsi="Arial" w:cs="Arial"/>
        </w:rPr>
        <w:t xml:space="preserve">The final step was to proceed with </w:t>
      </w:r>
      <w:proofErr w:type="spellStart"/>
      <w:r w:rsidRPr="4776C809">
        <w:rPr>
          <w:rFonts w:ascii="Arial" w:hAnsi="Arial" w:cs="Arial"/>
        </w:rPr>
        <w:t>Getis</w:t>
      </w:r>
      <w:proofErr w:type="spellEnd"/>
      <w:r w:rsidRPr="4776C809">
        <w:rPr>
          <w:rFonts w:ascii="Arial" w:hAnsi="Arial" w:cs="Arial"/>
        </w:rPr>
        <w:t xml:space="preserve">-Ord </w:t>
      </w:r>
      <w:r w:rsidRPr="4776C809">
        <w:rPr>
          <w:rStyle w:val="Emphasis"/>
          <w:rFonts w:ascii="Arial" w:hAnsi="Arial" w:cs="Arial"/>
        </w:rPr>
        <w:t>G</w:t>
      </w:r>
      <w:r w:rsidRPr="4776C809">
        <w:rPr>
          <w:rStyle w:val="Emphasis"/>
          <w:rFonts w:ascii="Arial" w:hAnsi="Arial" w:cs="Arial"/>
          <w:vertAlign w:val="subscript"/>
        </w:rPr>
        <w:t>i</w:t>
      </w:r>
      <w:r w:rsidRPr="4776C809">
        <w:rPr>
          <w:rStyle w:val="Emphasis"/>
          <w:rFonts w:ascii="Cambria Math" w:hAnsi="Cambria Math" w:cs="Cambria Math"/>
          <w:vertAlign w:val="superscript"/>
        </w:rPr>
        <w:t>∗</w:t>
      </w:r>
      <w:r w:rsidRPr="4776C809">
        <w:rPr>
          <w:rFonts w:ascii="Arial" w:hAnsi="Arial" w:cs="Arial"/>
        </w:rPr>
        <w:t xml:space="preserve"> statistic</w:t>
      </w:r>
      <w:r w:rsidR="00DD2FA4" w:rsidRPr="4776C809">
        <w:rPr>
          <w:rFonts w:ascii="Arial" w:hAnsi="Arial" w:cs="Arial"/>
        </w:rPr>
        <w:fldChar w:fldCharType="begin" w:fldLock="1"/>
      </w:r>
      <w:r w:rsidR="00DD2FA4" w:rsidRPr="4776C809">
        <w:rPr>
          <w:rFonts w:ascii="Arial" w:hAnsi="Arial" w:cs="Arial"/>
        </w:rPr>
        <w:instrText>ADDIN CSL_CITATION {"citationItems":[{"id":"ITEM-1","itemData":{"DOI":"10.1111/j.1538-4632.1992.tb00261.x","ISSN":"00167363","author":[{"dropping-particle":"","family":"Getis","given":"Arthur","non-dropping-particle":"","parse-names":false,"suffix":""},{"dropping-particle":"","family":"Ord","given":"J K","non-dropping-particle":"","parse-names":false,"suffix":""}],"container-title":"Geographical analysis","id":"ITEM-1","issue":"3","issued":{"date-parts":[["2010","9"]]},"page":"189-206","title":"The analysis of spatial association by use of distance statistics","type":"article-journal","volume":"24"},"uris":["http://www.mendeley.com/documents/?uuid=e13ca864-7fff-442d-8bdc-d2ea58c82b23"]}],"mendeley":{"formattedCitation":"&lt;sup&gt;6&lt;/sup&gt;","plainTextFormattedCitation":"6","previouslyFormattedCitation":"&lt;sup&gt;6&lt;/sup&gt;"},"properties":{"noteIndex":0},"schema":"https://github.com/citation-style-language/schema/raw/master/csl-citation.json"}</w:instrText>
      </w:r>
      <w:r w:rsidR="00DD2FA4" w:rsidRPr="4776C809">
        <w:rPr>
          <w:rFonts w:ascii="Arial" w:hAnsi="Arial" w:cs="Arial"/>
        </w:rPr>
        <w:fldChar w:fldCharType="separate"/>
      </w:r>
      <w:r w:rsidRPr="4776C809">
        <w:rPr>
          <w:rFonts w:ascii="Arial" w:hAnsi="Arial" w:cs="Arial"/>
          <w:noProof/>
          <w:vertAlign w:val="superscript"/>
        </w:rPr>
        <w:t>6</w:t>
      </w:r>
      <w:r w:rsidR="00DD2FA4" w:rsidRPr="4776C809">
        <w:rPr>
          <w:rFonts w:ascii="Arial" w:hAnsi="Arial" w:cs="Arial"/>
        </w:rPr>
        <w:fldChar w:fldCharType="end"/>
      </w:r>
      <w:r w:rsidRPr="4776C809">
        <w:rPr>
          <w:rFonts w:ascii="Arial" w:hAnsi="Arial" w:cs="Arial"/>
          <w:color w:val="000000" w:themeColor="text1"/>
          <w:vertAlign w:val="superscript"/>
        </w:rPr>
        <w:t xml:space="preserve"> </w:t>
      </w:r>
      <w:r w:rsidRPr="4776C809">
        <w:rPr>
          <w:rFonts w:ascii="Arial" w:hAnsi="Arial" w:cs="Arial"/>
        </w:rPr>
        <w:t>with hot spot (i.e. highest duration of access time) and cold spot (i.e. lowest duration of access time) analyses to test the statistical significance of local clusters and the spatial extent of these clusters (95% CI).</w:t>
      </w:r>
      <w:r w:rsidR="00DD2FA4" w:rsidRPr="4776C809">
        <w:rPr>
          <w:rFonts w:ascii="Arial" w:hAnsi="Arial" w:cs="Arial"/>
        </w:rPr>
        <w:fldChar w:fldCharType="begin" w:fldLock="1"/>
      </w:r>
      <w:r w:rsidR="00DD2FA4" w:rsidRPr="4776C809">
        <w:rPr>
          <w:rFonts w:ascii="Arial" w:hAnsi="Arial" w:cs="Arial"/>
        </w:rPr>
        <w:instrText>ADDIN CSL_CITATION {"citationItems":[{"id":"ITEM-1","itemData":{"DOI":"10.1111/j.1538-4632.1992.tb00261.x","ISSN":"00167363","author":[{"dropping-particle":"","family":"Getis","given":"Arthur","non-dropping-particle":"","parse-names":false,"suffix":""},{"dropping-particle":"","family":"Ord","given":"J K","non-dropping-particle":"","parse-names":false,"suffix":""}],"container-title":"Geographical analysis","id":"ITEM-1","issue":"3","issued":{"date-parts":[["2010","9"]]},"page":"189-206","title":"The analysis of spatial association by use of distance statistics","type":"article-journal","volume":"24"},"uris":["http://www.mendeley.com/documents/?uuid=e13ca864-7fff-442d-8bdc-d2ea58c82b23"]}],"mendeley":{"formattedCitation":"&lt;sup&gt;6&lt;/sup&gt;","plainTextFormattedCitation":"6","previouslyFormattedCitation":"&lt;sup&gt;6&lt;/sup&gt;"},"properties":{"noteIndex":0},"schema":"https://github.com/citation-style-language/schema/raw/master/csl-citation.json"}</w:instrText>
      </w:r>
      <w:r w:rsidR="00DD2FA4" w:rsidRPr="4776C809">
        <w:rPr>
          <w:rFonts w:ascii="Arial" w:hAnsi="Arial" w:cs="Arial"/>
        </w:rPr>
        <w:fldChar w:fldCharType="separate"/>
      </w:r>
      <w:r w:rsidRPr="4776C809">
        <w:rPr>
          <w:rFonts w:ascii="Arial" w:hAnsi="Arial" w:cs="Arial"/>
          <w:noProof/>
          <w:vertAlign w:val="superscript"/>
        </w:rPr>
        <w:t>6</w:t>
      </w:r>
      <w:r w:rsidR="00DD2FA4" w:rsidRPr="4776C809">
        <w:rPr>
          <w:rFonts w:ascii="Arial" w:hAnsi="Arial" w:cs="Arial"/>
        </w:rPr>
        <w:fldChar w:fldCharType="end"/>
      </w:r>
      <w:r w:rsidRPr="4776C809">
        <w:rPr>
          <w:rFonts w:ascii="Arial" w:hAnsi="Arial" w:cs="Arial"/>
        </w:rPr>
        <w:t xml:space="preserve"> GI statistics contain a z-score</w:t>
      </w:r>
      <w:r w:rsidR="00DD2FA4" w:rsidRPr="4776C809">
        <w:rPr>
          <w:rFonts w:ascii="Arial" w:hAnsi="Arial" w:cs="Arial"/>
        </w:rPr>
        <w:fldChar w:fldCharType="begin" w:fldLock="1"/>
      </w:r>
      <w:r w:rsidR="00DD2FA4" w:rsidRPr="4776C809">
        <w:rPr>
          <w:rFonts w:ascii="Arial" w:hAnsi="Arial" w:cs="Arial"/>
        </w:rPr>
        <w:instrText>ADDIN CSL_CITATION {"citationItems":[{"id":"ITEM-1","itemData":{"DOI":"10.1111/j.1538-4632.1992.tb00261.x","ISSN":"00167363","author":[{"dropping-particle":"","family":"Getis","given":"Arthur","non-dropping-particle":"","parse-names":false,"suffix":""},{"dropping-particle":"","family":"Ord","given":"J K","non-dropping-particle":"","parse-names":false,"suffix":""}],"container-title":"Geographical analysis","id":"ITEM-1","issue":"3","issued":{"date-parts":[["2010","9"]]},"page":"189-206","title":"The analysis of spatial association by use of distance statistics","type":"article-journal","volume":"24"},"uris":["http://www.mendeley.com/documents/?uuid=e13ca864-7fff-442d-8bdc-d2ea58c82b23"]}],"mendeley":{"formattedCitation":"&lt;sup&gt;6&lt;/sup&gt;","plainTextFormattedCitation":"6","previouslyFormattedCitation":"&lt;sup&gt;6&lt;/sup&gt;"},"properties":{"noteIndex":0},"schema":"https://github.com/citation-style-language/schema/raw/master/csl-citation.json"}</w:instrText>
      </w:r>
      <w:r w:rsidR="00DD2FA4" w:rsidRPr="4776C809">
        <w:rPr>
          <w:rFonts w:ascii="Arial" w:hAnsi="Arial" w:cs="Arial"/>
        </w:rPr>
        <w:fldChar w:fldCharType="separate"/>
      </w:r>
      <w:r w:rsidRPr="4776C809">
        <w:rPr>
          <w:rFonts w:ascii="Arial" w:hAnsi="Arial" w:cs="Arial"/>
          <w:noProof/>
          <w:vertAlign w:val="superscript"/>
        </w:rPr>
        <w:t>6</w:t>
      </w:r>
      <w:r w:rsidR="00DD2FA4" w:rsidRPr="4776C809">
        <w:rPr>
          <w:rFonts w:ascii="Arial" w:hAnsi="Arial" w:cs="Arial"/>
        </w:rPr>
        <w:fldChar w:fldCharType="end"/>
      </w:r>
      <w:r w:rsidRPr="4776C809">
        <w:rPr>
          <w:rFonts w:ascii="Arial" w:hAnsi="Arial" w:cs="Arial"/>
        </w:rPr>
        <w:t xml:space="preserve"> and clusters with a 95% significance level from a two-tailed normal distribution. A z-score close to zero and a p-value greater than 0.05 suggest complete spatial randomness within the study area. On the other hand, a positive z-</w:t>
      </w:r>
      <w:proofErr w:type="gramStart"/>
      <w:r w:rsidRPr="4776C809">
        <w:rPr>
          <w:rFonts w:ascii="Arial" w:hAnsi="Arial" w:cs="Arial"/>
        </w:rPr>
        <w:t>score</w:t>
      </w:r>
      <w:proofErr w:type="gramEnd"/>
      <w:r w:rsidRPr="4776C809">
        <w:rPr>
          <w:rFonts w:ascii="Arial" w:hAnsi="Arial" w:cs="Arial"/>
        </w:rPr>
        <w:t xml:space="preserve"> and a p-value less than 0.05 signify the clustering of high values. The hot and cold spot analysis results were calculated with a 95% CI. Lastly, clusters were compared using the False Discovery Rate correction in the analysis to account for potential false positive hotspots.</w:t>
      </w:r>
      <w:r w:rsidR="00DD2FA4" w:rsidRPr="4776C809">
        <w:rPr>
          <w:rFonts w:ascii="Arial" w:hAnsi="Arial" w:cs="Arial"/>
        </w:rPr>
        <w:fldChar w:fldCharType="begin" w:fldLock="1"/>
      </w:r>
      <w:r w:rsidR="00DD2FA4" w:rsidRPr="4776C809">
        <w:rPr>
          <w:rFonts w:ascii="Arial" w:hAnsi="Arial" w:cs="Arial"/>
        </w:rPr>
        <w:instrText>ADDIN CSL_CITATION {"citationItems":[{"id":"ITEM-1","itemData":{"DOI":"10.1371/journal.pone.0219860","PMID":"31318939","abstract":"{BACKGROUND}: Geospatial data are important in monitoring many aspects of healthcare development. Geographically linking health facility data with population data is an important area of public health research. Examining healthcare problems spatially and hierarchically assists with efficient resource allocation and the monitoring and evaluation of service efficacy at different levels. This paper explored methodological issues associated with geographic data linkage, and the spatial and multilevel analyses that could be considered in analysing maternal health service data. {METHODS}: The 2016 Ethiopia Demographic and Health Survey and the 2014 Ethiopia Service Provision Assessment data were used. Two geographic data linking methods were used to link these two datasets. Administrative boundary link was used to link a sample of health facilities data with population survey data for analysing three areas of maternal health service use. Euclidean buffer link was used for a census of hospitals to analyse caesarean delivery use in Ethiopia. The Global Moran's I and the Getis-Ord Gi* statistics need to be carried out for identifying hot spots of maternal health service use in {ArcGIS} software. In addition to this, since the two datasets contain hierarchical data, a multilevel analysis was carried out to identify key determinants of maternal health service use in Ethiopia. {RESULTS}: Administrative boundary link gave more types of health facilities and more maternal health services as compared to the Euclidean buffer link. Administrative boundary link is the method of choice in case of sampled health facilities. However, for a census of health facilities, the Euclidean buffer link is the appropriate choice as this provides cluster level service environment estimates, which the administrative boundary link does not. Applying a False Discovery Rate correction enables the identification of true spatial clusters of maternal health service use. {CONCLUSIONS}: A service environment link minimizes the methodological issues associated with geographic data linkage. A False Discovery Rate correction needs to be used to account for multiple and dependent testing while carrying out local spatial statistics. Examining maternal health service use both spatially and hierarchically has tremendous importance for identifying geographic areas that need special emphasis and for intervention purposes.","author":[{"dropping-particle":"","family":"Tegegne","given":"Teketo Kassaw","non-dropping-particle":"","parse-names":false,"suffix":""},{"dropping-particle":"","family":"Chojenta","given":"Catherine","non-dropping-particle":"","parse-names":false,"suffix":""},{"dropping-particle":"","family":"Getachew","given":"Theodros","non-dropping-particle":"","parse-names":false,"suffix":""},{"dropping-particle":"","family":"Smith","given":"Roger","non-dropping-particle":"","parse-names":false,"suffix":""},{"dropping-particle":"","family":"Loxton","given":"Deborah","non-dropping-particle":"","parse-names":false,"suffix":""}],"container-title":"Plos One","id":"ITEM-1","issue":"7","issued":{"date-parts":[["2019","7"]]},"page":"e0219860","title":"Service environment link and false discovery rate correction: Methodological considerations in population and health facility surveys.","type":"article-journal","volume":"14"},"uris":["http://www.mendeley.com/documents/?uuid=ff84194a-2621-4431-b73e-4bb1a7a71703"]}],"mendeley":{"formattedCitation":"&lt;sup&gt;7&lt;/sup&gt;","plainTextFormattedCitation":"7","previouslyFormattedCitation":"&lt;sup&gt;7&lt;/sup&gt;"},"properties":{"noteIndex":0},"schema":"https://github.com/citation-style-language/schema/raw/master/csl-citation.json"}</w:instrText>
      </w:r>
      <w:r w:rsidR="00DD2FA4" w:rsidRPr="4776C809">
        <w:rPr>
          <w:rFonts w:ascii="Arial" w:hAnsi="Arial" w:cs="Arial"/>
        </w:rPr>
        <w:fldChar w:fldCharType="separate"/>
      </w:r>
      <w:r w:rsidRPr="4776C809">
        <w:rPr>
          <w:rFonts w:ascii="Arial" w:hAnsi="Arial" w:cs="Arial"/>
          <w:noProof/>
          <w:vertAlign w:val="superscript"/>
        </w:rPr>
        <w:t>7</w:t>
      </w:r>
      <w:r w:rsidR="00DD2FA4" w:rsidRPr="4776C809">
        <w:rPr>
          <w:rFonts w:ascii="Arial" w:hAnsi="Arial" w:cs="Arial"/>
        </w:rPr>
        <w:fldChar w:fldCharType="end"/>
      </w:r>
      <w:r w:rsidRPr="4776C809">
        <w:rPr>
          <w:rFonts w:ascii="Arial" w:hAnsi="Arial" w:cs="Arial"/>
        </w:rPr>
        <w:t xml:space="preserve"> </w:t>
      </w:r>
    </w:p>
    <w:bookmarkEnd w:id="0"/>
    <w:p w14:paraId="59C0907B" w14:textId="70615E2E" w:rsidR="00DD2FA4" w:rsidRDefault="00DD2FA4" w:rsidP="00DD2FA4">
      <w:pPr>
        <w:spacing w:after="240"/>
        <w:rPr>
          <w:rFonts w:ascii="Arial" w:hAnsi="Arial" w:cs="Arial"/>
        </w:rPr>
      </w:pPr>
      <w:r>
        <w:rPr>
          <w:rFonts w:ascii="Arial" w:hAnsi="Arial" w:cs="Arial"/>
        </w:rPr>
        <w:t>References</w:t>
      </w:r>
    </w:p>
    <w:p w14:paraId="14926297" w14:textId="1C2CE57E" w:rsidR="00DD2FA4" w:rsidRPr="00DD2FA4" w:rsidRDefault="00DD2FA4" w:rsidP="00DD2FA4">
      <w:pPr>
        <w:widowControl w:val="0"/>
        <w:autoSpaceDE w:val="0"/>
        <w:autoSpaceDN w:val="0"/>
        <w:adjustRightInd w:val="0"/>
        <w:spacing w:after="240" w:line="240" w:lineRule="auto"/>
        <w:ind w:left="640" w:hanging="640"/>
        <w:rPr>
          <w:rFonts w:ascii="Arial" w:hAnsi="Arial" w:cs="Arial"/>
          <w:noProof/>
          <w:szCs w:val="24"/>
        </w:rPr>
      </w:pPr>
      <w:r>
        <w:rPr>
          <w:rFonts w:ascii="Arial" w:hAnsi="Arial" w:cs="Arial"/>
        </w:rPr>
        <w:fldChar w:fldCharType="begin" w:fldLock="1"/>
      </w:r>
      <w:r>
        <w:rPr>
          <w:rFonts w:ascii="Arial" w:hAnsi="Arial" w:cs="Arial"/>
        </w:rPr>
        <w:instrText xml:space="preserve">ADDIN Mendeley Bibliography CSL_BIBLIOGRAPHY </w:instrText>
      </w:r>
      <w:r>
        <w:rPr>
          <w:rFonts w:ascii="Arial" w:hAnsi="Arial" w:cs="Arial"/>
        </w:rPr>
        <w:fldChar w:fldCharType="separate"/>
      </w:r>
      <w:r w:rsidRPr="00DD2FA4">
        <w:rPr>
          <w:rFonts w:ascii="Arial" w:hAnsi="Arial" w:cs="Arial"/>
          <w:noProof/>
          <w:szCs w:val="24"/>
        </w:rPr>
        <w:t>1.</w:t>
      </w:r>
      <w:r w:rsidRPr="00DD2FA4">
        <w:rPr>
          <w:rFonts w:ascii="Arial" w:hAnsi="Arial" w:cs="Arial"/>
          <w:noProof/>
          <w:szCs w:val="24"/>
        </w:rPr>
        <w:tab/>
        <w:t>Find the nearest feature—ArcGIS Pro | Documentation.</w:t>
      </w:r>
    </w:p>
    <w:p w14:paraId="4EDD0350" w14:textId="77777777" w:rsidR="00DD2FA4" w:rsidRPr="00DD2FA4" w:rsidRDefault="00DD2FA4" w:rsidP="00DD2FA4">
      <w:pPr>
        <w:widowControl w:val="0"/>
        <w:autoSpaceDE w:val="0"/>
        <w:autoSpaceDN w:val="0"/>
        <w:adjustRightInd w:val="0"/>
        <w:spacing w:after="240" w:line="240" w:lineRule="auto"/>
        <w:ind w:left="640" w:hanging="640"/>
        <w:rPr>
          <w:rFonts w:ascii="Arial" w:hAnsi="Arial" w:cs="Arial"/>
          <w:noProof/>
          <w:szCs w:val="24"/>
        </w:rPr>
      </w:pPr>
      <w:r w:rsidRPr="00DD2FA4">
        <w:rPr>
          <w:rFonts w:ascii="Arial" w:hAnsi="Arial" w:cs="Arial"/>
          <w:noProof/>
          <w:szCs w:val="24"/>
        </w:rPr>
        <w:t>2.</w:t>
      </w:r>
      <w:r w:rsidRPr="00DD2FA4">
        <w:rPr>
          <w:rFonts w:ascii="Arial" w:hAnsi="Arial" w:cs="Arial"/>
          <w:noProof/>
          <w:szCs w:val="24"/>
        </w:rPr>
        <w:tab/>
        <w:t>Modeling spatial relationships—ArcGIS Pro | Documentation. https://pro.arcgis.com/en/pro-app/2.8/tool-reference/spatial-statistics/modeling-spatial-relationships.htm.</w:t>
      </w:r>
    </w:p>
    <w:p w14:paraId="0FD4E058" w14:textId="77777777" w:rsidR="00DD2FA4" w:rsidRPr="00DD2FA4" w:rsidRDefault="00DD2FA4" w:rsidP="00DD2FA4">
      <w:pPr>
        <w:widowControl w:val="0"/>
        <w:autoSpaceDE w:val="0"/>
        <w:autoSpaceDN w:val="0"/>
        <w:adjustRightInd w:val="0"/>
        <w:spacing w:after="240" w:line="240" w:lineRule="auto"/>
        <w:ind w:left="640" w:hanging="640"/>
        <w:rPr>
          <w:rFonts w:ascii="Arial" w:hAnsi="Arial" w:cs="Arial"/>
          <w:noProof/>
          <w:szCs w:val="24"/>
        </w:rPr>
      </w:pPr>
      <w:r w:rsidRPr="00DD2FA4">
        <w:rPr>
          <w:rFonts w:ascii="Arial" w:hAnsi="Arial" w:cs="Arial"/>
          <w:noProof/>
          <w:szCs w:val="24"/>
        </w:rPr>
        <w:t>3.</w:t>
      </w:r>
      <w:r w:rsidRPr="00DD2FA4">
        <w:rPr>
          <w:rFonts w:ascii="Arial" w:hAnsi="Arial" w:cs="Arial"/>
          <w:noProof/>
          <w:szCs w:val="24"/>
        </w:rPr>
        <w:tab/>
        <w:t xml:space="preserve">Grekousis, G. </w:t>
      </w:r>
      <w:r w:rsidRPr="00DD2FA4">
        <w:rPr>
          <w:rFonts w:ascii="Arial" w:hAnsi="Arial" w:cs="Arial"/>
          <w:i/>
          <w:iCs/>
          <w:noProof/>
          <w:szCs w:val="24"/>
        </w:rPr>
        <w:t>Spatial Analysis Methods and Practice: Describe – Explore – Explain through GIS</w:t>
      </w:r>
      <w:r w:rsidRPr="00DD2FA4">
        <w:rPr>
          <w:rFonts w:ascii="Arial" w:hAnsi="Arial" w:cs="Arial"/>
          <w:noProof/>
          <w:szCs w:val="24"/>
        </w:rPr>
        <w:t>. (Cambridge University Press, 2020). doi:DOI: 10.1017/9781108614528.</w:t>
      </w:r>
    </w:p>
    <w:p w14:paraId="74AF3FFF" w14:textId="77777777" w:rsidR="00DD2FA4" w:rsidRPr="00DD2FA4" w:rsidRDefault="00DD2FA4" w:rsidP="00DD2FA4">
      <w:pPr>
        <w:widowControl w:val="0"/>
        <w:autoSpaceDE w:val="0"/>
        <w:autoSpaceDN w:val="0"/>
        <w:adjustRightInd w:val="0"/>
        <w:spacing w:after="240" w:line="240" w:lineRule="auto"/>
        <w:ind w:left="640" w:hanging="640"/>
        <w:rPr>
          <w:rFonts w:ascii="Arial" w:hAnsi="Arial" w:cs="Arial"/>
          <w:noProof/>
          <w:szCs w:val="24"/>
        </w:rPr>
      </w:pPr>
      <w:r w:rsidRPr="00DD2FA4">
        <w:rPr>
          <w:rFonts w:ascii="Arial" w:hAnsi="Arial" w:cs="Arial"/>
          <w:noProof/>
          <w:szCs w:val="24"/>
        </w:rPr>
        <w:t>4.</w:t>
      </w:r>
      <w:r w:rsidRPr="00DD2FA4">
        <w:rPr>
          <w:rFonts w:ascii="Arial" w:hAnsi="Arial" w:cs="Arial"/>
          <w:noProof/>
          <w:szCs w:val="24"/>
        </w:rPr>
        <w:tab/>
        <w:t xml:space="preserve">Calculate Distance Band from Neighbor Count (Spatial Statistics)—ArcGIS Pro | </w:t>
      </w:r>
      <w:r w:rsidRPr="00DD2FA4">
        <w:rPr>
          <w:rFonts w:ascii="Arial" w:hAnsi="Arial" w:cs="Arial"/>
          <w:noProof/>
          <w:szCs w:val="24"/>
        </w:rPr>
        <w:lastRenderedPageBreak/>
        <w:t>Documentation. https://pro.arcgis.com/en/pro-app/latest/tool-reference/spatial-statistics/calculate-distance-band-from-neighbor-count.htm.</w:t>
      </w:r>
    </w:p>
    <w:p w14:paraId="0237040A" w14:textId="77777777" w:rsidR="00DD2FA4" w:rsidRPr="00DD2FA4" w:rsidRDefault="00DD2FA4" w:rsidP="00DD2FA4">
      <w:pPr>
        <w:widowControl w:val="0"/>
        <w:autoSpaceDE w:val="0"/>
        <w:autoSpaceDN w:val="0"/>
        <w:adjustRightInd w:val="0"/>
        <w:spacing w:after="240" w:line="240" w:lineRule="auto"/>
        <w:ind w:left="640" w:hanging="640"/>
        <w:rPr>
          <w:rFonts w:ascii="Arial" w:hAnsi="Arial" w:cs="Arial"/>
          <w:noProof/>
          <w:szCs w:val="24"/>
        </w:rPr>
      </w:pPr>
      <w:r w:rsidRPr="00DD2FA4">
        <w:rPr>
          <w:rFonts w:ascii="Arial" w:hAnsi="Arial" w:cs="Arial"/>
          <w:noProof/>
          <w:szCs w:val="24"/>
        </w:rPr>
        <w:t>5.</w:t>
      </w:r>
      <w:r w:rsidRPr="00DD2FA4">
        <w:rPr>
          <w:rFonts w:ascii="Arial" w:hAnsi="Arial" w:cs="Arial"/>
          <w:noProof/>
          <w:szCs w:val="24"/>
        </w:rPr>
        <w:tab/>
        <w:t xml:space="preserve">Peeters, A. </w:t>
      </w:r>
      <w:r w:rsidRPr="00DD2FA4">
        <w:rPr>
          <w:rFonts w:ascii="Arial" w:hAnsi="Arial" w:cs="Arial"/>
          <w:i/>
          <w:iCs/>
          <w:noProof/>
          <w:szCs w:val="24"/>
        </w:rPr>
        <w:t>et al.</w:t>
      </w:r>
      <w:r w:rsidRPr="00DD2FA4">
        <w:rPr>
          <w:rFonts w:ascii="Arial" w:hAnsi="Arial" w:cs="Arial"/>
          <w:noProof/>
          <w:szCs w:val="24"/>
        </w:rPr>
        <w:t xml:space="preserve"> Getis–Ord\textquoterights hot- and cold-spot statistics as a basis for multivariate spatial clustering of orchard tree data. </w:t>
      </w:r>
      <w:r w:rsidRPr="00DD2FA4">
        <w:rPr>
          <w:rFonts w:ascii="Arial" w:hAnsi="Arial" w:cs="Arial"/>
          <w:i/>
          <w:iCs/>
          <w:noProof/>
          <w:szCs w:val="24"/>
        </w:rPr>
        <w:t>Comput. Electron. Agric.</w:t>
      </w:r>
      <w:r w:rsidRPr="00DD2FA4">
        <w:rPr>
          <w:rFonts w:ascii="Arial" w:hAnsi="Arial" w:cs="Arial"/>
          <w:noProof/>
          <w:szCs w:val="24"/>
        </w:rPr>
        <w:t xml:space="preserve"> </w:t>
      </w:r>
      <w:r w:rsidRPr="00DD2FA4">
        <w:rPr>
          <w:rFonts w:ascii="Arial" w:hAnsi="Arial" w:cs="Arial"/>
          <w:b/>
          <w:bCs/>
          <w:noProof/>
          <w:szCs w:val="24"/>
        </w:rPr>
        <w:t>111</w:t>
      </w:r>
      <w:r w:rsidRPr="00DD2FA4">
        <w:rPr>
          <w:rFonts w:ascii="Arial" w:hAnsi="Arial" w:cs="Arial"/>
          <w:noProof/>
          <w:szCs w:val="24"/>
        </w:rPr>
        <w:t>, 140–150 (2015).</w:t>
      </w:r>
    </w:p>
    <w:p w14:paraId="13A2A46A" w14:textId="77777777" w:rsidR="00DD2FA4" w:rsidRPr="00DD2FA4" w:rsidRDefault="00DD2FA4" w:rsidP="00DD2FA4">
      <w:pPr>
        <w:widowControl w:val="0"/>
        <w:autoSpaceDE w:val="0"/>
        <w:autoSpaceDN w:val="0"/>
        <w:adjustRightInd w:val="0"/>
        <w:spacing w:after="240" w:line="240" w:lineRule="auto"/>
        <w:ind w:left="640" w:hanging="640"/>
        <w:rPr>
          <w:rFonts w:ascii="Arial" w:hAnsi="Arial" w:cs="Arial"/>
          <w:noProof/>
          <w:szCs w:val="24"/>
        </w:rPr>
      </w:pPr>
      <w:r w:rsidRPr="00DD2FA4">
        <w:rPr>
          <w:rFonts w:ascii="Arial" w:hAnsi="Arial" w:cs="Arial"/>
          <w:noProof/>
          <w:szCs w:val="24"/>
        </w:rPr>
        <w:t>6.</w:t>
      </w:r>
      <w:r w:rsidRPr="00DD2FA4">
        <w:rPr>
          <w:rFonts w:ascii="Arial" w:hAnsi="Arial" w:cs="Arial"/>
          <w:noProof/>
          <w:szCs w:val="24"/>
        </w:rPr>
        <w:tab/>
        <w:t xml:space="preserve">Getis, A. &amp; Ord, J. K. The analysis of spatial association by use of distance statistics. </w:t>
      </w:r>
      <w:r w:rsidRPr="00DD2FA4">
        <w:rPr>
          <w:rFonts w:ascii="Arial" w:hAnsi="Arial" w:cs="Arial"/>
          <w:i/>
          <w:iCs/>
          <w:noProof/>
          <w:szCs w:val="24"/>
        </w:rPr>
        <w:t>Geogr. Anal.</w:t>
      </w:r>
      <w:r w:rsidRPr="00DD2FA4">
        <w:rPr>
          <w:rFonts w:ascii="Arial" w:hAnsi="Arial" w:cs="Arial"/>
          <w:noProof/>
          <w:szCs w:val="24"/>
        </w:rPr>
        <w:t xml:space="preserve"> </w:t>
      </w:r>
      <w:r w:rsidRPr="00DD2FA4">
        <w:rPr>
          <w:rFonts w:ascii="Arial" w:hAnsi="Arial" w:cs="Arial"/>
          <w:b/>
          <w:bCs/>
          <w:noProof/>
          <w:szCs w:val="24"/>
        </w:rPr>
        <w:t>24</w:t>
      </w:r>
      <w:r w:rsidRPr="00DD2FA4">
        <w:rPr>
          <w:rFonts w:ascii="Arial" w:hAnsi="Arial" w:cs="Arial"/>
          <w:noProof/>
          <w:szCs w:val="24"/>
        </w:rPr>
        <w:t>, 189–206 (2010).</w:t>
      </w:r>
    </w:p>
    <w:p w14:paraId="618A3380" w14:textId="77777777" w:rsidR="00DD2FA4" w:rsidRPr="00DD2FA4" w:rsidRDefault="00DD2FA4" w:rsidP="00DD2FA4">
      <w:pPr>
        <w:widowControl w:val="0"/>
        <w:autoSpaceDE w:val="0"/>
        <w:autoSpaceDN w:val="0"/>
        <w:adjustRightInd w:val="0"/>
        <w:spacing w:after="240" w:line="240" w:lineRule="auto"/>
        <w:ind w:left="640" w:hanging="640"/>
        <w:rPr>
          <w:rFonts w:ascii="Arial" w:hAnsi="Arial" w:cs="Arial"/>
          <w:noProof/>
        </w:rPr>
      </w:pPr>
      <w:r w:rsidRPr="00DD2FA4">
        <w:rPr>
          <w:rFonts w:ascii="Arial" w:hAnsi="Arial" w:cs="Arial"/>
          <w:noProof/>
          <w:szCs w:val="24"/>
        </w:rPr>
        <w:t>7.</w:t>
      </w:r>
      <w:r w:rsidRPr="00DD2FA4">
        <w:rPr>
          <w:rFonts w:ascii="Arial" w:hAnsi="Arial" w:cs="Arial"/>
          <w:noProof/>
          <w:szCs w:val="24"/>
        </w:rPr>
        <w:tab/>
        <w:t xml:space="preserve">Tegegne, T. K., Chojenta, C., Getachew, T., Smith, R. &amp; Loxton, D. Service environment link and false discovery rate correction: Methodological considerations in population and health facility surveys. </w:t>
      </w:r>
      <w:r w:rsidRPr="00DD2FA4">
        <w:rPr>
          <w:rFonts w:ascii="Arial" w:hAnsi="Arial" w:cs="Arial"/>
          <w:i/>
          <w:iCs/>
          <w:noProof/>
          <w:szCs w:val="24"/>
        </w:rPr>
        <w:t>PLoS One</w:t>
      </w:r>
      <w:r w:rsidRPr="00DD2FA4">
        <w:rPr>
          <w:rFonts w:ascii="Arial" w:hAnsi="Arial" w:cs="Arial"/>
          <w:noProof/>
          <w:szCs w:val="24"/>
        </w:rPr>
        <w:t xml:space="preserve"> </w:t>
      </w:r>
      <w:r w:rsidRPr="00DD2FA4">
        <w:rPr>
          <w:rFonts w:ascii="Arial" w:hAnsi="Arial" w:cs="Arial"/>
          <w:b/>
          <w:bCs/>
          <w:noProof/>
          <w:szCs w:val="24"/>
        </w:rPr>
        <w:t>14</w:t>
      </w:r>
      <w:r w:rsidRPr="00DD2FA4">
        <w:rPr>
          <w:rFonts w:ascii="Arial" w:hAnsi="Arial" w:cs="Arial"/>
          <w:noProof/>
          <w:szCs w:val="24"/>
        </w:rPr>
        <w:t>, e0219860 (2019).</w:t>
      </w:r>
    </w:p>
    <w:p w14:paraId="216BDAC3" w14:textId="3D21DFF0" w:rsidR="00DD2FA4" w:rsidRPr="00DD2FA4" w:rsidRDefault="00DD2FA4" w:rsidP="00DD2FA4">
      <w:pPr>
        <w:spacing w:after="240"/>
        <w:rPr>
          <w:rFonts w:ascii="Arial" w:hAnsi="Arial" w:cs="Arial"/>
        </w:rPr>
      </w:pPr>
      <w:r>
        <w:rPr>
          <w:rFonts w:ascii="Arial" w:hAnsi="Arial" w:cs="Arial"/>
        </w:rPr>
        <w:fldChar w:fldCharType="end"/>
      </w:r>
    </w:p>
    <w:sectPr w:rsidR="00DD2FA4" w:rsidRPr="00DD2F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025F0"/>
    <w:multiLevelType w:val="hybridMultilevel"/>
    <w:tmpl w:val="A5EE47D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D3B7F"/>
    <w:multiLevelType w:val="multilevel"/>
    <w:tmpl w:val="9256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E179F"/>
    <w:multiLevelType w:val="hybridMultilevel"/>
    <w:tmpl w:val="A5EE47D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0E6B32"/>
    <w:multiLevelType w:val="multilevel"/>
    <w:tmpl w:val="3FA6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262B3C"/>
    <w:multiLevelType w:val="hybridMultilevel"/>
    <w:tmpl w:val="4B3E186E"/>
    <w:lvl w:ilvl="0" w:tplc="A6AEF9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757C20"/>
    <w:multiLevelType w:val="hybridMultilevel"/>
    <w:tmpl w:val="1A823534"/>
    <w:lvl w:ilvl="0" w:tplc="55B20564">
      <w:start w:val="4"/>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850BE8"/>
    <w:multiLevelType w:val="hybridMultilevel"/>
    <w:tmpl w:val="FDCE7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2010B3"/>
    <w:multiLevelType w:val="hybridMultilevel"/>
    <w:tmpl w:val="540A801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C6C64AC"/>
    <w:multiLevelType w:val="multilevel"/>
    <w:tmpl w:val="BAAA7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2D6023"/>
    <w:multiLevelType w:val="hybridMultilevel"/>
    <w:tmpl w:val="E4A887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C2388"/>
    <w:multiLevelType w:val="hybridMultilevel"/>
    <w:tmpl w:val="34D41B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C5735D"/>
    <w:multiLevelType w:val="hybridMultilevel"/>
    <w:tmpl w:val="5C1E71B4"/>
    <w:lvl w:ilvl="0" w:tplc="6E9CBC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3931AF4"/>
    <w:multiLevelType w:val="multilevel"/>
    <w:tmpl w:val="62D03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6E1B36"/>
    <w:multiLevelType w:val="hybridMultilevel"/>
    <w:tmpl w:val="B9AA4A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AD093D"/>
    <w:multiLevelType w:val="hybridMultilevel"/>
    <w:tmpl w:val="5388E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4F5F67"/>
    <w:multiLevelType w:val="multilevel"/>
    <w:tmpl w:val="9A96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802BDB"/>
    <w:multiLevelType w:val="hybridMultilevel"/>
    <w:tmpl w:val="B248E0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3D7A2A"/>
    <w:multiLevelType w:val="multilevel"/>
    <w:tmpl w:val="A150E1F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C4E11F1"/>
    <w:multiLevelType w:val="multilevel"/>
    <w:tmpl w:val="EF006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3733686">
    <w:abstractNumId w:val="0"/>
  </w:num>
  <w:num w:numId="2" w16cid:durableId="1237667553">
    <w:abstractNumId w:val="7"/>
  </w:num>
  <w:num w:numId="3" w16cid:durableId="1827554645">
    <w:abstractNumId w:val="2"/>
  </w:num>
  <w:num w:numId="4" w16cid:durableId="1174147453">
    <w:abstractNumId w:val="5"/>
  </w:num>
  <w:num w:numId="5" w16cid:durableId="2014215652">
    <w:abstractNumId w:val="16"/>
  </w:num>
  <w:num w:numId="6" w16cid:durableId="350691017">
    <w:abstractNumId w:val="11"/>
  </w:num>
  <w:num w:numId="7" w16cid:durableId="686298263">
    <w:abstractNumId w:val="10"/>
  </w:num>
  <w:num w:numId="8" w16cid:durableId="89786775">
    <w:abstractNumId w:val="6"/>
  </w:num>
  <w:num w:numId="9" w16cid:durableId="362557672">
    <w:abstractNumId w:val="15"/>
  </w:num>
  <w:num w:numId="10" w16cid:durableId="855995457">
    <w:abstractNumId w:val="8"/>
    <w:lvlOverride w:ilvl="0">
      <w:startOverride w:val="1"/>
    </w:lvlOverride>
  </w:num>
  <w:num w:numId="11" w16cid:durableId="1429959203">
    <w:abstractNumId w:val="17"/>
  </w:num>
  <w:num w:numId="12" w16cid:durableId="158883474">
    <w:abstractNumId w:val="13"/>
  </w:num>
  <w:num w:numId="13" w16cid:durableId="1038118106">
    <w:abstractNumId w:val="9"/>
  </w:num>
  <w:num w:numId="14" w16cid:durableId="626205236">
    <w:abstractNumId w:val="14"/>
  </w:num>
  <w:num w:numId="15" w16cid:durableId="1031614522">
    <w:abstractNumId w:val="18"/>
  </w:num>
  <w:num w:numId="16" w16cid:durableId="876240064">
    <w:abstractNumId w:val="3"/>
  </w:num>
  <w:num w:numId="17" w16cid:durableId="581525309">
    <w:abstractNumId w:val="12"/>
  </w:num>
  <w:num w:numId="18" w16cid:durableId="190605346">
    <w:abstractNumId w:val="1"/>
  </w:num>
  <w:num w:numId="19" w16cid:durableId="705956235">
    <w:abstractNumId w:val="4"/>
  </w:num>
  <w:num w:numId="20" w16cid:durableId="17047886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wNrAwMjQyMjU3MDBT0lEKTi0uzszPAykwNK4FAFsVZt8tAAAA"/>
  </w:docVars>
  <w:rsids>
    <w:rsidRoot w:val="00171F77"/>
    <w:rsid w:val="00031E3C"/>
    <w:rsid w:val="00040A78"/>
    <w:rsid w:val="00065C1C"/>
    <w:rsid w:val="000A7167"/>
    <w:rsid w:val="000B0F03"/>
    <w:rsid w:val="000E2532"/>
    <w:rsid w:val="000E71C9"/>
    <w:rsid w:val="00162162"/>
    <w:rsid w:val="0016605D"/>
    <w:rsid w:val="001674BE"/>
    <w:rsid w:val="00171F77"/>
    <w:rsid w:val="00182A2F"/>
    <w:rsid w:val="001A264C"/>
    <w:rsid w:val="0020619C"/>
    <w:rsid w:val="00216F4E"/>
    <w:rsid w:val="0026105B"/>
    <w:rsid w:val="002E2B09"/>
    <w:rsid w:val="003163B0"/>
    <w:rsid w:val="003211AA"/>
    <w:rsid w:val="003408C0"/>
    <w:rsid w:val="00341AB2"/>
    <w:rsid w:val="0034221C"/>
    <w:rsid w:val="00360EE3"/>
    <w:rsid w:val="00365A91"/>
    <w:rsid w:val="003B5E32"/>
    <w:rsid w:val="003C70CC"/>
    <w:rsid w:val="003D1A11"/>
    <w:rsid w:val="0040352A"/>
    <w:rsid w:val="00433728"/>
    <w:rsid w:val="00480155"/>
    <w:rsid w:val="005335C6"/>
    <w:rsid w:val="00556760"/>
    <w:rsid w:val="00580191"/>
    <w:rsid w:val="005C1357"/>
    <w:rsid w:val="005D6330"/>
    <w:rsid w:val="006273E8"/>
    <w:rsid w:val="006D3AA8"/>
    <w:rsid w:val="006E18F1"/>
    <w:rsid w:val="006F5A47"/>
    <w:rsid w:val="00785009"/>
    <w:rsid w:val="007A3219"/>
    <w:rsid w:val="007E53E2"/>
    <w:rsid w:val="008214D6"/>
    <w:rsid w:val="0082314E"/>
    <w:rsid w:val="0085406F"/>
    <w:rsid w:val="008A5BD9"/>
    <w:rsid w:val="008B1272"/>
    <w:rsid w:val="008D5D77"/>
    <w:rsid w:val="008F01ED"/>
    <w:rsid w:val="008F1B29"/>
    <w:rsid w:val="00911069"/>
    <w:rsid w:val="0095381E"/>
    <w:rsid w:val="00997E65"/>
    <w:rsid w:val="00A45D3F"/>
    <w:rsid w:val="00A5318F"/>
    <w:rsid w:val="00AA78F9"/>
    <w:rsid w:val="00AB1950"/>
    <w:rsid w:val="00AD7452"/>
    <w:rsid w:val="00B6087C"/>
    <w:rsid w:val="00B62204"/>
    <w:rsid w:val="00B779DB"/>
    <w:rsid w:val="00B80804"/>
    <w:rsid w:val="00B82709"/>
    <w:rsid w:val="00B9718A"/>
    <w:rsid w:val="00C85062"/>
    <w:rsid w:val="00DA4EA6"/>
    <w:rsid w:val="00DD2FA4"/>
    <w:rsid w:val="00E2287C"/>
    <w:rsid w:val="00E53F74"/>
    <w:rsid w:val="00EB221D"/>
    <w:rsid w:val="00ED413E"/>
    <w:rsid w:val="00F40296"/>
    <w:rsid w:val="1F5F5488"/>
    <w:rsid w:val="37B4DDC7"/>
    <w:rsid w:val="41EC9E57"/>
    <w:rsid w:val="4776C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42AA4"/>
  <w15:docId w15:val="{70AFC79B-18D1-405A-BEFA-01CB70DD0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0804"/>
    <w:pPr>
      <w:ind w:left="720"/>
      <w:contextualSpacing/>
    </w:pPr>
  </w:style>
  <w:style w:type="paragraph" w:styleId="NormalWeb">
    <w:name w:val="Normal (Web)"/>
    <w:basedOn w:val="Normal"/>
    <w:uiPriority w:val="99"/>
    <w:unhideWhenUsed/>
    <w:rsid w:val="00B8080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163B0"/>
    <w:rPr>
      <w:color w:val="0000FF"/>
      <w:u w:val="single"/>
    </w:rPr>
  </w:style>
  <w:style w:type="character" w:customStyle="1" w:styleId="uicontrol">
    <w:name w:val="uicontrol"/>
    <w:basedOn w:val="DefaultParagraphFont"/>
    <w:rsid w:val="003163B0"/>
  </w:style>
  <w:style w:type="character" w:customStyle="1" w:styleId="usertext">
    <w:name w:val="usertext"/>
    <w:basedOn w:val="DefaultParagraphFont"/>
    <w:rsid w:val="003163B0"/>
  </w:style>
  <w:style w:type="paragraph" w:styleId="HTMLPreformatted">
    <w:name w:val="HTML Preformatted"/>
    <w:basedOn w:val="Normal"/>
    <w:link w:val="HTMLPreformattedChar"/>
    <w:uiPriority w:val="99"/>
    <w:semiHidden/>
    <w:unhideWhenUsed/>
    <w:rsid w:val="005D6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D6330"/>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216F4E"/>
    <w:rPr>
      <w:color w:val="605E5C"/>
      <w:shd w:val="clear" w:color="auto" w:fill="E1DFDD"/>
    </w:rPr>
  </w:style>
  <w:style w:type="character" w:styleId="FollowedHyperlink">
    <w:name w:val="FollowedHyperlink"/>
    <w:basedOn w:val="DefaultParagraphFont"/>
    <w:uiPriority w:val="99"/>
    <w:semiHidden/>
    <w:unhideWhenUsed/>
    <w:rsid w:val="007E53E2"/>
    <w:rPr>
      <w:color w:val="954F72" w:themeColor="followedHyperlink"/>
      <w:u w:val="single"/>
    </w:rPr>
  </w:style>
  <w:style w:type="character" w:styleId="CommentReference">
    <w:name w:val="annotation reference"/>
    <w:basedOn w:val="DefaultParagraphFont"/>
    <w:uiPriority w:val="99"/>
    <w:semiHidden/>
    <w:unhideWhenUsed/>
    <w:rsid w:val="00341AB2"/>
    <w:rPr>
      <w:sz w:val="16"/>
      <w:szCs w:val="16"/>
    </w:rPr>
  </w:style>
  <w:style w:type="paragraph" w:styleId="CommentText">
    <w:name w:val="annotation text"/>
    <w:basedOn w:val="Normal"/>
    <w:link w:val="CommentTextChar"/>
    <w:uiPriority w:val="99"/>
    <w:unhideWhenUsed/>
    <w:rsid w:val="00341AB2"/>
    <w:pPr>
      <w:spacing w:line="240" w:lineRule="auto"/>
    </w:pPr>
    <w:rPr>
      <w:sz w:val="20"/>
      <w:szCs w:val="20"/>
    </w:rPr>
  </w:style>
  <w:style w:type="character" w:customStyle="1" w:styleId="CommentTextChar">
    <w:name w:val="Comment Text Char"/>
    <w:basedOn w:val="DefaultParagraphFont"/>
    <w:link w:val="CommentText"/>
    <w:uiPriority w:val="99"/>
    <w:rsid w:val="00341AB2"/>
    <w:rPr>
      <w:sz w:val="20"/>
      <w:szCs w:val="20"/>
    </w:rPr>
  </w:style>
  <w:style w:type="paragraph" w:styleId="CommentSubject">
    <w:name w:val="annotation subject"/>
    <w:basedOn w:val="CommentText"/>
    <w:next w:val="CommentText"/>
    <w:link w:val="CommentSubjectChar"/>
    <w:uiPriority w:val="99"/>
    <w:semiHidden/>
    <w:unhideWhenUsed/>
    <w:rsid w:val="00341AB2"/>
    <w:rPr>
      <w:b/>
      <w:bCs/>
    </w:rPr>
  </w:style>
  <w:style w:type="character" w:customStyle="1" w:styleId="CommentSubjectChar">
    <w:name w:val="Comment Subject Char"/>
    <w:basedOn w:val="CommentTextChar"/>
    <w:link w:val="CommentSubject"/>
    <w:uiPriority w:val="99"/>
    <w:semiHidden/>
    <w:rsid w:val="00341AB2"/>
    <w:rPr>
      <w:b/>
      <w:bCs/>
      <w:sz w:val="20"/>
      <w:szCs w:val="20"/>
    </w:rPr>
  </w:style>
  <w:style w:type="table" w:styleId="TableGrid">
    <w:name w:val="Table Grid"/>
    <w:basedOn w:val="TableNormal"/>
    <w:uiPriority w:val="39"/>
    <w:rsid w:val="003B5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B5E32"/>
    <w:rPr>
      <w:b/>
      <w:bCs/>
    </w:rPr>
  </w:style>
  <w:style w:type="character" w:styleId="Emphasis">
    <w:name w:val="Emphasis"/>
    <w:basedOn w:val="DefaultParagraphFont"/>
    <w:uiPriority w:val="20"/>
    <w:qFormat/>
    <w:rsid w:val="00DD2F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67188">
      <w:bodyDiv w:val="1"/>
      <w:marLeft w:val="0"/>
      <w:marRight w:val="0"/>
      <w:marTop w:val="0"/>
      <w:marBottom w:val="0"/>
      <w:divBdr>
        <w:top w:val="none" w:sz="0" w:space="0" w:color="auto"/>
        <w:left w:val="none" w:sz="0" w:space="0" w:color="auto"/>
        <w:bottom w:val="none" w:sz="0" w:space="0" w:color="auto"/>
        <w:right w:val="none" w:sz="0" w:space="0" w:color="auto"/>
      </w:divBdr>
    </w:div>
    <w:div w:id="272131307">
      <w:bodyDiv w:val="1"/>
      <w:marLeft w:val="0"/>
      <w:marRight w:val="0"/>
      <w:marTop w:val="0"/>
      <w:marBottom w:val="0"/>
      <w:divBdr>
        <w:top w:val="none" w:sz="0" w:space="0" w:color="auto"/>
        <w:left w:val="none" w:sz="0" w:space="0" w:color="auto"/>
        <w:bottom w:val="none" w:sz="0" w:space="0" w:color="auto"/>
        <w:right w:val="none" w:sz="0" w:space="0" w:color="auto"/>
      </w:divBdr>
    </w:div>
    <w:div w:id="277183437">
      <w:bodyDiv w:val="1"/>
      <w:marLeft w:val="0"/>
      <w:marRight w:val="0"/>
      <w:marTop w:val="0"/>
      <w:marBottom w:val="0"/>
      <w:divBdr>
        <w:top w:val="none" w:sz="0" w:space="0" w:color="auto"/>
        <w:left w:val="none" w:sz="0" w:space="0" w:color="auto"/>
        <w:bottom w:val="none" w:sz="0" w:space="0" w:color="auto"/>
        <w:right w:val="none" w:sz="0" w:space="0" w:color="auto"/>
      </w:divBdr>
      <w:divsChild>
        <w:div w:id="1085107241">
          <w:marLeft w:val="0"/>
          <w:marRight w:val="0"/>
          <w:marTop w:val="0"/>
          <w:marBottom w:val="0"/>
          <w:divBdr>
            <w:top w:val="none" w:sz="0" w:space="0" w:color="auto"/>
            <w:left w:val="none" w:sz="0" w:space="0" w:color="auto"/>
            <w:bottom w:val="none" w:sz="0" w:space="0" w:color="auto"/>
            <w:right w:val="none" w:sz="0" w:space="0" w:color="auto"/>
          </w:divBdr>
        </w:div>
      </w:divsChild>
    </w:div>
    <w:div w:id="295063307">
      <w:bodyDiv w:val="1"/>
      <w:marLeft w:val="0"/>
      <w:marRight w:val="0"/>
      <w:marTop w:val="0"/>
      <w:marBottom w:val="0"/>
      <w:divBdr>
        <w:top w:val="none" w:sz="0" w:space="0" w:color="auto"/>
        <w:left w:val="none" w:sz="0" w:space="0" w:color="auto"/>
        <w:bottom w:val="none" w:sz="0" w:space="0" w:color="auto"/>
        <w:right w:val="none" w:sz="0" w:space="0" w:color="auto"/>
      </w:divBdr>
    </w:div>
    <w:div w:id="502404325">
      <w:bodyDiv w:val="1"/>
      <w:marLeft w:val="0"/>
      <w:marRight w:val="0"/>
      <w:marTop w:val="0"/>
      <w:marBottom w:val="0"/>
      <w:divBdr>
        <w:top w:val="none" w:sz="0" w:space="0" w:color="auto"/>
        <w:left w:val="none" w:sz="0" w:space="0" w:color="auto"/>
        <w:bottom w:val="none" w:sz="0" w:space="0" w:color="auto"/>
        <w:right w:val="none" w:sz="0" w:space="0" w:color="auto"/>
      </w:divBdr>
      <w:divsChild>
        <w:div w:id="1324083">
          <w:marLeft w:val="0"/>
          <w:marRight w:val="0"/>
          <w:marTop w:val="0"/>
          <w:marBottom w:val="0"/>
          <w:divBdr>
            <w:top w:val="none" w:sz="0" w:space="0" w:color="auto"/>
            <w:left w:val="none" w:sz="0" w:space="0" w:color="auto"/>
            <w:bottom w:val="none" w:sz="0" w:space="0" w:color="auto"/>
            <w:right w:val="none" w:sz="0" w:space="0" w:color="auto"/>
          </w:divBdr>
          <w:divsChild>
            <w:div w:id="1268349146">
              <w:marLeft w:val="0"/>
              <w:marRight w:val="0"/>
              <w:marTop w:val="0"/>
              <w:marBottom w:val="0"/>
              <w:divBdr>
                <w:top w:val="none" w:sz="0" w:space="0" w:color="auto"/>
                <w:left w:val="none" w:sz="0" w:space="0" w:color="auto"/>
                <w:bottom w:val="none" w:sz="0" w:space="0" w:color="auto"/>
                <w:right w:val="none" w:sz="0" w:space="0" w:color="auto"/>
              </w:divBdr>
              <w:divsChild>
                <w:div w:id="646010983">
                  <w:marLeft w:val="0"/>
                  <w:marRight w:val="0"/>
                  <w:marTop w:val="0"/>
                  <w:marBottom w:val="0"/>
                  <w:divBdr>
                    <w:top w:val="none" w:sz="0" w:space="0" w:color="auto"/>
                    <w:left w:val="none" w:sz="0" w:space="0" w:color="auto"/>
                    <w:bottom w:val="none" w:sz="0" w:space="0" w:color="auto"/>
                    <w:right w:val="none" w:sz="0" w:space="0" w:color="auto"/>
                  </w:divBdr>
                  <w:divsChild>
                    <w:div w:id="427579204">
                      <w:marLeft w:val="0"/>
                      <w:marRight w:val="0"/>
                      <w:marTop w:val="0"/>
                      <w:marBottom w:val="0"/>
                      <w:divBdr>
                        <w:top w:val="none" w:sz="0" w:space="0" w:color="auto"/>
                        <w:left w:val="none" w:sz="0" w:space="0" w:color="auto"/>
                        <w:bottom w:val="none" w:sz="0" w:space="0" w:color="auto"/>
                        <w:right w:val="none" w:sz="0" w:space="0" w:color="auto"/>
                      </w:divBdr>
                    </w:div>
                    <w:div w:id="959604063">
                      <w:marLeft w:val="0"/>
                      <w:marRight w:val="0"/>
                      <w:marTop w:val="0"/>
                      <w:marBottom w:val="0"/>
                      <w:divBdr>
                        <w:top w:val="none" w:sz="0" w:space="0" w:color="auto"/>
                        <w:left w:val="none" w:sz="0" w:space="0" w:color="auto"/>
                        <w:bottom w:val="none" w:sz="0" w:space="0" w:color="auto"/>
                        <w:right w:val="none" w:sz="0" w:space="0" w:color="auto"/>
                      </w:divBdr>
                      <w:divsChild>
                        <w:div w:id="19735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4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177108">
      <w:bodyDiv w:val="1"/>
      <w:marLeft w:val="0"/>
      <w:marRight w:val="0"/>
      <w:marTop w:val="0"/>
      <w:marBottom w:val="0"/>
      <w:divBdr>
        <w:top w:val="none" w:sz="0" w:space="0" w:color="auto"/>
        <w:left w:val="none" w:sz="0" w:space="0" w:color="auto"/>
        <w:bottom w:val="none" w:sz="0" w:space="0" w:color="auto"/>
        <w:right w:val="none" w:sz="0" w:space="0" w:color="auto"/>
      </w:divBdr>
    </w:div>
    <w:div w:id="674381879">
      <w:bodyDiv w:val="1"/>
      <w:marLeft w:val="0"/>
      <w:marRight w:val="0"/>
      <w:marTop w:val="0"/>
      <w:marBottom w:val="0"/>
      <w:divBdr>
        <w:top w:val="none" w:sz="0" w:space="0" w:color="auto"/>
        <w:left w:val="none" w:sz="0" w:space="0" w:color="auto"/>
        <w:bottom w:val="none" w:sz="0" w:space="0" w:color="auto"/>
        <w:right w:val="none" w:sz="0" w:space="0" w:color="auto"/>
      </w:divBdr>
    </w:div>
    <w:div w:id="765151357">
      <w:bodyDiv w:val="1"/>
      <w:marLeft w:val="0"/>
      <w:marRight w:val="0"/>
      <w:marTop w:val="0"/>
      <w:marBottom w:val="0"/>
      <w:divBdr>
        <w:top w:val="none" w:sz="0" w:space="0" w:color="auto"/>
        <w:left w:val="none" w:sz="0" w:space="0" w:color="auto"/>
        <w:bottom w:val="none" w:sz="0" w:space="0" w:color="auto"/>
        <w:right w:val="none" w:sz="0" w:space="0" w:color="auto"/>
      </w:divBdr>
    </w:div>
    <w:div w:id="793252881">
      <w:bodyDiv w:val="1"/>
      <w:marLeft w:val="0"/>
      <w:marRight w:val="0"/>
      <w:marTop w:val="0"/>
      <w:marBottom w:val="0"/>
      <w:divBdr>
        <w:top w:val="none" w:sz="0" w:space="0" w:color="auto"/>
        <w:left w:val="none" w:sz="0" w:space="0" w:color="auto"/>
        <w:bottom w:val="none" w:sz="0" w:space="0" w:color="auto"/>
        <w:right w:val="none" w:sz="0" w:space="0" w:color="auto"/>
      </w:divBdr>
    </w:div>
    <w:div w:id="908853667">
      <w:bodyDiv w:val="1"/>
      <w:marLeft w:val="0"/>
      <w:marRight w:val="0"/>
      <w:marTop w:val="0"/>
      <w:marBottom w:val="0"/>
      <w:divBdr>
        <w:top w:val="none" w:sz="0" w:space="0" w:color="auto"/>
        <w:left w:val="none" w:sz="0" w:space="0" w:color="auto"/>
        <w:bottom w:val="none" w:sz="0" w:space="0" w:color="auto"/>
        <w:right w:val="none" w:sz="0" w:space="0" w:color="auto"/>
      </w:divBdr>
    </w:div>
    <w:div w:id="914820310">
      <w:bodyDiv w:val="1"/>
      <w:marLeft w:val="0"/>
      <w:marRight w:val="0"/>
      <w:marTop w:val="0"/>
      <w:marBottom w:val="0"/>
      <w:divBdr>
        <w:top w:val="none" w:sz="0" w:space="0" w:color="auto"/>
        <w:left w:val="none" w:sz="0" w:space="0" w:color="auto"/>
        <w:bottom w:val="none" w:sz="0" w:space="0" w:color="auto"/>
        <w:right w:val="none" w:sz="0" w:space="0" w:color="auto"/>
      </w:divBdr>
    </w:div>
    <w:div w:id="939920582">
      <w:bodyDiv w:val="1"/>
      <w:marLeft w:val="0"/>
      <w:marRight w:val="0"/>
      <w:marTop w:val="0"/>
      <w:marBottom w:val="0"/>
      <w:divBdr>
        <w:top w:val="none" w:sz="0" w:space="0" w:color="auto"/>
        <w:left w:val="none" w:sz="0" w:space="0" w:color="auto"/>
        <w:bottom w:val="none" w:sz="0" w:space="0" w:color="auto"/>
        <w:right w:val="none" w:sz="0" w:space="0" w:color="auto"/>
      </w:divBdr>
    </w:div>
    <w:div w:id="982002138">
      <w:bodyDiv w:val="1"/>
      <w:marLeft w:val="0"/>
      <w:marRight w:val="0"/>
      <w:marTop w:val="0"/>
      <w:marBottom w:val="0"/>
      <w:divBdr>
        <w:top w:val="none" w:sz="0" w:space="0" w:color="auto"/>
        <w:left w:val="none" w:sz="0" w:space="0" w:color="auto"/>
        <w:bottom w:val="none" w:sz="0" w:space="0" w:color="auto"/>
        <w:right w:val="none" w:sz="0" w:space="0" w:color="auto"/>
      </w:divBdr>
    </w:div>
    <w:div w:id="994338083">
      <w:bodyDiv w:val="1"/>
      <w:marLeft w:val="0"/>
      <w:marRight w:val="0"/>
      <w:marTop w:val="0"/>
      <w:marBottom w:val="0"/>
      <w:divBdr>
        <w:top w:val="none" w:sz="0" w:space="0" w:color="auto"/>
        <w:left w:val="none" w:sz="0" w:space="0" w:color="auto"/>
        <w:bottom w:val="none" w:sz="0" w:space="0" w:color="auto"/>
        <w:right w:val="none" w:sz="0" w:space="0" w:color="auto"/>
      </w:divBdr>
    </w:div>
    <w:div w:id="1027559718">
      <w:bodyDiv w:val="1"/>
      <w:marLeft w:val="0"/>
      <w:marRight w:val="0"/>
      <w:marTop w:val="0"/>
      <w:marBottom w:val="0"/>
      <w:divBdr>
        <w:top w:val="none" w:sz="0" w:space="0" w:color="auto"/>
        <w:left w:val="none" w:sz="0" w:space="0" w:color="auto"/>
        <w:bottom w:val="none" w:sz="0" w:space="0" w:color="auto"/>
        <w:right w:val="none" w:sz="0" w:space="0" w:color="auto"/>
      </w:divBdr>
    </w:div>
    <w:div w:id="1036083802">
      <w:bodyDiv w:val="1"/>
      <w:marLeft w:val="0"/>
      <w:marRight w:val="0"/>
      <w:marTop w:val="0"/>
      <w:marBottom w:val="0"/>
      <w:divBdr>
        <w:top w:val="none" w:sz="0" w:space="0" w:color="auto"/>
        <w:left w:val="none" w:sz="0" w:space="0" w:color="auto"/>
        <w:bottom w:val="none" w:sz="0" w:space="0" w:color="auto"/>
        <w:right w:val="none" w:sz="0" w:space="0" w:color="auto"/>
      </w:divBdr>
      <w:divsChild>
        <w:div w:id="215509434">
          <w:marLeft w:val="0"/>
          <w:marRight w:val="0"/>
          <w:marTop w:val="0"/>
          <w:marBottom w:val="0"/>
          <w:divBdr>
            <w:top w:val="none" w:sz="0" w:space="0" w:color="auto"/>
            <w:left w:val="none" w:sz="0" w:space="0" w:color="auto"/>
            <w:bottom w:val="none" w:sz="0" w:space="0" w:color="auto"/>
            <w:right w:val="none" w:sz="0" w:space="0" w:color="auto"/>
          </w:divBdr>
        </w:div>
      </w:divsChild>
    </w:div>
    <w:div w:id="1076241059">
      <w:bodyDiv w:val="1"/>
      <w:marLeft w:val="0"/>
      <w:marRight w:val="0"/>
      <w:marTop w:val="0"/>
      <w:marBottom w:val="0"/>
      <w:divBdr>
        <w:top w:val="none" w:sz="0" w:space="0" w:color="auto"/>
        <w:left w:val="none" w:sz="0" w:space="0" w:color="auto"/>
        <w:bottom w:val="none" w:sz="0" w:space="0" w:color="auto"/>
        <w:right w:val="none" w:sz="0" w:space="0" w:color="auto"/>
      </w:divBdr>
      <w:divsChild>
        <w:div w:id="2118713656">
          <w:marLeft w:val="0"/>
          <w:marRight w:val="0"/>
          <w:marTop w:val="0"/>
          <w:marBottom w:val="0"/>
          <w:divBdr>
            <w:top w:val="none" w:sz="0" w:space="0" w:color="auto"/>
            <w:left w:val="none" w:sz="0" w:space="0" w:color="auto"/>
            <w:bottom w:val="none" w:sz="0" w:space="0" w:color="auto"/>
            <w:right w:val="none" w:sz="0" w:space="0" w:color="auto"/>
          </w:divBdr>
          <w:divsChild>
            <w:div w:id="1144932023">
              <w:marLeft w:val="0"/>
              <w:marRight w:val="0"/>
              <w:marTop w:val="0"/>
              <w:marBottom w:val="0"/>
              <w:divBdr>
                <w:top w:val="none" w:sz="0" w:space="0" w:color="auto"/>
                <w:left w:val="none" w:sz="0" w:space="0" w:color="auto"/>
                <w:bottom w:val="none" w:sz="0" w:space="0" w:color="auto"/>
                <w:right w:val="none" w:sz="0" w:space="0" w:color="auto"/>
              </w:divBdr>
              <w:divsChild>
                <w:div w:id="1134059323">
                  <w:marLeft w:val="0"/>
                  <w:marRight w:val="0"/>
                  <w:marTop w:val="0"/>
                  <w:marBottom w:val="0"/>
                  <w:divBdr>
                    <w:top w:val="none" w:sz="0" w:space="0" w:color="auto"/>
                    <w:left w:val="none" w:sz="0" w:space="0" w:color="auto"/>
                    <w:bottom w:val="none" w:sz="0" w:space="0" w:color="auto"/>
                    <w:right w:val="none" w:sz="0" w:space="0" w:color="auto"/>
                  </w:divBdr>
                  <w:divsChild>
                    <w:div w:id="1040784007">
                      <w:marLeft w:val="0"/>
                      <w:marRight w:val="0"/>
                      <w:marTop w:val="0"/>
                      <w:marBottom w:val="0"/>
                      <w:divBdr>
                        <w:top w:val="none" w:sz="0" w:space="0" w:color="auto"/>
                        <w:left w:val="none" w:sz="0" w:space="0" w:color="auto"/>
                        <w:bottom w:val="none" w:sz="0" w:space="0" w:color="auto"/>
                        <w:right w:val="none" w:sz="0" w:space="0" w:color="auto"/>
                      </w:divBdr>
                    </w:div>
                    <w:div w:id="682249019">
                      <w:marLeft w:val="0"/>
                      <w:marRight w:val="0"/>
                      <w:marTop w:val="0"/>
                      <w:marBottom w:val="0"/>
                      <w:divBdr>
                        <w:top w:val="none" w:sz="0" w:space="0" w:color="auto"/>
                        <w:left w:val="none" w:sz="0" w:space="0" w:color="auto"/>
                        <w:bottom w:val="none" w:sz="0" w:space="0" w:color="auto"/>
                        <w:right w:val="none" w:sz="0" w:space="0" w:color="auto"/>
                      </w:divBdr>
                      <w:divsChild>
                        <w:div w:id="89181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921029">
      <w:bodyDiv w:val="1"/>
      <w:marLeft w:val="0"/>
      <w:marRight w:val="0"/>
      <w:marTop w:val="0"/>
      <w:marBottom w:val="0"/>
      <w:divBdr>
        <w:top w:val="none" w:sz="0" w:space="0" w:color="auto"/>
        <w:left w:val="none" w:sz="0" w:space="0" w:color="auto"/>
        <w:bottom w:val="none" w:sz="0" w:space="0" w:color="auto"/>
        <w:right w:val="none" w:sz="0" w:space="0" w:color="auto"/>
      </w:divBdr>
    </w:div>
    <w:div w:id="1131903126">
      <w:bodyDiv w:val="1"/>
      <w:marLeft w:val="0"/>
      <w:marRight w:val="0"/>
      <w:marTop w:val="0"/>
      <w:marBottom w:val="0"/>
      <w:divBdr>
        <w:top w:val="none" w:sz="0" w:space="0" w:color="auto"/>
        <w:left w:val="none" w:sz="0" w:space="0" w:color="auto"/>
        <w:bottom w:val="none" w:sz="0" w:space="0" w:color="auto"/>
        <w:right w:val="none" w:sz="0" w:space="0" w:color="auto"/>
      </w:divBdr>
    </w:div>
    <w:div w:id="1202942362">
      <w:bodyDiv w:val="1"/>
      <w:marLeft w:val="0"/>
      <w:marRight w:val="0"/>
      <w:marTop w:val="0"/>
      <w:marBottom w:val="0"/>
      <w:divBdr>
        <w:top w:val="none" w:sz="0" w:space="0" w:color="auto"/>
        <w:left w:val="none" w:sz="0" w:space="0" w:color="auto"/>
        <w:bottom w:val="none" w:sz="0" w:space="0" w:color="auto"/>
        <w:right w:val="none" w:sz="0" w:space="0" w:color="auto"/>
      </w:divBdr>
    </w:div>
    <w:div w:id="1382360015">
      <w:bodyDiv w:val="1"/>
      <w:marLeft w:val="0"/>
      <w:marRight w:val="0"/>
      <w:marTop w:val="0"/>
      <w:marBottom w:val="0"/>
      <w:divBdr>
        <w:top w:val="none" w:sz="0" w:space="0" w:color="auto"/>
        <w:left w:val="none" w:sz="0" w:space="0" w:color="auto"/>
        <w:bottom w:val="none" w:sz="0" w:space="0" w:color="auto"/>
        <w:right w:val="none" w:sz="0" w:space="0" w:color="auto"/>
      </w:divBdr>
    </w:div>
    <w:div w:id="1423792696">
      <w:bodyDiv w:val="1"/>
      <w:marLeft w:val="0"/>
      <w:marRight w:val="0"/>
      <w:marTop w:val="0"/>
      <w:marBottom w:val="0"/>
      <w:divBdr>
        <w:top w:val="none" w:sz="0" w:space="0" w:color="auto"/>
        <w:left w:val="none" w:sz="0" w:space="0" w:color="auto"/>
        <w:bottom w:val="none" w:sz="0" w:space="0" w:color="auto"/>
        <w:right w:val="none" w:sz="0" w:space="0" w:color="auto"/>
      </w:divBdr>
    </w:div>
    <w:div w:id="1442804319">
      <w:bodyDiv w:val="1"/>
      <w:marLeft w:val="0"/>
      <w:marRight w:val="0"/>
      <w:marTop w:val="0"/>
      <w:marBottom w:val="0"/>
      <w:divBdr>
        <w:top w:val="none" w:sz="0" w:space="0" w:color="auto"/>
        <w:left w:val="none" w:sz="0" w:space="0" w:color="auto"/>
        <w:bottom w:val="none" w:sz="0" w:space="0" w:color="auto"/>
        <w:right w:val="none" w:sz="0" w:space="0" w:color="auto"/>
      </w:divBdr>
    </w:div>
    <w:div w:id="1454210846">
      <w:bodyDiv w:val="1"/>
      <w:marLeft w:val="0"/>
      <w:marRight w:val="0"/>
      <w:marTop w:val="0"/>
      <w:marBottom w:val="0"/>
      <w:divBdr>
        <w:top w:val="none" w:sz="0" w:space="0" w:color="auto"/>
        <w:left w:val="none" w:sz="0" w:space="0" w:color="auto"/>
        <w:bottom w:val="none" w:sz="0" w:space="0" w:color="auto"/>
        <w:right w:val="none" w:sz="0" w:space="0" w:color="auto"/>
      </w:divBdr>
    </w:div>
    <w:div w:id="1473211807">
      <w:bodyDiv w:val="1"/>
      <w:marLeft w:val="0"/>
      <w:marRight w:val="0"/>
      <w:marTop w:val="0"/>
      <w:marBottom w:val="0"/>
      <w:divBdr>
        <w:top w:val="none" w:sz="0" w:space="0" w:color="auto"/>
        <w:left w:val="none" w:sz="0" w:space="0" w:color="auto"/>
        <w:bottom w:val="none" w:sz="0" w:space="0" w:color="auto"/>
        <w:right w:val="none" w:sz="0" w:space="0" w:color="auto"/>
      </w:divBdr>
    </w:div>
    <w:div w:id="1628051661">
      <w:bodyDiv w:val="1"/>
      <w:marLeft w:val="0"/>
      <w:marRight w:val="0"/>
      <w:marTop w:val="0"/>
      <w:marBottom w:val="0"/>
      <w:divBdr>
        <w:top w:val="none" w:sz="0" w:space="0" w:color="auto"/>
        <w:left w:val="none" w:sz="0" w:space="0" w:color="auto"/>
        <w:bottom w:val="none" w:sz="0" w:space="0" w:color="auto"/>
        <w:right w:val="none" w:sz="0" w:space="0" w:color="auto"/>
      </w:divBdr>
    </w:div>
    <w:div w:id="1635720500">
      <w:bodyDiv w:val="1"/>
      <w:marLeft w:val="0"/>
      <w:marRight w:val="0"/>
      <w:marTop w:val="0"/>
      <w:marBottom w:val="0"/>
      <w:divBdr>
        <w:top w:val="none" w:sz="0" w:space="0" w:color="auto"/>
        <w:left w:val="none" w:sz="0" w:space="0" w:color="auto"/>
        <w:bottom w:val="none" w:sz="0" w:space="0" w:color="auto"/>
        <w:right w:val="none" w:sz="0" w:space="0" w:color="auto"/>
      </w:divBdr>
    </w:div>
    <w:div w:id="1646160048">
      <w:bodyDiv w:val="1"/>
      <w:marLeft w:val="0"/>
      <w:marRight w:val="0"/>
      <w:marTop w:val="0"/>
      <w:marBottom w:val="0"/>
      <w:divBdr>
        <w:top w:val="none" w:sz="0" w:space="0" w:color="auto"/>
        <w:left w:val="none" w:sz="0" w:space="0" w:color="auto"/>
        <w:bottom w:val="none" w:sz="0" w:space="0" w:color="auto"/>
        <w:right w:val="none" w:sz="0" w:space="0" w:color="auto"/>
      </w:divBdr>
    </w:div>
    <w:div w:id="1724712748">
      <w:bodyDiv w:val="1"/>
      <w:marLeft w:val="0"/>
      <w:marRight w:val="0"/>
      <w:marTop w:val="0"/>
      <w:marBottom w:val="0"/>
      <w:divBdr>
        <w:top w:val="none" w:sz="0" w:space="0" w:color="auto"/>
        <w:left w:val="none" w:sz="0" w:space="0" w:color="auto"/>
        <w:bottom w:val="none" w:sz="0" w:space="0" w:color="auto"/>
        <w:right w:val="none" w:sz="0" w:space="0" w:color="auto"/>
      </w:divBdr>
    </w:div>
    <w:div w:id="1744911331">
      <w:bodyDiv w:val="1"/>
      <w:marLeft w:val="0"/>
      <w:marRight w:val="0"/>
      <w:marTop w:val="0"/>
      <w:marBottom w:val="0"/>
      <w:divBdr>
        <w:top w:val="none" w:sz="0" w:space="0" w:color="auto"/>
        <w:left w:val="none" w:sz="0" w:space="0" w:color="auto"/>
        <w:bottom w:val="none" w:sz="0" w:space="0" w:color="auto"/>
        <w:right w:val="none" w:sz="0" w:space="0" w:color="auto"/>
      </w:divBdr>
    </w:div>
    <w:div w:id="1750737339">
      <w:bodyDiv w:val="1"/>
      <w:marLeft w:val="0"/>
      <w:marRight w:val="0"/>
      <w:marTop w:val="0"/>
      <w:marBottom w:val="0"/>
      <w:divBdr>
        <w:top w:val="none" w:sz="0" w:space="0" w:color="auto"/>
        <w:left w:val="none" w:sz="0" w:space="0" w:color="auto"/>
        <w:bottom w:val="none" w:sz="0" w:space="0" w:color="auto"/>
        <w:right w:val="none" w:sz="0" w:space="0" w:color="auto"/>
      </w:divBdr>
    </w:div>
    <w:div w:id="1788352160">
      <w:bodyDiv w:val="1"/>
      <w:marLeft w:val="0"/>
      <w:marRight w:val="0"/>
      <w:marTop w:val="0"/>
      <w:marBottom w:val="0"/>
      <w:divBdr>
        <w:top w:val="none" w:sz="0" w:space="0" w:color="auto"/>
        <w:left w:val="none" w:sz="0" w:space="0" w:color="auto"/>
        <w:bottom w:val="none" w:sz="0" w:space="0" w:color="auto"/>
        <w:right w:val="none" w:sz="0" w:space="0" w:color="auto"/>
      </w:divBdr>
      <w:divsChild>
        <w:div w:id="2091391160">
          <w:marLeft w:val="0"/>
          <w:marRight w:val="0"/>
          <w:marTop w:val="0"/>
          <w:marBottom w:val="0"/>
          <w:divBdr>
            <w:top w:val="none" w:sz="0" w:space="0" w:color="auto"/>
            <w:left w:val="none" w:sz="0" w:space="0" w:color="auto"/>
            <w:bottom w:val="none" w:sz="0" w:space="0" w:color="auto"/>
            <w:right w:val="none" w:sz="0" w:space="0" w:color="auto"/>
          </w:divBdr>
        </w:div>
      </w:divsChild>
    </w:div>
    <w:div w:id="1803230633">
      <w:bodyDiv w:val="1"/>
      <w:marLeft w:val="0"/>
      <w:marRight w:val="0"/>
      <w:marTop w:val="0"/>
      <w:marBottom w:val="0"/>
      <w:divBdr>
        <w:top w:val="none" w:sz="0" w:space="0" w:color="auto"/>
        <w:left w:val="none" w:sz="0" w:space="0" w:color="auto"/>
        <w:bottom w:val="none" w:sz="0" w:space="0" w:color="auto"/>
        <w:right w:val="none" w:sz="0" w:space="0" w:color="auto"/>
      </w:divBdr>
    </w:div>
    <w:div w:id="1871260684">
      <w:bodyDiv w:val="1"/>
      <w:marLeft w:val="0"/>
      <w:marRight w:val="0"/>
      <w:marTop w:val="0"/>
      <w:marBottom w:val="0"/>
      <w:divBdr>
        <w:top w:val="none" w:sz="0" w:space="0" w:color="auto"/>
        <w:left w:val="none" w:sz="0" w:space="0" w:color="auto"/>
        <w:bottom w:val="none" w:sz="0" w:space="0" w:color="auto"/>
        <w:right w:val="none" w:sz="0" w:space="0" w:color="auto"/>
      </w:divBdr>
    </w:div>
    <w:div w:id="2006010276">
      <w:bodyDiv w:val="1"/>
      <w:marLeft w:val="0"/>
      <w:marRight w:val="0"/>
      <w:marTop w:val="0"/>
      <w:marBottom w:val="0"/>
      <w:divBdr>
        <w:top w:val="none" w:sz="0" w:space="0" w:color="auto"/>
        <w:left w:val="none" w:sz="0" w:space="0" w:color="auto"/>
        <w:bottom w:val="none" w:sz="0" w:space="0" w:color="auto"/>
        <w:right w:val="none" w:sz="0" w:space="0" w:color="auto"/>
      </w:divBdr>
    </w:div>
    <w:div w:id="2093549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eighborhoodatlas.medicine.wisc.ed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C579769-B320-4A19-8657-DC6D9770E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3012</Words>
  <Characters>17172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Pak</dc:creator>
  <cp:keywords/>
  <dc:description/>
  <cp:lastModifiedBy>Sam Pak</cp:lastModifiedBy>
  <cp:revision>3</cp:revision>
  <dcterms:created xsi:type="dcterms:W3CDTF">2023-10-04T22:54:00Z</dcterms:created>
  <dcterms:modified xsi:type="dcterms:W3CDTF">2023-10-06T18:08:00Z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03792a1a-1e36-3dfb-b865-451f13c2face</vt:lpwstr>
  </property>
  <property fmtid="{D5CDD505-2E9C-101B-9397-08002B2CF9AE}" pid="24" name="Mendeley Citation Style_1">
    <vt:lpwstr>http://www.zotero.org/styles/nature</vt:lpwstr>
  </property>
</Properties>
</file>