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590703" w14:textId="77777777" w:rsidR="0050353B" w:rsidRDefault="0050353B" w:rsidP="0050353B">
      <w:pPr>
        <w:jc w:val="center"/>
        <w:rPr>
          <w:b/>
          <w:bCs/>
          <w:color w:val="000000" w:themeColor="text1"/>
          <w:lang w:val="en-US"/>
        </w:rPr>
      </w:pPr>
      <w:r>
        <w:rPr>
          <w:b/>
          <w:bCs/>
          <w:color w:val="000000" w:themeColor="text1"/>
          <w:lang w:val="en-US"/>
        </w:rPr>
        <w:t>Supplementary Information</w:t>
      </w:r>
    </w:p>
    <w:p w14:paraId="0D6ED41C" w14:textId="77777777" w:rsidR="0050353B" w:rsidRDefault="0050353B" w:rsidP="0050353B">
      <w:pPr>
        <w:jc w:val="center"/>
        <w:rPr>
          <w:b/>
          <w:bCs/>
          <w:color w:val="000000" w:themeColor="text1"/>
          <w:lang w:val="en-US"/>
        </w:rPr>
      </w:pPr>
    </w:p>
    <w:p w14:paraId="6FCBFDBA" w14:textId="77777777" w:rsidR="0050353B" w:rsidRDefault="0050353B" w:rsidP="0050353B">
      <w:pPr>
        <w:jc w:val="center"/>
        <w:rPr>
          <w:color w:val="000000" w:themeColor="text1"/>
          <w:lang w:val="en-US"/>
        </w:rPr>
      </w:pPr>
      <w:r>
        <w:rPr>
          <w:color w:val="000000" w:themeColor="text1"/>
          <w:lang w:val="en-US"/>
        </w:rPr>
        <w:t>t</w:t>
      </w:r>
      <w:r w:rsidRPr="004A7863">
        <w:rPr>
          <w:color w:val="000000" w:themeColor="text1"/>
          <w:lang w:val="en-US"/>
        </w:rPr>
        <w:t>o</w:t>
      </w:r>
    </w:p>
    <w:p w14:paraId="7FD1B450" w14:textId="77777777" w:rsidR="0050353B" w:rsidRDefault="0050353B" w:rsidP="0050353B">
      <w:pPr>
        <w:jc w:val="center"/>
        <w:rPr>
          <w:color w:val="000000" w:themeColor="text1"/>
          <w:lang w:val="en-US"/>
        </w:rPr>
      </w:pPr>
    </w:p>
    <w:p w14:paraId="2AFF690F" w14:textId="77777777" w:rsidR="0050353B" w:rsidRPr="009D6D8F" w:rsidRDefault="0050353B" w:rsidP="0050353B">
      <w:pPr>
        <w:rPr>
          <w:b/>
          <w:bCs/>
          <w:color w:val="000000" w:themeColor="text1"/>
          <w:lang w:val="en-US"/>
        </w:rPr>
      </w:pPr>
      <w:r w:rsidRPr="009D6D8F">
        <w:rPr>
          <w:b/>
          <w:bCs/>
          <w:color w:val="000000" w:themeColor="text1"/>
          <w:lang w:val="en-US"/>
        </w:rPr>
        <w:t xml:space="preserve">Involving citizens in monitoring the Kunming Montreal Global Biodiversity Framework </w:t>
      </w:r>
    </w:p>
    <w:p w14:paraId="236E3201" w14:textId="77777777" w:rsidR="0050353B" w:rsidRDefault="0050353B" w:rsidP="0050353B">
      <w:pPr>
        <w:jc w:val="center"/>
        <w:rPr>
          <w:color w:val="000000" w:themeColor="text1"/>
          <w:lang w:val="en-US"/>
        </w:rPr>
      </w:pPr>
    </w:p>
    <w:p w14:paraId="558103C3" w14:textId="77777777" w:rsidR="0050353B" w:rsidRDefault="0050353B" w:rsidP="0050353B">
      <w:pPr>
        <w:rPr>
          <w:lang w:val="en-US"/>
        </w:rPr>
      </w:pPr>
      <w:r w:rsidRPr="0014719A">
        <w:rPr>
          <w:color w:val="000000" w:themeColor="text1"/>
          <w:lang w:val="en-US"/>
        </w:rPr>
        <w:t xml:space="preserve">Finn Danielsen, Natasha Ali, Herizo </w:t>
      </w:r>
      <w:r w:rsidRPr="00904799">
        <w:rPr>
          <w:color w:val="000000" w:themeColor="text1"/>
          <w:lang w:val="en-US"/>
        </w:rPr>
        <w:t xml:space="preserve">T. </w:t>
      </w:r>
      <w:r w:rsidRPr="0014719A">
        <w:rPr>
          <w:color w:val="000000" w:themeColor="text1"/>
          <w:lang w:val="en-US"/>
        </w:rPr>
        <w:t>Andrianandrasana, Andrea Baquero, Umai Basilius, Pedro Constantino, Per Ole Frederiksen, Max Isaac, PâviâraK Jakobsen, Helen Klimmek, Abisha Mapendembe, Han Meng, Katherine Moul, Maria Julia Oliva, Dietrich Schmidt-Vogt, Seak Sophat, Rodion Sulyandziga</w:t>
      </w:r>
      <w:r>
        <w:rPr>
          <w:color w:val="000000" w:themeColor="text1"/>
          <w:lang w:val="en-US"/>
        </w:rPr>
        <w:t xml:space="preserve">, </w:t>
      </w:r>
      <w:r w:rsidRPr="0014719A">
        <w:rPr>
          <w:color w:val="000000" w:themeColor="text1"/>
          <w:lang w:val="en-US"/>
        </w:rPr>
        <w:t>Neil D. Burgess</w:t>
      </w:r>
      <w:r>
        <w:rPr>
          <w:color w:val="000000" w:themeColor="text1"/>
          <w:lang w:val="en-US"/>
        </w:rPr>
        <w:t xml:space="preserve">. </w:t>
      </w:r>
      <w:r>
        <w:rPr>
          <w:lang w:val="en-US"/>
        </w:rPr>
        <w:t xml:space="preserve">Corresponding author: F.D.; E-mail: </w:t>
      </w:r>
      <w:hyperlink r:id="rId5" w:history="1">
        <w:r w:rsidRPr="00101288">
          <w:rPr>
            <w:rStyle w:val="Hyperlink"/>
            <w:color w:val="000000" w:themeColor="text1"/>
            <w:lang w:val="en-US"/>
          </w:rPr>
          <w:t>fd@nordeco.dk</w:t>
        </w:r>
      </w:hyperlink>
    </w:p>
    <w:p w14:paraId="517A40E8" w14:textId="77777777" w:rsidR="0050353B" w:rsidRDefault="0050353B" w:rsidP="005035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themeColor="text1"/>
          <w:lang w:val="en-US"/>
        </w:rPr>
      </w:pPr>
    </w:p>
    <w:p w14:paraId="5A18E1CA" w14:textId="77777777" w:rsidR="0050353B" w:rsidRDefault="0050353B" w:rsidP="005035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themeColor="text1"/>
          <w:lang w:val="en-US"/>
        </w:rPr>
      </w:pPr>
    </w:p>
    <w:p w14:paraId="079AF69A" w14:textId="77777777" w:rsidR="0050353B" w:rsidRDefault="0050353B" w:rsidP="005035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themeColor="text1"/>
          <w:lang w:val="en-US"/>
        </w:rPr>
      </w:pPr>
    </w:p>
    <w:p w14:paraId="5EF31ADB" w14:textId="77777777" w:rsidR="0050353B" w:rsidRDefault="0050353B" w:rsidP="005035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themeColor="text1"/>
          <w:lang w:val="en-US"/>
        </w:rPr>
      </w:pPr>
    </w:p>
    <w:p w14:paraId="2F5A2424" w14:textId="77777777" w:rsidR="0050353B" w:rsidRDefault="0050353B" w:rsidP="005035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lang w:val="en-US"/>
        </w:rPr>
      </w:pPr>
      <w:r w:rsidRPr="009D6D8F">
        <w:rPr>
          <w:b/>
          <w:bCs/>
          <w:color w:val="000000" w:themeColor="text1"/>
          <w:lang w:val="en-US"/>
        </w:rPr>
        <w:t>Supp</w:t>
      </w:r>
      <w:r>
        <w:rPr>
          <w:b/>
          <w:bCs/>
          <w:color w:val="000000" w:themeColor="text1"/>
          <w:lang w:val="en-US"/>
        </w:rPr>
        <w:t>lementary</w:t>
      </w:r>
      <w:r w:rsidRPr="009D6D8F">
        <w:rPr>
          <w:b/>
          <w:bCs/>
          <w:color w:val="000000" w:themeColor="text1"/>
          <w:lang w:val="en-US"/>
        </w:rPr>
        <w:t xml:space="preserve"> Fig</w:t>
      </w:r>
      <w:r>
        <w:rPr>
          <w:b/>
          <w:bCs/>
          <w:color w:val="000000" w:themeColor="text1"/>
          <w:lang w:val="en-US"/>
        </w:rPr>
        <w:t>.</w:t>
      </w:r>
      <w:r w:rsidRPr="009D6D8F">
        <w:rPr>
          <w:b/>
          <w:bCs/>
          <w:color w:val="000000" w:themeColor="text1"/>
          <w:lang w:val="en-US"/>
        </w:rPr>
        <w:t xml:space="preserve"> 1. </w:t>
      </w:r>
      <w:r w:rsidRPr="009D6D8F">
        <w:rPr>
          <w:color w:val="000000" w:themeColor="text1"/>
          <w:lang w:val="en-US"/>
        </w:rPr>
        <w:t xml:space="preserve">Proportion of </w:t>
      </w:r>
      <w:r>
        <w:rPr>
          <w:color w:val="000000" w:themeColor="text1"/>
          <w:lang w:val="en-US"/>
        </w:rPr>
        <w:t xml:space="preserve">indicators of </w:t>
      </w:r>
      <w:r w:rsidRPr="009D6D8F">
        <w:rPr>
          <w:color w:val="000000" w:themeColor="text1"/>
          <w:lang w:val="en-US"/>
        </w:rPr>
        <w:t>Goal A-C</w:t>
      </w:r>
      <w:r>
        <w:rPr>
          <w:color w:val="000000" w:themeColor="text1"/>
          <w:lang w:val="en-US"/>
        </w:rPr>
        <w:t xml:space="preserve"> and of the </w:t>
      </w:r>
      <w:r w:rsidRPr="009D6D8F">
        <w:rPr>
          <w:rStyle w:val="apple-converted-space"/>
          <w:color w:val="1C1D1E"/>
          <w:shd w:val="clear" w:color="auto" w:fill="FFFFFF"/>
          <w:lang w:val="en-US"/>
        </w:rPr>
        <w:t xml:space="preserve">three </w:t>
      </w:r>
      <w:r w:rsidRPr="009D6D8F">
        <w:rPr>
          <w:color w:val="1C1D1E"/>
          <w:shd w:val="clear" w:color="auto" w:fill="FFFFFF"/>
          <w:lang w:val="en-US"/>
        </w:rPr>
        <w:t>groupings of targets</w:t>
      </w:r>
      <w:r>
        <w:rPr>
          <w:color w:val="1C1D1E"/>
          <w:shd w:val="clear" w:color="auto" w:fill="FFFFFF"/>
          <w:lang w:val="en-US"/>
        </w:rPr>
        <w:t xml:space="preserve"> 1)</w:t>
      </w:r>
      <w:r w:rsidRPr="009D6D8F">
        <w:rPr>
          <w:color w:val="1C1D1E"/>
          <w:shd w:val="clear" w:color="auto" w:fill="FFFFFF"/>
          <w:lang w:val="en-US"/>
        </w:rPr>
        <w:t xml:space="preserve"> </w:t>
      </w:r>
      <w:r w:rsidRPr="009D6D8F">
        <w:rPr>
          <w:color w:val="000000" w:themeColor="text1"/>
          <w:lang w:val="en-US"/>
        </w:rPr>
        <w:t>“</w:t>
      </w:r>
      <w:r>
        <w:rPr>
          <w:color w:val="000000"/>
          <w:lang w:val="en-US"/>
        </w:rPr>
        <w:t>R</w:t>
      </w:r>
      <w:r w:rsidRPr="009D6D8F">
        <w:rPr>
          <w:color w:val="000000"/>
          <w:lang w:val="en-US"/>
        </w:rPr>
        <w:t>educing threats to biodiversity” (targets 1-8), 2) “</w:t>
      </w:r>
      <w:r>
        <w:rPr>
          <w:color w:val="000000"/>
          <w:lang w:val="en-US"/>
        </w:rPr>
        <w:t>M</w:t>
      </w:r>
      <w:r w:rsidRPr="009D6D8F">
        <w:rPr>
          <w:color w:val="000000"/>
          <w:lang w:val="en-US"/>
        </w:rPr>
        <w:t>eeting people’s needs through sustainable use and benefit-sharing” (targets 9-13); and 3) “</w:t>
      </w:r>
      <w:r>
        <w:rPr>
          <w:color w:val="000000"/>
          <w:lang w:val="en-US"/>
        </w:rPr>
        <w:t>T</w:t>
      </w:r>
      <w:r w:rsidRPr="009D6D8F">
        <w:rPr>
          <w:color w:val="000000"/>
          <w:lang w:val="en-US"/>
        </w:rPr>
        <w:t>ools and solutions for implementation and mainstreaming”</w:t>
      </w:r>
      <w:r w:rsidRPr="009D6D8F">
        <w:rPr>
          <w:rStyle w:val="apple-converted-space"/>
          <w:color w:val="000000"/>
          <w:lang w:val="en-US"/>
        </w:rPr>
        <w:t> </w:t>
      </w:r>
      <w:r w:rsidRPr="009D6D8F">
        <w:rPr>
          <w:color w:val="000000"/>
          <w:spacing w:val="6"/>
          <w:shd w:val="clear" w:color="auto" w:fill="FFFFFF"/>
          <w:lang w:val="en-US"/>
        </w:rPr>
        <w:t>(targets 14-23)</w:t>
      </w:r>
      <w:r w:rsidRPr="009D6D8F">
        <w:rPr>
          <w:color w:val="000000" w:themeColor="text1"/>
          <w:lang w:val="en-US"/>
        </w:rPr>
        <w:t xml:space="preserve"> f</w:t>
      </w:r>
      <w:r>
        <w:rPr>
          <w:color w:val="000000" w:themeColor="text1"/>
          <w:lang w:val="en-US"/>
        </w:rPr>
        <w:t>or tracking</w:t>
      </w:r>
      <w:r w:rsidRPr="009D6D8F">
        <w:rPr>
          <w:color w:val="000000" w:themeColor="text1"/>
          <w:lang w:val="en-US"/>
        </w:rPr>
        <w:t xml:space="preserve"> the Kunming Montreal Global Biodiversity Framework that can be assessed using autonomous local monitoring programs, community-based monitoring programs, contributory citizen science programs, and scientist-executed monitoring programs.</w:t>
      </w:r>
    </w:p>
    <w:p w14:paraId="30295817" w14:textId="77777777" w:rsidR="0050353B" w:rsidRPr="009D6D8F" w:rsidRDefault="0050353B" w:rsidP="005035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lang w:val="en-US"/>
        </w:rPr>
      </w:pPr>
    </w:p>
    <w:p w14:paraId="3D252A1F" w14:textId="77777777" w:rsidR="0050353B" w:rsidRDefault="0050353B" w:rsidP="0050353B">
      <w:pPr>
        <w:rPr>
          <w:b/>
          <w:bCs/>
          <w:color w:val="000000" w:themeColor="text1"/>
          <w:lang w:val="en-US"/>
        </w:rPr>
      </w:pPr>
      <w:r>
        <w:rPr>
          <w:b/>
          <w:bCs/>
          <w:noProof/>
          <w:color w:val="000000" w:themeColor="text1"/>
          <w:lang w:val="en-US"/>
        </w:rPr>
        <w:drawing>
          <wp:inline distT="0" distB="0" distL="0" distR="0" wp14:anchorId="41BC617B" wp14:editId="72F49255">
            <wp:extent cx="5882185" cy="4072426"/>
            <wp:effectExtent l="0" t="0" r="0" b="4445"/>
            <wp:docPr id="172721551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215512" name="Billede 1727215512"/>
                    <pic:cNvPicPr/>
                  </pic:nvPicPr>
                  <pic:blipFill rotWithShape="1">
                    <a:blip r:embed="rId6">
                      <a:extLst>
                        <a:ext uri="{28A0092B-C50C-407E-A947-70E740481C1C}">
                          <a14:useLocalDpi xmlns:a14="http://schemas.microsoft.com/office/drawing/2010/main" val="0"/>
                        </a:ext>
                      </a:extLst>
                    </a:blip>
                    <a:srcRect l="22524" t="24297" r="16599" b="16061"/>
                    <a:stretch/>
                  </pic:blipFill>
                  <pic:spPr bwMode="auto">
                    <a:xfrm>
                      <a:off x="0" y="0"/>
                      <a:ext cx="5904288" cy="4087729"/>
                    </a:xfrm>
                    <a:prstGeom prst="rect">
                      <a:avLst/>
                    </a:prstGeom>
                    <a:ln>
                      <a:noFill/>
                    </a:ln>
                    <a:extLst>
                      <a:ext uri="{53640926-AAD7-44D8-BBD7-CCE9431645EC}">
                        <a14:shadowObscured xmlns:a14="http://schemas.microsoft.com/office/drawing/2010/main"/>
                      </a:ext>
                    </a:extLst>
                  </pic:spPr>
                </pic:pic>
              </a:graphicData>
            </a:graphic>
          </wp:inline>
        </w:drawing>
      </w:r>
    </w:p>
    <w:p w14:paraId="55CDB0D7" w14:textId="77777777" w:rsidR="0050353B" w:rsidRDefault="0050353B" w:rsidP="0050353B">
      <w:pPr>
        <w:rPr>
          <w:b/>
          <w:bCs/>
          <w:color w:val="000000" w:themeColor="text1"/>
          <w:lang w:val="en-US"/>
        </w:rPr>
      </w:pPr>
    </w:p>
    <w:p w14:paraId="4F06102E" w14:textId="77777777" w:rsidR="0050353B" w:rsidRDefault="0050353B" w:rsidP="0050353B">
      <w:pPr>
        <w:rPr>
          <w:b/>
          <w:bCs/>
          <w:color w:val="000000" w:themeColor="text1"/>
          <w:lang w:val="en-US"/>
        </w:rPr>
      </w:pPr>
    </w:p>
    <w:p w14:paraId="36A79A04" w14:textId="77777777" w:rsidR="0050353B" w:rsidRDefault="0050353B" w:rsidP="0050353B">
      <w:pPr>
        <w:rPr>
          <w:b/>
          <w:bCs/>
          <w:color w:val="000000" w:themeColor="text1"/>
          <w:lang w:val="en-US"/>
        </w:rPr>
      </w:pPr>
    </w:p>
    <w:p w14:paraId="56CC551B" w14:textId="77777777" w:rsidR="0050353B" w:rsidRDefault="0050353B" w:rsidP="0050353B">
      <w:pPr>
        <w:rPr>
          <w:b/>
          <w:bCs/>
          <w:color w:val="000000" w:themeColor="text1"/>
          <w:lang w:val="en-US"/>
        </w:rPr>
      </w:pPr>
    </w:p>
    <w:p w14:paraId="77E9DBD9" w14:textId="77777777" w:rsidR="0050353B" w:rsidRDefault="0050353B" w:rsidP="0050353B">
      <w:pPr>
        <w:rPr>
          <w:b/>
          <w:bCs/>
          <w:color w:val="000000" w:themeColor="text1"/>
          <w:lang w:val="en-US"/>
        </w:rPr>
      </w:pPr>
    </w:p>
    <w:p w14:paraId="61A41B60" w14:textId="77777777" w:rsidR="0050353B" w:rsidRDefault="0050353B" w:rsidP="0050353B">
      <w:pPr>
        <w:rPr>
          <w:color w:val="000000" w:themeColor="text1"/>
          <w:lang w:val="en-US"/>
        </w:rPr>
      </w:pPr>
      <w:r>
        <w:rPr>
          <w:b/>
          <w:bCs/>
          <w:color w:val="000000" w:themeColor="text1"/>
          <w:lang w:val="en-US"/>
        </w:rPr>
        <w:br w:type="page"/>
      </w:r>
      <w:r w:rsidRPr="009D6D8F">
        <w:rPr>
          <w:b/>
          <w:bCs/>
          <w:color w:val="000000" w:themeColor="text1"/>
          <w:lang w:val="en-US"/>
        </w:rPr>
        <w:lastRenderedPageBreak/>
        <w:t>Supplementary Data 1</w:t>
      </w:r>
      <w:r w:rsidRPr="009D6D8F">
        <w:rPr>
          <w:color w:val="000000" w:themeColor="text1"/>
          <w:lang w:val="en-US"/>
        </w:rPr>
        <w:t xml:space="preserve">. The data set of 365 formulated indicators for the </w:t>
      </w:r>
      <w:r>
        <w:rPr>
          <w:color w:val="000000" w:themeColor="text1"/>
          <w:lang w:val="en-US"/>
        </w:rPr>
        <w:t xml:space="preserve">Kunming Montreal Global Biodiversity Framework </w:t>
      </w:r>
      <w:r w:rsidRPr="009D6D8F">
        <w:rPr>
          <w:color w:val="000000" w:themeColor="text1"/>
          <w:lang w:val="en-US"/>
        </w:rPr>
        <w:t xml:space="preserve">(version 19 December 2022). </w:t>
      </w:r>
      <w:r>
        <w:rPr>
          <w:color w:val="000000" w:themeColor="text1"/>
          <w:lang w:val="en-US"/>
        </w:rPr>
        <w:t xml:space="preserve"> </w:t>
      </w:r>
    </w:p>
    <w:p w14:paraId="6FBB2257" w14:textId="77777777" w:rsidR="0050353B" w:rsidRPr="006366DA" w:rsidRDefault="0050353B" w:rsidP="0050353B">
      <w:pPr>
        <w:rPr>
          <w:color w:val="000000" w:themeColor="text1"/>
          <w:lang w:val="en-US"/>
        </w:rPr>
      </w:pPr>
      <w:r>
        <w:rPr>
          <w:color w:val="000000" w:themeColor="text1"/>
          <w:lang w:val="en-US"/>
        </w:rPr>
        <w:t>(Supplementary Data 1 is available in a</w:t>
      </w:r>
      <w:r w:rsidRPr="00A12956">
        <w:rPr>
          <w:color w:val="000000" w:themeColor="text1"/>
          <w:lang w:val="en-US"/>
        </w:rPr>
        <w:t xml:space="preserve"> separate file</w:t>
      </w:r>
      <w:r>
        <w:rPr>
          <w:color w:val="000000" w:themeColor="text1"/>
          <w:lang w:val="en-US"/>
        </w:rPr>
        <w:t>)</w:t>
      </w:r>
    </w:p>
    <w:p w14:paraId="79215618" w14:textId="77777777" w:rsidR="0050353B" w:rsidRDefault="0050353B" w:rsidP="0050353B">
      <w:pPr>
        <w:rPr>
          <w:b/>
          <w:bCs/>
          <w:color w:val="000000" w:themeColor="text1"/>
          <w:lang w:val="en-US"/>
        </w:rPr>
      </w:pPr>
    </w:p>
    <w:p w14:paraId="0EF0C58B" w14:textId="77777777" w:rsidR="0050353B" w:rsidRDefault="0050353B" w:rsidP="0050353B">
      <w:pPr>
        <w:rPr>
          <w:b/>
          <w:bCs/>
          <w:color w:val="000000" w:themeColor="text1"/>
          <w:lang w:val="en-US"/>
        </w:rPr>
      </w:pPr>
    </w:p>
    <w:p w14:paraId="45D70B7C" w14:textId="77777777" w:rsidR="0050353B" w:rsidRDefault="0050353B" w:rsidP="0050353B">
      <w:pPr>
        <w:rPr>
          <w:b/>
          <w:bCs/>
          <w:color w:val="000000" w:themeColor="text1"/>
          <w:lang w:val="en-US"/>
        </w:rPr>
      </w:pPr>
    </w:p>
    <w:p w14:paraId="65E07168" w14:textId="77777777" w:rsidR="0050353B" w:rsidRDefault="0050353B" w:rsidP="0050353B">
      <w:pPr>
        <w:rPr>
          <w:b/>
          <w:bCs/>
          <w:color w:val="000000" w:themeColor="text1"/>
          <w:lang w:val="en-US"/>
        </w:rPr>
      </w:pPr>
    </w:p>
    <w:p w14:paraId="6E6B890E" w14:textId="77777777" w:rsidR="0050353B" w:rsidRDefault="0050353B" w:rsidP="0050353B">
      <w:pPr>
        <w:rPr>
          <w:b/>
          <w:bCs/>
          <w:color w:val="000000" w:themeColor="text1"/>
          <w:lang w:val="en-US"/>
        </w:rPr>
      </w:pPr>
    </w:p>
    <w:p w14:paraId="2E75DBF8" w14:textId="77777777" w:rsidR="0050353B" w:rsidRPr="00B40E1E" w:rsidRDefault="0050353B" w:rsidP="0050353B">
      <w:pPr>
        <w:rPr>
          <w:color w:val="000000" w:themeColor="text1"/>
          <w:lang w:val="en-US"/>
        </w:rPr>
      </w:pPr>
      <w:r w:rsidRPr="00B40E1E">
        <w:rPr>
          <w:b/>
          <w:bCs/>
          <w:color w:val="000000" w:themeColor="text1"/>
          <w:lang w:val="en-US"/>
        </w:rPr>
        <w:t xml:space="preserve">Supplementary Data </w:t>
      </w:r>
      <w:r>
        <w:rPr>
          <w:b/>
          <w:bCs/>
          <w:color w:val="000000" w:themeColor="text1"/>
          <w:lang w:val="en-US"/>
        </w:rPr>
        <w:t>2</w:t>
      </w:r>
      <w:r w:rsidRPr="00B40E1E">
        <w:rPr>
          <w:color w:val="000000" w:themeColor="text1"/>
          <w:lang w:val="en-US"/>
        </w:rPr>
        <w:t xml:space="preserve">. </w:t>
      </w:r>
      <w:r>
        <w:rPr>
          <w:color w:val="000000" w:themeColor="text1"/>
          <w:lang w:val="en-US"/>
        </w:rPr>
        <w:t xml:space="preserve">Results of 8 experts’ independent assessment of a random sample of 10% of the indicators of the targets in the </w:t>
      </w:r>
      <w:r w:rsidRPr="009D6D8F">
        <w:rPr>
          <w:color w:val="000000" w:themeColor="text1"/>
          <w:lang w:val="en-US"/>
        </w:rPr>
        <w:t>Kunming Montreal Global Biodiversity Framework</w:t>
      </w:r>
      <w:r>
        <w:rPr>
          <w:color w:val="000000" w:themeColor="text1"/>
          <w:lang w:val="en-US"/>
        </w:rPr>
        <w:t>.</w:t>
      </w:r>
    </w:p>
    <w:p w14:paraId="7A84728F" w14:textId="77777777" w:rsidR="0050353B" w:rsidRDefault="0050353B" w:rsidP="0050353B">
      <w:pPr>
        <w:rPr>
          <w:b/>
          <w:bCs/>
          <w:color w:val="000000" w:themeColor="text1"/>
          <w:lang w:val="en-US"/>
        </w:rPr>
      </w:pPr>
    </w:p>
    <w:p w14:paraId="462BE45D" w14:textId="77777777" w:rsidR="0050353B" w:rsidRDefault="0050353B" w:rsidP="0050353B">
      <w:pPr>
        <w:rPr>
          <w:b/>
          <w:bCs/>
          <w:color w:val="000000" w:themeColor="text1"/>
          <w:lang w:val="en-US"/>
        </w:rPr>
      </w:pPr>
    </w:p>
    <w:p w14:paraId="1CE4ACE9" w14:textId="77777777" w:rsidR="0050353B" w:rsidRDefault="0050353B" w:rsidP="0050353B">
      <w:pPr>
        <w:rPr>
          <w:b/>
          <w:bCs/>
          <w:color w:val="000000" w:themeColor="text1"/>
          <w:lang w:val="en-US"/>
        </w:rPr>
      </w:pPr>
      <w:r>
        <w:rPr>
          <w:b/>
          <w:bCs/>
          <w:noProof/>
          <w:color w:val="000000" w:themeColor="text1"/>
          <w:lang w:val="en-US"/>
        </w:rPr>
        <w:drawing>
          <wp:inline distT="0" distB="0" distL="0" distR="0" wp14:anchorId="2B9EC13D" wp14:editId="04680C78">
            <wp:extent cx="5425440" cy="2042160"/>
            <wp:effectExtent l="0" t="0" r="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lede 3"/>
                    <pic:cNvPicPr/>
                  </pic:nvPicPr>
                  <pic:blipFill rotWithShape="1">
                    <a:blip r:embed="rId7">
                      <a:extLst>
                        <a:ext uri="{28A0092B-C50C-407E-A947-70E740481C1C}">
                          <a14:useLocalDpi xmlns:a14="http://schemas.microsoft.com/office/drawing/2010/main" val="0"/>
                        </a:ext>
                      </a:extLst>
                    </a:blip>
                    <a:srcRect l="6087" t="4627" r="5258" b="71792"/>
                    <a:stretch/>
                  </pic:blipFill>
                  <pic:spPr bwMode="auto">
                    <a:xfrm>
                      <a:off x="0" y="0"/>
                      <a:ext cx="5425810" cy="2042299"/>
                    </a:xfrm>
                    <a:prstGeom prst="rect">
                      <a:avLst/>
                    </a:prstGeom>
                    <a:ln>
                      <a:noFill/>
                    </a:ln>
                    <a:extLst>
                      <a:ext uri="{53640926-AAD7-44D8-BBD7-CCE9431645EC}">
                        <a14:shadowObscured xmlns:a14="http://schemas.microsoft.com/office/drawing/2010/main"/>
                      </a:ext>
                    </a:extLst>
                  </pic:spPr>
                </pic:pic>
              </a:graphicData>
            </a:graphic>
          </wp:inline>
        </w:drawing>
      </w:r>
    </w:p>
    <w:p w14:paraId="0BCA3A6B" w14:textId="77777777" w:rsidR="0050353B" w:rsidRDefault="0050353B" w:rsidP="0050353B">
      <w:pPr>
        <w:rPr>
          <w:b/>
          <w:bCs/>
          <w:color w:val="000000" w:themeColor="text1"/>
          <w:lang w:val="en-US"/>
        </w:rPr>
      </w:pPr>
    </w:p>
    <w:p w14:paraId="682FD131" w14:textId="77777777" w:rsidR="0050353B" w:rsidRDefault="0050353B" w:rsidP="0050353B">
      <w:pPr>
        <w:rPr>
          <w:b/>
          <w:bCs/>
          <w:color w:val="000000" w:themeColor="text1"/>
          <w:lang w:val="en-US"/>
        </w:rPr>
      </w:pPr>
      <w:r>
        <w:rPr>
          <w:b/>
          <w:bCs/>
          <w:color w:val="000000" w:themeColor="text1"/>
          <w:lang w:val="en-US"/>
        </w:rPr>
        <w:br w:type="page"/>
      </w:r>
    </w:p>
    <w:p w14:paraId="0D793918" w14:textId="77777777" w:rsidR="0050353B" w:rsidRDefault="0050353B" w:rsidP="0050353B">
      <w:pPr>
        <w:rPr>
          <w:b/>
          <w:bCs/>
          <w:color w:val="000000" w:themeColor="text1"/>
          <w:lang w:val="en-US"/>
        </w:rPr>
      </w:pPr>
    </w:p>
    <w:p w14:paraId="7E8FFD98" w14:textId="77777777" w:rsidR="0050353B" w:rsidRPr="008F5246" w:rsidRDefault="0050353B" w:rsidP="0050353B">
      <w:pPr>
        <w:jc w:val="center"/>
        <w:rPr>
          <w:color w:val="000000" w:themeColor="text1"/>
          <w:lang w:val="en-US"/>
        </w:rPr>
      </w:pPr>
      <w:r w:rsidRPr="004A7863">
        <w:rPr>
          <w:b/>
          <w:bCs/>
          <w:color w:val="000000" w:themeColor="text1"/>
          <w:lang w:val="en-US"/>
        </w:rPr>
        <w:t xml:space="preserve">Supplementary </w:t>
      </w:r>
      <w:r>
        <w:rPr>
          <w:b/>
          <w:bCs/>
          <w:color w:val="000000" w:themeColor="text1"/>
          <w:lang w:val="en-US"/>
        </w:rPr>
        <w:t>Notes</w:t>
      </w:r>
      <w:r w:rsidRPr="004A7863">
        <w:rPr>
          <w:b/>
          <w:bCs/>
          <w:color w:val="000000" w:themeColor="text1"/>
          <w:lang w:val="en-US"/>
        </w:rPr>
        <w:t xml:space="preserve"> 1</w:t>
      </w:r>
      <w:r>
        <w:rPr>
          <w:b/>
          <w:bCs/>
          <w:color w:val="000000" w:themeColor="text1"/>
          <w:lang w:val="en-US"/>
        </w:rPr>
        <w:t xml:space="preserve">. </w:t>
      </w:r>
      <w:r w:rsidRPr="0059762D">
        <w:rPr>
          <w:color w:val="000000" w:themeColor="text1"/>
          <w:lang w:val="en-US"/>
        </w:rPr>
        <w:t xml:space="preserve">Notes </w:t>
      </w:r>
      <w:r>
        <w:rPr>
          <w:color w:val="000000" w:themeColor="text1"/>
          <w:lang w:val="en-US"/>
        </w:rPr>
        <w:t>and abbreviations</w:t>
      </w:r>
      <w:r w:rsidRPr="0059762D">
        <w:rPr>
          <w:color w:val="000000" w:themeColor="text1"/>
          <w:lang w:val="en-US"/>
        </w:rPr>
        <w:t>.</w:t>
      </w:r>
    </w:p>
    <w:p w14:paraId="7500B30A" w14:textId="77777777" w:rsidR="0050353B" w:rsidRDefault="0050353B" w:rsidP="0050353B">
      <w:pPr>
        <w:rPr>
          <w:color w:val="000000" w:themeColor="text1"/>
          <w:lang w:val="en-US"/>
        </w:rPr>
      </w:pPr>
    </w:p>
    <w:p w14:paraId="36E18C88" w14:textId="77777777" w:rsidR="0050353B" w:rsidRPr="0059762D" w:rsidRDefault="0050353B" w:rsidP="0050353B">
      <w:pPr>
        <w:rPr>
          <w:b/>
          <w:bCs/>
          <w:color w:val="000000" w:themeColor="text1"/>
          <w:lang w:val="en-US"/>
        </w:rPr>
      </w:pPr>
      <w:r w:rsidRPr="0059762D">
        <w:rPr>
          <w:b/>
          <w:bCs/>
          <w:color w:val="000000" w:themeColor="text1"/>
          <w:lang w:val="en-US"/>
        </w:rPr>
        <w:t>Table 1 Footnotes.</w:t>
      </w:r>
    </w:p>
    <w:p w14:paraId="05D907AA" w14:textId="77777777" w:rsidR="0050353B" w:rsidRDefault="0050353B" w:rsidP="0050353B">
      <w:pPr>
        <w:pStyle w:val="ListParagraph"/>
        <w:numPr>
          <w:ilvl w:val="0"/>
          <w:numId w:val="1"/>
        </w:numPr>
        <w:ind w:left="284" w:hanging="284"/>
        <w:rPr>
          <w:color w:val="000000" w:themeColor="text1"/>
          <w:lang w:val="en-US"/>
        </w:rPr>
      </w:pPr>
      <w:r w:rsidRPr="00D9200D">
        <w:rPr>
          <w:color w:val="000000" w:themeColor="text1"/>
          <w:lang w:val="en-US"/>
        </w:rPr>
        <w:t xml:space="preserve">The nomenclature for the subgroups of environmental monitoring programs is modified from </w:t>
      </w:r>
      <w:r w:rsidRPr="00B66B3C">
        <w:rPr>
          <w:color w:val="000000" w:themeColor="text1"/>
          <w:lang w:val="en-US"/>
        </w:rPr>
        <w:t xml:space="preserve">Danielsen, F. et al. Local participation in natural resource monitoring: a characterization of approaches. </w:t>
      </w:r>
      <w:r w:rsidRPr="00B66B3C">
        <w:rPr>
          <w:i/>
          <w:iCs/>
          <w:color w:val="000000" w:themeColor="text1"/>
          <w:lang w:val="en-US"/>
        </w:rPr>
        <w:t>Conserv. Biol.</w:t>
      </w:r>
      <w:r w:rsidRPr="00B66B3C">
        <w:rPr>
          <w:color w:val="000000" w:themeColor="text1"/>
          <w:lang w:val="en-US"/>
        </w:rPr>
        <w:t xml:space="preserve"> </w:t>
      </w:r>
      <w:r w:rsidRPr="00B66B3C">
        <w:rPr>
          <w:b/>
          <w:bCs/>
          <w:color w:val="000000" w:themeColor="text1"/>
          <w:lang w:val="en-US"/>
        </w:rPr>
        <w:t>23</w:t>
      </w:r>
      <w:r w:rsidRPr="00B66B3C">
        <w:rPr>
          <w:color w:val="000000" w:themeColor="text1"/>
          <w:lang w:val="en-US"/>
        </w:rPr>
        <w:t>, 31-42 (2009).</w:t>
      </w:r>
      <w:r w:rsidRPr="00D9200D">
        <w:rPr>
          <w:color w:val="000000" w:themeColor="text1"/>
          <w:lang w:val="en-US"/>
        </w:rPr>
        <w:t xml:space="preserve"> </w:t>
      </w:r>
    </w:p>
    <w:p w14:paraId="7207B875" w14:textId="77777777" w:rsidR="0050353B" w:rsidRDefault="0050353B" w:rsidP="0050353B">
      <w:pPr>
        <w:pStyle w:val="ListParagraph"/>
        <w:numPr>
          <w:ilvl w:val="0"/>
          <w:numId w:val="1"/>
        </w:numPr>
        <w:ind w:left="284" w:hanging="284"/>
        <w:rPr>
          <w:color w:val="000000" w:themeColor="text1"/>
          <w:lang w:val="en-US"/>
        </w:rPr>
      </w:pPr>
      <w:r w:rsidRPr="00D9200D">
        <w:rPr>
          <w:color w:val="000000" w:themeColor="text1"/>
          <w:lang w:val="en-US"/>
        </w:rPr>
        <w:t xml:space="preserve">By </w:t>
      </w:r>
      <w:r>
        <w:rPr>
          <w:color w:val="000000" w:themeColor="text1"/>
          <w:lang w:val="en-US"/>
        </w:rPr>
        <w:t>Indigenous Peoples and L</w:t>
      </w:r>
      <w:r w:rsidRPr="00D9200D">
        <w:rPr>
          <w:color w:val="000000" w:themeColor="text1"/>
          <w:lang w:val="en-US"/>
        </w:rPr>
        <w:t>ocal</w:t>
      </w:r>
      <w:r>
        <w:rPr>
          <w:color w:val="000000" w:themeColor="text1"/>
          <w:lang w:val="en-US"/>
        </w:rPr>
        <w:t xml:space="preserve"> Communities (IPLCs) and citizen scientists</w:t>
      </w:r>
      <w:r w:rsidRPr="00D9200D">
        <w:rPr>
          <w:color w:val="000000" w:themeColor="text1"/>
          <w:lang w:val="en-US"/>
        </w:rPr>
        <w:t xml:space="preserve"> on their own without involving professional scientists</w:t>
      </w:r>
      <w:r>
        <w:rPr>
          <w:color w:val="000000" w:themeColor="text1"/>
          <w:lang w:val="en-US"/>
        </w:rPr>
        <w:t xml:space="preserve"> and governmental statistical organizations</w:t>
      </w:r>
      <w:r w:rsidRPr="00D9200D">
        <w:rPr>
          <w:color w:val="000000" w:themeColor="text1"/>
          <w:lang w:val="en-US"/>
        </w:rPr>
        <w:t xml:space="preserve">. </w:t>
      </w:r>
    </w:p>
    <w:p w14:paraId="2D3C4715" w14:textId="77777777" w:rsidR="0050353B" w:rsidRPr="00D9200D" w:rsidRDefault="0050353B" w:rsidP="0050353B">
      <w:pPr>
        <w:pStyle w:val="ListParagraph"/>
        <w:numPr>
          <w:ilvl w:val="0"/>
          <w:numId w:val="1"/>
        </w:numPr>
        <w:ind w:left="284" w:hanging="284"/>
        <w:rPr>
          <w:color w:val="000000" w:themeColor="text1"/>
          <w:lang w:val="en-US"/>
        </w:rPr>
      </w:pPr>
      <w:r w:rsidRPr="00D9200D">
        <w:rPr>
          <w:color w:val="000000" w:themeColor="text1"/>
          <w:lang w:val="en-US"/>
        </w:rPr>
        <w:t xml:space="preserve">By </w:t>
      </w:r>
      <w:r>
        <w:rPr>
          <w:color w:val="000000" w:themeColor="text1"/>
          <w:lang w:val="en-US"/>
        </w:rPr>
        <w:t>IPLCs and citizen scientists</w:t>
      </w:r>
      <w:r w:rsidRPr="00D9200D">
        <w:rPr>
          <w:color w:val="000000" w:themeColor="text1"/>
          <w:lang w:val="en-US"/>
        </w:rPr>
        <w:t xml:space="preserve"> who collect, process, and interpret the data and present findings to indicator initiators or decision makers</w:t>
      </w:r>
      <w:r>
        <w:rPr>
          <w:color w:val="000000" w:themeColor="text1"/>
          <w:lang w:val="en-US"/>
        </w:rPr>
        <w:t>, based on an original initiative to set up monitoring that was undertaken by outsiders</w:t>
      </w:r>
      <w:r w:rsidRPr="00D9200D">
        <w:rPr>
          <w:color w:val="000000" w:themeColor="text1"/>
          <w:lang w:val="en-US"/>
        </w:rPr>
        <w:t xml:space="preserve">. </w:t>
      </w:r>
    </w:p>
    <w:p w14:paraId="7C7FBDBA" w14:textId="77777777" w:rsidR="0050353B" w:rsidRPr="00D9200D" w:rsidRDefault="0050353B" w:rsidP="0050353B">
      <w:pPr>
        <w:pStyle w:val="ListParagraph"/>
        <w:numPr>
          <w:ilvl w:val="0"/>
          <w:numId w:val="1"/>
        </w:numPr>
        <w:ind w:left="284" w:hanging="284"/>
        <w:rPr>
          <w:color w:val="000000" w:themeColor="text1"/>
          <w:lang w:val="en-US"/>
        </w:rPr>
      </w:pPr>
      <w:r w:rsidRPr="00D9200D">
        <w:rPr>
          <w:color w:val="000000" w:themeColor="text1"/>
          <w:lang w:val="en-US"/>
        </w:rPr>
        <w:t xml:space="preserve">By professional scientists </w:t>
      </w:r>
      <w:r>
        <w:rPr>
          <w:color w:val="000000" w:themeColor="text1"/>
          <w:lang w:val="en-US"/>
        </w:rPr>
        <w:t xml:space="preserve">and governmental statistical organizations </w:t>
      </w:r>
      <w:r w:rsidRPr="00D9200D">
        <w:rPr>
          <w:color w:val="000000" w:themeColor="text1"/>
          <w:lang w:val="en-US"/>
        </w:rPr>
        <w:t xml:space="preserve">with involvement of </w:t>
      </w:r>
      <w:r>
        <w:rPr>
          <w:color w:val="000000" w:themeColor="text1"/>
          <w:lang w:val="en-US"/>
        </w:rPr>
        <w:t xml:space="preserve">IPLCs and citizen scientists </w:t>
      </w:r>
      <w:r w:rsidRPr="00D9200D">
        <w:rPr>
          <w:color w:val="000000" w:themeColor="text1"/>
          <w:lang w:val="en-US"/>
        </w:rPr>
        <w:t xml:space="preserve">as data collectors. </w:t>
      </w:r>
    </w:p>
    <w:p w14:paraId="4B9E8540" w14:textId="77777777" w:rsidR="0050353B" w:rsidRPr="00D9200D" w:rsidRDefault="0050353B" w:rsidP="0050353B">
      <w:pPr>
        <w:pStyle w:val="ListParagraph"/>
        <w:numPr>
          <w:ilvl w:val="0"/>
          <w:numId w:val="1"/>
        </w:numPr>
        <w:ind w:left="284" w:hanging="284"/>
        <w:rPr>
          <w:color w:val="000000" w:themeColor="text1"/>
          <w:lang w:val="en-US"/>
        </w:rPr>
      </w:pPr>
      <w:r w:rsidRPr="00D9200D">
        <w:rPr>
          <w:color w:val="000000" w:themeColor="text1"/>
          <w:lang w:val="en-US"/>
        </w:rPr>
        <w:t xml:space="preserve">By professional scientists </w:t>
      </w:r>
      <w:r>
        <w:rPr>
          <w:color w:val="000000" w:themeColor="text1"/>
          <w:lang w:val="en-US"/>
        </w:rPr>
        <w:t xml:space="preserve">and governmental statistical organizations </w:t>
      </w:r>
      <w:r w:rsidRPr="00D9200D">
        <w:rPr>
          <w:color w:val="000000" w:themeColor="text1"/>
          <w:lang w:val="en-US"/>
        </w:rPr>
        <w:t xml:space="preserve">without involving </w:t>
      </w:r>
      <w:r>
        <w:rPr>
          <w:color w:val="000000" w:themeColor="text1"/>
          <w:lang w:val="en-US"/>
        </w:rPr>
        <w:t>IPLCs and citizen scientists</w:t>
      </w:r>
      <w:r w:rsidRPr="00D9200D">
        <w:rPr>
          <w:color w:val="000000" w:themeColor="text1"/>
          <w:lang w:val="en-US"/>
        </w:rPr>
        <w:t xml:space="preserve">. </w:t>
      </w:r>
    </w:p>
    <w:p w14:paraId="1B6ACBAF" w14:textId="77777777" w:rsidR="0050353B" w:rsidRPr="00D9200D" w:rsidRDefault="0050353B" w:rsidP="0050353B">
      <w:pPr>
        <w:pStyle w:val="ListParagraph"/>
        <w:numPr>
          <w:ilvl w:val="0"/>
          <w:numId w:val="1"/>
        </w:numPr>
        <w:ind w:left="284" w:hanging="284"/>
        <w:rPr>
          <w:color w:val="000000" w:themeColor="text1"/>
          <w:lang w:val="en-US"/>
        </w:rPr>
      </w:pPr>
      <w:r w:rsidRPr="00D9200D">
        <w:rPr>
          <w:color w:val="000000" w:themeColor="text1"/>
          <w:lang w:val="en-US"/>
        </w:rPr>
        <w:t xml:space="preserve">Requires area-based or remote sensing-based data. </w:t>
      </w:r>
    </w:p>
    <w:p w14:paraId="6B14AD79" w14:textId="77777777" w:rsidR="0050353B" w:rsidRPr="00D9200D" w:rsidRDefault="0050353B" w:rsidP="0050353B">
      <w:pPr>
        <w:pStyle w:val="ListParagraph"/>
        <w:numPr>
          <w:ilvl w:val="0"/>
          <w:numId w:val="1"/>
        </w:numPr>
        <w:ind w:left="284" w:hanging="284"/>
        <w:rPr>
          <w:color w:val="000000" w:themeColor="text1"/>
          <w:lang w:val="en-US"/>
        </w:rPr>
      </w:pPr>
      <w:r w:rsidRPr="00D9200D">
        <w:rPr>
          <w:color w:val="000000" w:themeColor="text1"/>
          <w:lang w:val="en-US"/>
        </w:rPr>
        <w:t xml:space="preserve">Requires a national or supranational overview. </w:t>
      </w:r>
    </w:p>
    <w:p w14:paraId="134FDDF1" w14:textId="77777777" w:rsidR="0050353B" w:rsidRPr="00D9200D" w:rsidRDefault="0050353B" w:rsidP="0050353B">
      <w:pPr>
        <w:pStyle w:val="ListParagraph"/>
        <w:numPr>
          <w:ilvl w:val="0"/>
          <w:numId w:val="1"/>
        </w:numPr>
        <w:ind w:left="284" w:hanging="284"/>
        <w:rPr>
          <w:color w:val="000000" w:themeColor="text1"/>
          <w:lang w:val="en-US"/>
        </w:rPr>
      </w:pPr>
      <w:r w:rsidRPr="00D9200D">
        <w:rPr>
          <w:color w:val="000000" w:themeColor="text1"/>
          <w:lang w:val="en-US"/>
        </w:rPr>
        <w:t xml:space="preserve">Requires knowledge of administrative, legislative, policy, regulatory, or managerial aspects. </w:t>
      </w:r>
    </w:p>
    <w:p w14:paraId="7A021813" w14:textId="77777777" w:rsidR="0050353B" w:rsidRPr="00D9200D" w:rsidRDefault="0050353B" w:rsidP="0050353B">
      <w:pPr>
        <w:pStyle w:val="ListParagraph"/>
        <w:numPr>
          <w:ilvl w:val="0"/>
          <w:numId w:val="1"/>
        </w:numPr>
        <w:ind w:left="284" w:hanging="284"/>
        <w:rPr>
          <w:color w:val="000000" w:themeColor="text1"/>
          <w:lang w:val="en-US"/>
        </w:rPr>
      </w:pPr>
      <w:r w:rsidRPr="00D9200D">
        <w:rPr>
          <w:color w:val="000000" w:themeColor="text1"/>
          <w:lang w:val="en-US"/>
        </w:rPr>
        <w:t xml:space="preserve">Difficult to monitor technically or analytically. </w:t>
      </w:r>
    </w:p>
    <w:p w14:paraId="3D629394" w14:textId="77777777" w:rsidR="0050353B" w:rsidRPr="008F5246" w:rsidRDefault="0050353B" w:rsidP="0050353B">
      <w:pPr>
        <w:pStyle w:val="ListParagraph"/>
        <w:numPr>
          <w:ilvl w:val="0"/>
          <w:numId w:val="1"/>
        </w:numPr>
        <w:ind w:left="284" w:hanging="284"/>
        <w:rPr>
          <w:lang w:val="en-US"/>
        </w:rPr>
      </w:pPr>
      <w:r w:rsidRPr="0059762D">
        <w:rPr>
          <w:color w:val="000000" w:themeColor="text1"/>
          <w:lang w:val="en-US"/>
        </w:rPr>
        <w:t xml:space="preserve">The proportion of indicators (averaged between the two evaluators) where we personally knew of specific, or closely related, examples of monitoring programs in which the indicators had been populated with data. This was used as a measure of our confidence in the coding we had provided. </w:t>
      </w:r>
    </w:p>
    <w:p w14:paraId="09C46637" w14:textId="77777777" w:rsidR="0050353B" w:rsidRDefault="0050353B" w:rsidP="0050353B">
      <w:pPr>
        <w:rPr>
          <w:lang w:val="en-US"/>
        </w:rPr>
      </w:pPr>
    </w:p>
    <w:p w14:paraId="4E921077" w14:textId="77777777" w:rsidR="0050353B" w:rsidRPr="00631DA9" w:rsidRDefault="0050353B" w:rsidP="0050353B">
      <w:pPr>
        <w:rPr>
          <w:lang w:val="en-US"/>
        </w:rPr>
      </w:pPr>
      <w:r w:rsidRPr="00631DA9">
        <w:rPr>
          <w:b/>
          <w:bCs/>
          <w:color w:val="000000" w:themeColor="text1"/>
          <w:lang w:val="en-US"/>
        </w:rPr>
        <w:t>Table 2 References.</w:t>
      </w:r>
    </w:p>
    <w:p w14:paraId="548E7FD1" w14:textId="77777777" w:rsidR="0050353B" w:rsidRPr="00631DA9" w:rsidRDefault="0050353B" w:rsidP="0050353B">
      <w:pPr>
        <w:rPr>
          <w:lang w:val="en-US"/>
        </w:rPr>
      </w:pPr>
    </w:p>
    <w:p w14:paraId="79CA65EA" w14:textId="77777777" w:rsidR="0050353B" w:rsidRPr="006366DA" w:rsidRDefault="0050353B" w:rsidP="0050353B">
      <w:pPr>
        <w:rPr>
          <w:color w:val="222222"/>
          <w:shd w:val="clear" w:color="auto" w:fill="FFFFFF"/>
          <w:lang w:val="en-US"/>
        </w:rPr>
      </w:pPr>
      <w:r w:rsidRPr="006366DA">
        <w:rPr>
          <w:color w:val="222222"/>
          <w:lang w:val="en-US"/>
        </w:rPr>
        <w:t>Anderson, C. R., Berdalet, E., Kudela, R. M., Cusack, C. K., Silke, J., O’Rourke, E., ... &amp; Morell, J. (2019). Scaling up from regional case studies to a global harmful algal bloom observing system. </w:t>
      </w:r>
      <w:r w:rsidRPr="006366DA">
        <w:rPr>
          <w:i/>
          <w:iCs/>
          <w:color w:val="222222"/>
          <w:lang w:val="en-US"/>
        </w:rPr>
        <w:t>Frontiers in Marine Science</w:t>
      </w:r>
      <w:r w:rsidRPr="006366DA">
        <w:rPr>
          <w:color w:val="222222"/>
          <w:lang w:val="en-US"/>
        </w:rPr>
        <w:t>, </w:t>
      </w:r>
      <w:r w:rsidRPr="006366DA">
        <w:rPr>
          <w:i/>
          <w:iCs/>
          <w:color w:val="222222"/>
          <w:lang w:val="en-US"/>
        </w:rPr>
        <w:t>6</w:t>
      </w:r>
      <w:r w:rsidRPr="006366DA">
        <w:rPr>
          <w:color w:val="222222"/>
          <w:lang w:val="en-US"/>
        </w:rPr>
        <w:t>, 250</w:t>
      </w:r>
      <w:r>
        <w:rPr>
          <w:color w:val="222222"/>
          <w:lang w:val="en-US"/>
        </w:rPr>
        <w:t>.</w:t>
      </w:r>
    </w:p>
    <w:p w14:paraId="64B4BEE9" w14:textId="77777777" w:rsidR="0050353B" w:rsidRPr="006366DA" w:rsidRDefault="0050353B" w:rsidP="0050353B">
      <w:pPr>
        <w:rPr>
          <w:color w:val="222222"/>
          <w:shd w:val="clear" w:color="auto" w:fill="FFFFFF"/>
          <w:lang w:val="en-US"/>
        </w:rPr>
      </w:pPr>
    </w:p>
    <w:p w14:paraId="050CE90F" w14:textId="77777777" w:rsidR="0050353B" w:rsidRPr="006366DA" w:rsidRDefault="0050353B" w:rsidP="0050353B">
      <w:pPr>
        <w:rPr>
          <w:rFonts w:eastAsiaTheme="minorHAnsi"/>
          <w:color w:val="222222"/>
          <w:kern w:val="2"/>
          <w:shd w:val="clear" w:color="auto" w:fill="FFFFFF"/>
          <w:lang w:val="en-US" w:eastAsia="en-US"/>
          <w14:ligatures w14:val="standardContextual"/>
        </w:rPr>
      </w:pPr>
      <w:r w:rsidRPr="006366DA">
        <w:rPr>
          <w:color w:val="222222"/>
          <w:shd w:val="clear" w:color="auto" w:fill="FFFFFF"/>
          <w:lang w:val="en-US"/>
        </w:rPr>
        <w:t>Andrianandrasana, H. T., Savage, J., Volahy, A. T., Long, P. R., &amp; Jones, N. (2022). Participatory Ecological Monitoring (PEM): Participatory research methods for sustainability‐toolkit# 4. </w:t>
      </w:r>
      <w:r w:rsidRPr="006366DA">
        <w:rPr>
          <w:i/>
          <w:iCs/>
          <w:color w:val="222222"/>
          <w:shd w:val="clear" w:color="auto" w:fill="FFFFFF"/>
          <w:lang w:val="en-US"/>
        </w:rPr>
        <w:t>GAIA-Ecological Perspectives for Science and Society</w:t>
      </w:r>
      <w:r w:rsidRPr="006366DA">
        <w:rPr>
          <w:color w:val="222222"/>
          <w:shd w:val="clear" w:color="auto" w:fill="FFFFFF"/>
          <w:lang w:val="en-US"/>
        </w:rPr>
        <w:t>, </w:t>
      </w:r>
      <w:r w:rsidRPr="006366DA">
        <w:rPr>
          <w:i/>
          <w:iCs/>
          <w:color w:val="222222"/>
          <w:shd w:val="clear" w:color="auto" w:fill="FFFFFF"/>
          <w:lang w:val="en-US"/>
        </w:rPr>
        <w:t>31</w:t>
      </w:r>
      <w:r w:rsidRPr="006366DA">
        <w:rPr>
          <w:color w:val="222222"/>
          <w:shd w:val="clear" w:color="auto" w:fill="FFFFFF"/>
          <w:lang w:val="en-US"/>
        </w:rPr>
        <w:t>(4), 231-233.</w:t>
      </w:r>
    </w:p>
    <w:p w14:paraId="5B5593F4" w14:textId="77777777" w:rsidR="0050353B" w:rsidRPr="006366DA" w:rsidRDefault="0050353B" w:rsidP="0050353B">
      <w:pPr>
        <w:rPr>
          <w:color w:val="222222"/>
          <w:lang w:val="en-US"/>
        </w:rPr>
      </w:pPr>
    </w:p>
    <w:p w14:paraId="7D19D79F" w14:textId="77777777" w:rsidR="0050353B" w:rsidRPr="006366DA" w:rsidRDefault="0050353B" w:rsidP="0050353B">
      <w:pPr>
        <w:rPr>
          <w:color w:val="222222"/>
          <w:lang w:val="en-US"/>
        </w:rPr>
      </w:pPr>
      <w:r w:rsidRPr="006366DA">
        <w:rPr>
          <w:color w:val="222222"/>
          <w:lang w:val="en-US"/>
        </w:rPr>
        <w:t>Belletti, B., Garcia de Leaniz, C., Jones, J., Bizzi, S., Börger, L., Segura, G., ... &amp; Zalewski, M. (2020). More than one million barriers fragment Europe’s rivers. </w:t>
      </w:r>
      <w:r w:rsidRPr="006366DA">
        <w:rPr>
          <w:i/>
          <w:iCs/>
          <w:color w:val="222222"/>
          <w:lang w:val="en-US"/>
        </w:rPr>
        <w:t>Nature</w:t>
      </w:r>
      <w:r w:rsidRPr="006366DA">
        <w:rPr>
          <w:color w:val="222222"/>
          <w:lang w:val="en-US"/>
        </w:rPr>
        <w:t>, </w:t>
      </w:r>
      <w:r w:rsidRPr="006366DA">
        <w:rPr>
          <w:i/>
          <w:iCs/>
          <w:color w:val="222222"/>
          <w:lang w:val="en-US"/>
        </w:rPr>
        <w:t>588</w:t>
      </w:r>
      <w:r w:rsidRPr="006366DA">
        <w:rPr>
          <w:color w:val="222222"/>
          <w:lang w:val="en-US"/>
        </w:rPr>
        <w:t>(7838), 436-441</w:t>
      </w:r>
      <w:r>
        <w:rPr>
          <w:color w:val="222222"/>
          <w:lang w:val="en-US"/>
        </w:rPr>
        <w:t>.</w:t>
      </w:r>
    </w:p>
    <w:p w14:paraId="6371E2C0" w14:textId="77777777" w:rsidR="0050353B" w:rsidRPr="006366DA" w:rsidRDefault="0050353B" w:rsidP="0050353B">
      <w:pPr>
        <w:rPr>
          <w:color w:val="222222"/>
          <w:lang w:val="en-US"/>
        </w:rPr>
      </w:pPr>
    </w:p>
    <w:p w14:paraId="2314C07C" w14:textId="77777777" w:rsidR="0050353B" w:rsidRPr="006366DA" w:rsidRDefault="0050353B" w:rsidP="0050353B">
      <w:pPr>
        <w:rPr>
          <w:color w:val="222222"/>
          <w:lang w:val="en-US"/>
        </w:rPr>
      </w:pPr>
      <w:r w:rsidRPr="006366DA">
        <w:rPr>
          <w:color w:val="222222"/>
          <w:lang w:val="en-US"/>
        </w:rPr>
        <w:t>Brofeldt, S., Argyriou, D., Turreira-García, N., Meilby, H., Danielsen, F., &amp; Theilade, I. (2018). Community-based monitoring of tropical forest crimes and forest resources using information and communication technology–experiences from Prey Lang, Cambodia. </w:t>
      </w:r>
      <w:r w:rsidRPr="006366DA">
        <w:rPr>
          <w:i/>
          <w:iCs/>
          <w:color w:val="222222"/>
          <w:lang w:val="en-US"/>
        </w:rPr>
        <w:t>Citizen Science: Theory and Practice</w:t>
      </w:r>
      <w:r w:rsidRPr="006366DA">
        <w:rPr>
          <w:color w:val="222222"/>
          <w:lang w:val="en-US"/>
        </w:rPr>
        <w:t>, </w:t>
      </w:r>
      <w:r w:rsidRPr="006366DA">
        <w:rPr>
          <w:i/>
          <w:iCs/>
          <w:color w:val="222222"/>
          <w:lang w:val="en-US"/>
        </w:rPr>
        <w:t>3</w:t>
      </w:r>
      <w:r w:rsidRPr="006366DA">
        <w:rPr>
          <w:color w:val="222222"/>
          <w:lang w:val="en-US"/>
        </w:rPr>
        <w:t>(2).</w:t>
      </w:r>
    </w:p>
    <w:p w14:paraId="6E291BA0" w14:textId="77777777" w:rsidR="0050353B" w:rsidRPr="006366DA" w:rsidRDefault="0050353B" w:rsidP="0050353B">
      <w:pPr>
        <w:rPr>
          <w:color w:val="222222"/>
          <w:lang w:val="en-US"/>
        </w:rPr>
      </w:pPr>
    </w:p>
    <w:p w14:paraId="3A15CD60" w14:textId="77777777" w:rsidR="0050353B" w:rsidRPr="006366DA" w:rsidRDefault="0050353B" w:rsidP="0050353B">
      <w:pPr>
        <w:rPr>
          <w:color w:val="222222"/>
          <w:lang w:val="en-US"/>
        </w:rPr>
      </w:pPr>
      <w:r w:rsidRPr="006366DA">
        <w:rPr>
          <w:color w:val="222222"/>
          <w:lang w:val="en-US"/>
        </w:rPr>
        <w:t>Boissière, M., Herold, M., Atmadja, S., &amp; Sheil, D. (2017). The feasibility of local participation in Measuring, Reporting and Verification (PMRV) for REDD+. </w:t>
      </w:r>
      <w:r w:rsidRPr="006366DA">
        <w:rPr>
          <w:i/>
          <w:iCs/>
          <w:color w:val="222222"/>
          <w:lang w:val="en-US"/>
        </w:rPr>
        <w:t>PLoS One</w:t>
      </w:r>
      <w:r w:rsidRPr="006366DA">
        <w:rPr>
          <w:color w:val="222222"/>
          <w:lang w:val="en-US"/>
        </w:rPr>
        <w:t>, </w:t>
      </w:r>
      <w:r w:rsidRPr="006366DA">
        <w:rPr>
          <w:i/>
          <w:iCs/>
          <w:color w:val="222222"/>
          <w:lang w:val="en-US"/>
        </w:rPr>
        <w:t>12</w:t>
      </w:r>
      <w:r w:rsidRPr="006366DA">
        <w:rPr>
          <w:color w:val="222222"/>
          <w:lang w:val="en-US"/>
        </w:rPr>
        <w:t>(5), e0176897</w:t>
      </w:r>
      <w:r>
        <w:rPr>
          <w:color w:val="222222"/>
          <w:lang w:val="en-US"/>
        </w:rPr>
        <w:t>.</w:t>
      </w:r>
    </w:p>
    <w:p w14:paraId="7174A647" w14:textId="77777777" w:rsidR="0050353B" w:rsidRPr="006366DA" w:rsidRDefault="0050353B" w:rsidP="0050353B">
      <w:pPr>
        <w:rPr>
          <w:color w:val="222222"/>
        </w:rPr>
      </w:pPr>
    </w:p>
    <w:tbl>
      <w:tblPr>
        <w:tblW w:w="6509" w:type="dxa"/>
        <w:shd w:val="clear" w:color="auto" w:fill="FFFFFF"/>
        <w:tblCellMar>
          <w:left w:w="0" w:type="dxa"/>
          <w:right w:w="0" w:type="dxa"/>
        </w:tblCellMar>
        <w:tblLook w:val="04A0" w:firstRow="1" w:lastRow="0" w:firstColumn="1" w:lastColumn="0" w:noHBand="0" w:noVBand="1"/>
      </w:tblPr>
      <w:tblGrid>
        <w:gridCol w:w="6509"/>
      </w:tblGrid>
      <w:tr w:rsidR="0050353B" w:rsidRPr="00631DA9" w14:paraId="7E7F1F14" w14:textId="77777777" w:rsidTr="00BF066D">
        <w:tc>
          <w:tcPr>
            <w:tcW w:w="0" w:type="auto"/>
            <w:shd w:val="clear" w:color="auto" w:fill="FFFFFF"/>
            <w:vAlign w:val="center"/>
            <w:hideMark/>
          </w:tcPr>
          <w:p w14:paraId="231BD9CC" w14:textId="77777777" w:rsidR="0050353B" w:rsidRPr="00631DA9" w:rsidRDefault="0050353B" w:rsidP="00BF066D"/>
        </w:tc>
      </w:tr>
    </w:tbl>
    <w:p w14:paraId="6DD83667" w14:textId="77777777" w:rsidR="0050353B" w:rsidRPr="006366DA" w:rsidRDefault="0050353B" w:rsidP="0050353B">
      <w:pPr>
        <w:rPr>
          <w:color w:val="222222"/>
          <w:shd w:val="clear" w:color="auto" w:fill="FFFFFF"/>
          <w:lang w:val="en-US"/>
        </w:rPr>
      </w:pPr>
      <w:r w:rsidRPr="006366DA">
        <w:rPr>
          <w:color w:val="222222"/>
          <w:shd w:val="clear" w:color="auto" w:fill="FFFFFF"/>
          <w:lang w:val="en-US"/>
        </w:rPr>
        <w:t>Campbell, H., &amp; Engelbrecht, I. (2018). The Baboon Spider Atlas–using citizen science and the ‘fear factor’to map baboon spider (Araneae: Theraphosidae) diversity and distributions in Southern Africa. </w:t>
      </w:r>
      <w:r w:rsidRPr="006366DA">
        <w:rPr>
          <w:i/>
          <w:iCs/>
          <w:color w:val="222222"/>
          <w:shd w:val="clear" w:color="auto" w:fill="FFFFFF"/>
          <w:lang w:val="en-US"/>
        </w:rPr>
        <w:t>Insect Conservation and Diversity</w:t>
      </w:r>
      <w:r w:rsidRPr="006366DA">
        <w:rPr>
          <w:color w:val="222222"/>
          <w:shd w:val="clear" w:color="auto" w:fill="FFFFFF"/>
          <w:lang w:val="en-US"/>
        </w:rPr>
        <w:t>, </w:t>
      </w:r>
      <w:r w:rsidRPr="006366DA">
        <w:rPr>
          <w:i/>
          <w:iCs/>
          <w:color w:val="222222"/>
          <w:shd w:val="clear" w:color="auto" w:fill="FFFFFF"/>
          <w:lang w:val="en-US"/>
        </w:rPr>
        <w:t>11</w:t>
      </w:r>
      <w:r w:rsidRPr="006366DA">
        <w:rPr>
          <w:color w:val="222222"/>
          <w:shd w:val="clear" w:color="auto" w:fill="FFFFFF"/>
          <w:lang w:val="en-US"/>
        </w:rPr>
        <w:t>(2), 143-151.</w:t>
      </w:r>
    </w:p>
    <w:p w14:paraId="1AABFC3D" w14:textId="77777777" w:rsidR="0050353B" w:rsidRPr="006366DA" w:rsidRDefault="0050353B" w:rsidP="0050353B">
      <w:pPr>
        <w:rPr>
          <w:color w:val="222222"/>
          <w:shd w:val="clear" w:color="auto" w:fill="FFFFFF"/>
          <w:lang w:val="en-US"/>
        </w:rPr>
      </w:pPr>
    </w:p>
    <w:p w14:paraId="52F87C83" w14:textId="77777777" w:rsidR="0050353B" w:rsidRPr="006366DA" w:rsidRDefault="0050353B" w:rsidP="0050353B">
      <w:pPr>
        <w:rPr>
          <w:color w:val="222222"/>
          <w:shd w:val="clear" w:color="auto" w:fill="FFFFFF"/>
          <w:lang w:val="en-US"/>
        </w:rPr>
      </w:pPr>
      <w:r w:rsidRPr="006366DA">
        <w:rPr>
          <w:color w:val="222222"/>
          <w:shd w:val="clear" w:color="auto" w:fill="FFFFFF"/>
          <w:lang w:val="en-US"/>
        </w:rPr>
        <w:lastRenderedPageBreak/>
        <w:t>Campos‐Silva, J. V., Hawes, J. E., &amp; Peres, C. A. (2019). Population recovery, seasonal site fidelity, and daily activity of pirarucu (Arapaima spp.) in an Amazonian floodplain mosaic. </w:t>
      </w:r>
      <w:r w:rsidRPr="006366DA">
        <w:rPr>
          <w:i/>
          <w:iCs/>
          <w:color w:val="222222"/>
          <w:shd w:val="clear" w:color="auto" w:fill="FFFFFF"/>
          <w:lang w:val="en-US"/>
        </w:rPr>
        <w:t>Freshwater Biology</w:t>
      </w:r>
      <w:r w:rsidRPr="006366DA">
        <w:rPr>
          <w:color w:val="222222"/>
          <w:shd w:val="clear" w:color="auto" w:fill="FFFFFF"/>
          <w:lang w:val="en-US"/>
        </w:rPr>
        <w:t>, </w:t>
      </w:r>
      <w:r w:rsidRPr="006366DA">
        <w:rPr>
          <w:i/>
          <w:iCs/>
          <w:color w:val="222222"/>
          <w:shd w:val="clear" w:color="auto" w:fill="FFFFFF"/>
          <w:lang w:val="en-US"/>
        </w:rPr>
        <w:t>64</w:t>
      </w:r>
      <w:r w:rsidRPr="006366DA">
        <w:rPr>
          <w:color w:val="222222"/>
          <w:shd w:val="clear" w:color="auto" w:fill="FFFFFF"/>
          <w:lang w:val="en-US"/>
        </w:rPr>
        <w:t>(7), 1255-1264.</w:t>
      </w:r>
    </w:p>
    <w:tbl>
      <w:tblPr>
        <w:tblW w:w="6509" w:type="dxa"/>
        <w:shd w:val="clear" w:color="auto" w:fill="FFFFFF"/>
        <w:tblCellMar>
          <w:left w:w="0" w:type="dxa"/>
          <w:right w:w="0" w:type="dxa"/>
        </w:tblCellMar>
        <w:tblLook w:val="04A0" w:firstRow="1" w:lastRow="0" w:firstColumn="1" w:lastColumn="0" w:noHBand="0" w:noVBand="1"/>
      </w:tblPr>
      <w:tblGrid>
        <w:gridCol w:w="6509"/>
      </w:tblGrid>
      <w:tr w:rsidR="0050353B" w:rsidRPr="00631DA9" w14:paraId="6558728D" w14:textId="77777777" w:rsidTr="00BF066D">
        <w:tc>
          <w:tcPr>
            <w:tcW w:w="0" w:type="auto"/>
            <w:shd w:val="clear" w:color="auto" w:fill="FFFFFF"/>
            <w:vAlign w:val="center"/>
            <w:hideMark/>
          </w:tcPr>
          <w:p w14:paraId="21CD8AF4" w14:textId="77777777" w:rsidR="0050353B" w:rsidRPr="00631DA9" w:rsidRDefault="0050353B" w:rsidP="00BF066D"/>
        </w:tc>
      </w:tr>
    </w:tbl>
    <w:p w14:paraId="0D2F891B" w14:textId="77777777" w:rsidR="0050353B" w:rsidRPr="006366DA" w:rsidRDefault="0050353B" w:rsidP="0050353B">
      <w:pPr>
        <w:rPr>
          <w:color w:val="222222"/>
          <w:shd w:val="clear" w:color="auto" w:fill="FFFFFF"/>
          <w:lang w:val="en-US"/>
        </w:rPr>
      </w:pPr>
    </w:p>
    <w:p w14:paraId="73AB8A47" w14:textId="77777777" w:rsidR="0050353B" w:rsidRPr="006366DA" w:rsidRDefault="0050353B" w:rsidP="0050353B">
      <w:pPr>
        <w:rPr>
          <w:lang w:val="en-US"/>
        </w:rPr>
      </w:pPr>
      <w:r w:rsidRPr="006366DA">
        <w:rPr>
          <w:color w:val="222222"/>
          <w:shd w:val="clear" w:color="auto" w:fill="FFFFFF"/>
          <w:lang w:val="en-US"/>
        </w:rPr>
        <w:t>Chiaravalloti, R. M., Skarlatidou, A., Hoyte, S., Badia, M. M., Haklay, M., &amp; Lewis, J. (2022). Extreme citizen science: Lessons learned from initiatives around the globe. </w:t>
      </w:r>
      <w:r w:rsidRPr="006366DA">
        <w:rPr>
          <w:i/>
          <w:iCs/>
          <w:color w:val="222222"/>
          <w:shd w:val="clear" w:color="auto" w:fill="FFFFFF"/>
          <w:lang w:val="en-US"/>
        </w:rPr>
        <w:t>Conservation Science and Practice</w:t>
      </w:r>
      <w:r w:rsidRPr="006366DA">
        <w:rPr>
          <w:color w:val="222222"/>
          <w:shd w:val="clear" w:color="auto" w:fill="FFFFFF"/>
          <w:lang w:val="en-US"/>
        </w:rPr>
        <w:t>, </w:t>
      </w:r>
      <w:r w:rsidRPr="006366DA">
        <w:rPr>
          <w:i/>
          <w:iCs/>
          <w:color w:val="222222"/>
          <w:shd w:val="clear" w:color="auto" w:fill="FFFFFF"/>
          <w:lang w:val="en-US"/>
        </w:rPr>
        <w:t>4</w:t>
      </w:r>
      <w:r w:rsidRPr="006366DA">
        <w:rPr>
          <w:color w:val="222222"/>
          <w:shd w:val="clear" w:color="auto" w:fill="FFFFFF"/>
          <w:lang w:val="en-US"/>
        </w:rPr>
        <w:t>(2), e577.</w:t>
      </w:r>
    </w:p>
    <w:p w14:paraId="16E4ABD9" w14:textId="77777777" w:rsidR="0050353B" w:rsidRPr="006366DA" w:rsidRDefault="0050353B" w:rsidP="0050353B">
      <w:pPr>
        <w:rPr>
          <w:color w:val="222222"/>
          <w:lang w:val="en-US"/>
        </w:rPr>
      </w:pPr>
    </w:p>
    <w:p w14:paraId="5DA16697" w14:textId="77777777" w:rsidR="0050353B" w:rsidRPr="006366DA" w:rsidRDefault="0050353B" w:rsidP="0050353B">
      <w:pPr>
        <w:rPr>
          <w:color w:val="222222"/>
          <w:lang w:val="en-US"/>
        </w:rPr>
      </w:pPr>
      <w:r w:rsidRPr="006366DA">
        <w:rPr>
          <w:color w:val="222222"/>
          <w:lang w:val="en-US"/>
        </w:rPr>
        <w:t>Constantino, P. A. L (2020). Challenges of forest citizen involvement in biodiversity monitoring in protected areas of Brazilian Amazonia. In: </w:t>
      </w:r>
      <w:r w:rsidRPr="006366DA">
        <w:rPr>
          <w:i/>
          <w:iCs/>
          <w:color w:val="222222"/>
          <w:lang w:val="en-US"/>
        </w:rPr>
        <w:t>Handbook of Citizen Science in Conservation and Ecology</w:t>
      </w:r>
      <w:r w:rsidRPr="006366DA">
        <w:rPr>
          <w:color w:val="222222"/>
          <w:lang w:val="en-US"/>
        </w:rPr>
        <w:t>, 237-247</w:t>
      </w:r>
      <w:r>
        <w:rPr>
          <w:color w:val="222222"/>
          <w:lang w:val="en-US"/>
        </w:rPr>
        <w:t>.</w:t>
      </w:r>
    </w:p>
    <w:p w14:paraId="13E9A8FE" w14:textId="77777777" w:rsidR="0050353B" w:rsidRPr="006366DA" w:rsidRDefault="0050353B" w:rsidP="0050353B">
      <w:pPr>
        <w:rPr>
          <w:lang w:val="en-US"/>
        </w:rPr>
      </w:pPr>
    </w:p>
    <w:p w14:paraId="0604CE9A" w14:textId="77777777" w:rsidR="0050353B" w:rsidRPr="006366DA" w:rsidRDefault="0050353B" w:rsidP="0050353B">
      <w:pPr>
        <w:rPr>
          <w:color w:val="222222"/>
          <w:shd w:val="clear" w:color="auto" w:fill="FFFFFF"/>
          <w:lang w:val="en-US"/>
        </w:rPr>
      </w:pPr>
      <w:r w:rsidRPr="006366DA">
        <w:rPr>
          <w:color w:val="222222"/>
          <w:shd w:val="clear" w:color="auto" w:fill="FFFFFF"/>
          <w:lang w:val="en-US"/>
        </w:rPr>
        <w:t>Cretois, B., Linnell, J. D., Grainger, M., Nilsen, E. B., &amp; Rød, J. K. (2020). Hunters as citizen scientists: Contributions to biodiversity monitoring in Europe. </w:t>
      </w:r>
      <w:r w:rsidRPr="006366DA">
        <w:rPr>
          <w:i/>
          <w:iCs/>
          <w:color w:val="222222"/>
          <w:shd w:val="clear" w:color="auto" w:fill="FFFFFF"/>
          <w:lang w:val="en-US"/>
        </w:rPr>
        <w:t>Global Ecology and Conservation</w:t>
      </w:r>
      <w:r w:rsidRPr="006366DA">
        <w:rPr>
          <w:color w:val="222222"/>
          <w:shd w:val="clear" w:color="auto" w:fill="FFFFFF"/>
          <w:lang w:val="en-US"/>
        </w:rPr>
        <w:t>, </w:t>
      </w:r>
      <w:r w:rsidRPr="006366DA">
        <w:rPr>
          <w:i/>
          <w:iCs/>
          <w:color w:val="222222"/>
          <w:shd w:val="clear" w:color="auto" w:fill="FFFFFF"/>
          <w:lang w:val="en-US"/>
        </w:rPr>
        <w:t>23</w:t>
      </w:r>
      <w:r w:rsidRPr="006366DA">
        <w:rPr>
          <w:color w:val="222222"/>
          <w:shd w:val="clear" w:color="auto" w:fill="FFFFFF"/>
          <w:lang w:val="en-US"/>
        </w:rPr>
        <w:t>, e01077.</w:t>
      </w:r>
    </w:p>
    <w:p w14:paraId="01769183" w14:textId="77777777" w:rsidR="0050353B" w:rsidRPr="006366DA" w:rsidRDefault="0050353B" w:rsidP="0050353B">
      <w:pPr>
        <w:rPr>
          <w:lang w:val="en-US"/>
        </w:rPr>
      </w:pPr>
    </w:p>
    <w:p w14:paraId="3CB8FE78" w14:textId="77777777" w:rsidR="0050353B" w:rsidRPr="006366DA" w:rsidRDefault="0050353B" w:rsidP="0050353B">
      <w:pPr>
        <w:rPr>
          <w:color w:val="222222"/>
          <w:lang w:val="en-US"/>
        </w:rPr>
      </w:pPr>
      <w:r w:rsidRPr="006366DA">
        <w:rPr>
          <w:color w:val="222222"/>
          <w:lang w:val="en-US"/>
        </w:rPr>
        <w:t>Cuyler, C., Daniel, C. J., Enghoff, M., Levermann, N., Møller‐Lund, N., Hansen, P. N., ... &amp; Danielsen, F. (2020). Using local ecological knowledge as evidence to guide management: A community‐led harvest calculator for muskoxen in Greenland. </w:t>
      </w:r>
      <w:r w:rsidRPr="006366DA">
        <w:rPr>
          <w:i/>
          <w:iCs/>
          <w:color w:val="222222"/>
          <w:lang w:val="en-US"/>
        </w:rPr>
        <w:t>Conservation Science and Practice</w:t>
      </w:r>
      <w:r w:rsidRPr="006366DA">
        <w:rPr>
          <w:color w:val="222222"/>
          <w:lang w:val="en-US"/>
        </w:rPr>
        <w:t>, </w:t>
      </w:r>
      <w:r w:rsidRPr="006366DA">
        <w:rPr>
          <w:i/>
          <w:iCs/>
          <w:color w:val="222222"/>
          <w:lang w:val="en-US"/>
        </w:rPr>
        <w:t>2</w:t>
      </w:r>
      <w:r w:rsidRPr="006366DA">
        <w:rPr>
          <w:color w:val="222222"/>
          <w:lang w:val="en-US"/>
        </w:rPr>
        <w:t>(3), e159</w:t>
      </w:r>
      <w:r>
        <w:rPr>
          <w:color w:val="222222"/>
          <w:lang w:val="en-US"/>
        </w:rPr>
        <w:t>.</w:t>
      </w:r>
    </w:p>
    <w:p w14:paraId="20071E0F" w14:textId="77777777" w:rsidR="0050353B" w:rsidRPr="006366DA" w:rsidRDefault="0050353B" w:rsidP="0050353B">
      <w:pPr>
        <w:rPr>
          <w:color w:val="222222"/>
          <w:shd w:val="clear" w:color="auto" w:fill="FFFFFF"/>
          <w:lang w:val="en-US"/>
        </w:rPr>
      </w:pPr>
    </w:p>
    <w:p w14:paraId="4C18E9EF" w14:textId="77777777" w:rsidR="0050353B" w:rsidRPr="006366DA" w:rsidRDefault="0050353B" w:rsidP="0050353B">
      <w:pPr>
        <w:rPr>
          <w:color w:val="222222"/>
          <w:shd w:val="clear" w:color="auto" w:fill="FFFFFF"/>
          <w:lang w:val="en-US"/>
        </w:rPr>
      </w:pPr>
      <w:r w:rsidRPr="006366DA">
        <w:rPr>
          <w:color w:val="222222"/>
          <w:shd w:val="clear" w:color="auto" w:fill="FFFFFF"/>
          <w:lang w:val="en-US"/>
        </w:rPr>
        <w:t>Eyng, V., Gomes, M., Câmpera, L., &amp; Hercos, A. (2022). Engagement in a citizen science Project in the Amazon basin. </w:t>
      </w:r>
      <w:r w:rsidRPr="006366DA">
        <w:rPr>
          <w:i/>
          <w:iCs/>
          <w:color w:val="222222"/>
          <w:shd w:val="clear" w:color="auto" w:fill="FFFFFF"/>
          <w:lang w:val="en-US"/>
        </w:rPr>
        <w:t>Citizen Science: Theory and Practice</w:t>
      </w:r>
      <w:r w:rsidRPr="006366DA">
        <w:rPr>
          <w:color w:val="222222"/>
          <w:shd w:val="clear" w:color="auto" w:fill="FFFFFF"/>
          <w:lang w:val="en-US"/>
        </w:rPr>
        <w:t>, </w:t>
      </w:r>
      <w:r w:rsidRPr="006366DA">
        <w:rPr>
          <w:i/>
          <w:iCs/>
          <w:color w:val="222222"/>
          <w:shd w:val="clear" w:color="auto" w:fill="FFFFFF"/>
          <w:lang w:val="en-US"/>
        </w:rPr>
        <w:t>7</w:t>
      </w:r>
      <w:r w:rsidRPr="006366DA">
        <w:rPr>
          <w:color w:val="222222"/>
          <w:shd w:val="clear" w:color="auto" w:fill="FFFFFF"/>
          <w:lang w:val="en-US"/>
        </w:rPr>
        <w:t>(1).</w:t>
      </w:r>
    </w:p>
    <w:p w14:paraId="72D35069" w14:textId="77777777" w:rsidR="0050353B" w:rsidRPr="006366DA" w:rsidRDefault="0050353B" w:rsidP="0050353B">
      <w:pPr>
        <w:rPr>
          <w:color w:val="222222"/>
          <w:shd w:val="clear" w:color="auto" w:fill="FFFFFF"/>
          <w:lang w:val="en-US"/>
        </w:rPr>
      </w:pPr>
    </w:p>
    <w:p w14:paraId="2FC0BD23" w14:textId="77777777" w:rsidR="0050353B" w:rsidRPr="006366DA" w:rsidRDefault="0050353B" w:rsidP="0050353B">
      <w:pPr>
        <w:rPr>
          <w:color w:val="222222"/>
          <w:lang w:val="en-US"/>
        </w:rPr>
      </w:pPr>
      <w:r w:rsidRPr="006366DA">
        <w:rPr>
          <w:color w:val="222222"/>
          <w:shd w:val="clear" w:color="auto" w:fill="FFFFFF"/>
          <w:lang w:val="en-US"/>
        </w:rPr>
        <w:t>Franklin, P. A., Sykes, J., Robbins, J., Booker, D. J., Bowie, S., Gee, E., &amp; Baker, C. F. (2022). A national fish passage barrier inventory to support fish passage policy implementation and estimate river connectivity in New Zealand. </w:t>
      </w:r>
      <w:r w:rsidRPr="006366DA">
        <w:rPr>
          <w:i/>
          <w:iCs/>
          <w:color w:val="222222"/>
          <w:shd w:val="clear" w:color="auto" w:fill="FFFFFF"/>
          <w:lang w:val="en-US"/>
        </w:rPr>
        <w:t>Ecological Informatics</w:t>
      </w:r>
      <w:r w:rsidRPr="006366DA">
        <w:rPr>
          <w:color w:val="222222"/>
          <w:shd w:val="clear" w:color="auto" w:fill="FFFFFF"/>
          <w:lang w:val="en-US"/>
        </w:rPr>
        <w:t>, </w:t>
      </w:r>
      <w:r w:rsidRPr="006366DA">
        <w:rPr>
          <w:i/>
          <w:iCs/>
          <w:color w:val="222222"/>
          <w:shd w:val="clear" w:color="auto" w:fill="FFFFFF"/>
          <w:lang w:val="en-US"/>
        </w:rPr>
        <w:t>71</w:t>
      </w:r>
      <w:r w:rsidRPr="006366DA">
        <w:rPr>
          <w:color w:val="222222"/>
          <w:shd w:val="clear" w:color="auto" w:fill="FFFFFF"/>
          <w:lang w:val="en-US"/>
        </w:rPr>
        <w:t>, 101831.</w:t>
      </w:r>
    </w:p>
    <w:p w14:paraId="1024BE43" w14:textId="77777777" w:rsidR="0050353B" w:rsidRPr="006366DA" w:rsidRDefault="0050353B" w:rsidP="0050353B">
      <w:pPr>
        <w:rPr>
          <w:color w:val="222222"/>
          <w:shd w:val="clear" w:color="auto" w:fill="FFFFFF"/>
          <w:lang w:val="en-US"/>
        </w:rPr>
      </w:pPr>
    </w:p>
    <w:p w14:paraId="6CA3BBF2" w14:textId="77777777" w:rsidR="0050353B" w:rsidRPr="006366DA" w:rsidRDefault="0050353B" w:rsidP="0050353B">
      <w:pPr>
        <w:rPr>
          <w:color w:val="222222"/>
          <w:shd w:val="clear" w:color="auto" w:fill="FFFFFF"/>
          <w:lang w:val="en-US"/>
        </w:rPr>
      </w:pPr>
      <w:r w:rsidRPr="006366DA">
        <w:rPr>
          <w:color w:val="222222"/>
          <w:shd w:val="clear" w:color="auto" w:fill="FFFFFF"/>
          <w:lang w:val="en-US"/>
        </w:rPr>
        <w:t>Hauser, D. D., Whiting, A. V., Mahoney, A. R., Goodwin, J., Harris, C., Schaeffer, R. J., ... &amp; Zappa, C. J. (2021). Co-production of knowledge reveals loss of Indigenous hunting opportunities in the face of accelerating Arctic climate change. </w:t>
      </w:r>
      <w:r w:rsidRPr="006366DA">
        <w:rPr>
          <w:i/>
          <w:iCs/>
          <w:color w:val="222222"/>
          <w:shd w:val="clear" w:color="auto" w:fill="FFFFFF"/>
          <w:lang w:val="en-US"/>
        </w:rPr>
        <w:t>Environmental Research Letters</w:t>
      </w:r>
      <w:r w:rsidRPr="006366DA">
        <w:rPr>
          <w:color w:val="222222"/>
          <w:shd w:val="clear" w:color="auto" w:fill="FFFFFF"/>
          <w:lang w:val="en-US"/>
        </w:rPr>
        <w:t>, </w:t>
      </w:r>
      <w:r w:rsidRPr="006366DA">
        <w:rPr>
          <w:i/>
          <w:iCs/>
          <w:color w:val="222222"/>
          <w:shd w:val="clear" w:color="auto" w:fill="FFFFFF"/>
          <w:lang w:val="en-US"/>
        </w:rPr>
        <w:t>16</w:t>
      </w:r>
      <w:r w:rsidRPr="006366DA">
        <w:rPr>
          <w:color w:val="222222"/>
          <w:shd w:val="clear" w:color="auto" w:fill="FFFFFF"/>
          <w:lang w:val="en-US"/>
        </w:rPr>
        <w:t>(9), 095003.</w:t>
      </w:r>
    </w:p>
    <w:p w14:paraId="606E282D" w14:textId="77777777" w:rsidR="0050353B" w:rsidRPr="006366DA" w:rsidRDefault="0050353B" w:rsidP="0050353B">
      <w:pPr>
        <w:rPr>
          <w:lang w:val="en-US"/>
        </w:rPr>
      </w:pPr>
    </w:p>
    <w:p w14:paraId="7D082A86" w14:textId="77777777" w:rsidR="0050353B" w:rsidRPr="006366DA" w:rsidRDefault="0050353B" w:rsidP="0050353B">
      <w:pPr>
        <w:rPr>
          <w:lang w:val="en-US"/>
        </w:rPr>
      </w:pPr>
      <w:r w:rsidRPr="006366DA">
        <w:rPr>
          <w:lang w:val="en-US"/>
        </w:rPr>
        <w:t xml:space="preserve">ICCA Consortiun (2023). </w:t>
      </w:r>
      <w:r w:rsidRPr="006366DA">
        <w:rPr>
          <w:color w:val="000000"/>
          <w:kern w:val="36"/>
          <w:lang w:val="en-US"/>
        </w:rPr>
        <w:t xml:space="preserve">Mapeo for ICCAs: new app to support Indigenous Peoples and local communities to document and map their territories of life. </w:t>
      </w:r>
    </w:p>
    <w:p w14:paraId="3D545143" w14:textId="77777777" w:rsidR="0050353B" w:rsidRPr="006366DA" w:rsidRDefault="0050353B" w:rsidP="0050353B">
      <w:pPr>
        <w:rPr>
          <w:lang w:val="en-US"/>
        </w:rPr>
      </w:pPr>
      <w:hyperlink r:id="rId8" w:history="1">
        <w:r w:rsidRPr="006366DA">
          <w:rPr>
            <w:rStyle w:val="Hyperlink"/>
            <w:lang w:val="en-US"/>
          </w:rPr>
          <w:t>https://www.iccaconsortium.org/2023/05/19/mapeo-for-iccas-app-support-indigenous-peoples-local-communities-document-map-territories-of-life/</w:t>
        </w:r>
      </w:hyperlink>
    </w:p>
    <w:p w14:paraId="66BE5779" w14:textId="77777777" w:rsidR="0050353B" w:rsidRPr="006366DA" w:rsidRDefault="0050353B" w:rsidP="0050353B">
      <w:pPr>
        <w:rPr>
          <w:color w:val="222222"/>
          <w:shd w:val="clear" w:color="auto" w:fill="FFFFFF"/>
          <w:lang w:val="en-US"/>
        </w:rPr>
      </w:pPr>
    </w:p>
    <w:p w14:paraId="2F2E9885" w14:textId="77777777" w:rsidR="0050353B" w:rsidRPr="006366DA" w:rsidRDefault="0050353B" w:rsidP="0050353B">
      <w:pPr>
        <w:rPr>
          <w:color w:val="222222"/>
          <w:shd w:val="clear" w:color="auto" w:fill="FFFFFF"/>
          <w:lang w:val="en-US"/>
        </w:rPr>
      </w:pPr>
      <w:r w:rsidRPr="006366DA">
        <w:rPr>
          <w:color w:val="222222"/>
          <w:shd w:val="clear" w:color="auto" w:fill="FFFFFF"/>
          <w:lang w:val="en-US"/>
        </w:rPr>
        <w:t xml:space="preserve">Jones, B., Unsworth, R., Cullen-Unsworth, L. C., &amp; Lilley, R. (2016). SeagrassSpotter. </w:t>
      </w:r>
      <w:hyperlink r:id="rId9" w:history="1">
        <w:r w:rsidRPr="006366DA">
          <w:rPr>
            <w:rStyle w:val="Hyperlink"/>
            <w:color w:val="3366BB"/>
            <w:shd w:val="clear" w:color="auto" w:fill="FFFFFF"/>
            <w:lang w:val="en-US"/>
          </w:rPr>
          <w:t>http://www.seagrassspotter.org</w:t>
        </w:r>
      </w:hyperlink>
    </w:p>
    <w:p w14:paraId="299DFECF" w14:textId="77777777" w:rsidR="0050353B" w:rsidRPr="006366DA" w:rsidRDefault="0050353B" w:rsidP="0050353B">
      <w:pPr>
        <w:rPr>
          <w:color w:val="222222"/>
          <w:shd w:val="clear" w:color="auto" w:fill="FFFFFF"/>
          <w:lang w:val="en-US"/>
        </w:rPr>
      </w:pPr>
    </w:p>
    <w:p w14:paraId="2D451288" w14:textId="77777777" w:rsidR="0050353B" w:rsidRPr="006366DA" w:rsidRDefault="0050353B" w:rsidP="0050353B">
      <w:pPr>
        <w:rPr>
          <w:color w:val="222222"/>
          <w:shd w:val="clear" w:color="auto" w:fill="FFFFFF"/>
          <w:lang w:val="en-US"/>
        </w:rPr>
      </w:pPr>
      <w:r w:rsidRPr="006366DA">
        <w:rPr>
          <w:color w:val="222222"/>
          <w:shd w:val="clear" w:color="auto" w:fill="FFFFFF"/>
          <w:lang w:val="en-US"/>
        </w:rPr>
        <w:t>Kirby, R. R., Beaugrand, G., Kleparski, L., Goodall, S., &amp; Lavender, S. (2021). Citizens and scientists collect comparable oceanographic data: measurements of ocean transparency from the Secchi Disk study and science programmes. </w:t>
      </w:r>
      <w:r w:rsidRPr="006366DA">
        <w:rPr>
          <w:i/>
          <w:iCs/>
          <w:color w:val="222222"/>
          <w:shd w:val="clear" w:color="auto" w:fill="FFFFFF"/>
          <w:lang w:val="en-US"/>
        </w:rPr>
        <w:t>Scientific Reports</w:t>
      </w:r>
      <w:r w:rsidRPr="006366DA">
        <w:rPr>
          <w:color w:val="222222"/>
          <w:shd w:val="clear" w:color="auto" w:fill="FFFFFF"/>
          <w:lang w:val="en-US"/>
        </w:rPr>
        <w:t>, </w:t>
      </w:r>
      <w:r w:rsidRPr="006366DA">
        <w:rPr>
          <w:i/>
          <w:iCs/>
          <w:color w:val="222222"/>
          <w:shd w:val="clear" w:color="auto" w:fill="FFFFFF"/>
          <w:lang w:val="en-US"/>
        </w:rPr>
        <w:t>11</w:t>
      </w:r>
      <w:r w:rsidRPr="006366DA">
        <w:rPr>
          <w:color w:val="222222"/>
          <w:shd w:val="clear" w:color="auto" w:fill="FFFFFF"/>
          <w:lang w:val="en-US"/>
        </w:rPr>
        <w:t>(1), 15499.</w:t>
      </w:r>
    </w:p>
    <w:tbl>
      <w:tblPr>
        <w:tblW w:w="6509" w:type="dxa"/>
        <w:shd w:val="clear" w:color="auto" w:fill="FFFFFF"/>
        <w:tblCellMar>
          <w:left w:w="0" w:type="dxa"/>
          <w:right w:w="0" w:type="dxa"/>
        </w:tblCellMar>
        <w:tblLook w:val="04A0" w:firstRow="1" w:lastRow="0" w:firstColumn="1" w:lastColumn="0" w:noHBand="0" w:noVBand="1"/>
      </w:tblPr>
      <w:tblGrid>
        <w:gridCol w:w="6509"/>
      </w:tblGrid>
      <w:tr w:rsidR="0050353B" w:rsidRPr="00631DA9" w14:paraId="5BFCD8BB" w14:textId="77777777" w:rsidTr="00BF066D">
        <w:tc>
          <w:tcPr>
            <w:tcW w:w="0" w:type="auto"/>
            <w:shd w:val="clear" w:color="auto" w:fill="FFFFFF"/>
            <w:vAlign w:val="center"/>
            <w:hideMark/>
          </w:tcPr>
          <w:p w14:paraId="4DE4C23F" w14:textId="77777777" w:rsidR="0050353B" w:rsidRPr="00631DA9" w:rsidRDefault="0050353B" w:rsidP="00BF066D"/>
        </w:tc>
      </w:tr>
    </w:tbl>
    <w:p w14:paraId="0E1362B7" w14:textId="77777777" w:rsidR="0050353B" w:rsidRDefault="0050353B" w:rsidP="0050353B">
      <w:pPr>
        <w:rPr>
          <w:color w:val="222222"/>
          <w:lang w:val="en-US"/>
        </w:rPr>
      </w:pPr>
    </w:p>
    <w:p w14:paraId="18BEC5B9" w14:textId="77777777" w:rsidR="0050353B" w:rsidRPr="006366DA" w:rsidRDefault="0050353B" w:rsidP="0050353B">
      <w:pPr>
        <w:rPr>
          <w:color w:val="222222"/>
          <w:lang w:val="en-US"/>
        </w:rPr>
      </w:pPr>
      <w:r w:rsidRPr="006366DA">
        <w:rPr>
          <w:color w:val="222222"/>
          <w:lang w:val="en-US"/>
        </w:rPr>
        <w:t>Lyver, P. O. B., Timoti, P., Jones, C. J., Richardson, S. J., Tahi, B. L., &amp; Greenhalgh, S. (2017). An indigenous community-based monitoring system for assessing forest health in New Zealand. </w:t>
      </w:r>
      <w:r w:rsidRPr="006366DA">
        <w:rPr>
          <w:i/>
          <w:iCs/>
          <w:color w:val="222222"/>
          <w:lang w:val="en-US"/>
        </w:rPr>
        <w:t>Biodiversity and Conservation</w:t>
      </w:r>
      <w:r w:rsidRPr="006366DA">
        <w:rPr>
          <w:color w:val="222222"/>
          <w:lang w:val="en-US"/>
        </w:rPr>
        <w:t>, </w:t>
      </w:r>
      <w:r w:rsidRPr="006366DA">
        <w:rPr>
          <w:i/>
          <w:iCs/>
          <w:color w:val="222222"/>
          <w:lang w:val="en-US"/>
        </w:rPr>
        <w:t>26</w:t>
      </w:r>
      <w:r w:rsidRPr="006366DA">
        <w:rPr>
          <w:color w:val="222222"/>
          <w:lang w:val="en-US"/>
        </w:rPr>
        <w:t>, 3183-3212</w:t>
      </w:r>
      <w:r>
        <w:rPr>
          <w:color w:val="222222"/>
          <w:lang w:val="en-US"/>
        </w:rPr>
        <w:t>.</w:t>
      </w:r>
    </w:p>
    <w:p w14:paraId="69B4095F" w14:textId="77777777" w:rsidR="0050353B" w:rsidRPr="006366DA" w:rsidRDefault="0050353B" w:rsidP="0050353B">
      <w:pPr>
        <w:rPr>
          <w:color w:val="222222"/>
          <w:lang w:val="en-US"/>
        </w:rPr>
      </w:pPr>
    </w:p>
    <w:p w14:paraId="3AD86012" w14:textId="77777777" w:rsidR="0050353B" w:rsidRPr="006366DA" w:rsidRDefault="0050353B" w:rsidP="0050353B">
      <w:pPr>
        <w:rPr>
          <w:color w:val="222222"/>
          <w:lang w:val="en-US"/>
        </w:rPr>
      </w:pPr>
      <w:r w:rsidRPr="006366DA">
        <w:rPr>
          <w:color w:val="222222"/>
          <w:lang w:val="en-US"/>
        </w:rPr>
        <w:t>Moustard, F., Haklay, M., Lewis, J., Albert, A., Moreu, M., Chiaravalloti, R., ... &amp; Artus, D. (2021). Using Sapelli in the field: Methods and data for an inclusive citizen science. </w:t>
      </w:r>
      <w:r w:rsidRPr="006366DA">
        <w:rPr>
          <w:i/>
          <w:iCs/>
          <w:color w:val="222222"/>
          <w:lang w:val="en-US"/>
        </w:rPr>
        <w:t>Frontiers in Ecology and Evolution</w:t>
      </w:r>
      <w:r w:rsidRPr="006366DA">
        <w:rPr>
          <w:color w:val="222222"/>
          <w:lang w:val="en-US"/>
        </w:rPr>
        <w:t>, </w:t>
      </w:r>
      <w:r w:rsidRPr="006366DA">
        <w:rPr>
          <w:i/>
          <w:iCs/>
          <w:color w:val="222222"/>
          <w:lang w:val="en-US"/>
        </w:rPr>
        <w:t>9</w:t>
      </w:r>
      <w:r w:rsidRPr="006366DA">
        <w:rPr>
          <w:color w:val="222222"/>
          <w:lang w:val="en-US"/>
        </w:rPr>
        <w:t>, 638870</w:t>
      </w:r>
      <w:r>
        <w:rPr>
          <w:color w:val="222222"/>
          <w:lang w:val="en-US"/>
        </w:rPr>
        <w:t>.</w:t>
      </w:r>
    </w:p>
    <w:p w14:paraId="19EA7539" w14:textId="77777777" w:rsidR="0050353B" w:rsidRPr="006366DA" w:rsidRDefault="0050353B" w:rsidP="0050353B">
      <w:pPr>
        <w:rPr>
          <w:color w:val="222222"/>
          <w:shd w:val="clear" w:color="auto" w:fill="FFFFFF"/>
          <w:lang w:val="en-US"/>
        </w:rPr>
      </w:pPr>
    </w:p>
    <w:p w14:paraId="529FC7A6" w14:textId="77777777" w:rsidR="0050353B" w:rsidRPr="006366DA" w:rsidRDefault="0050353B" w:rsidP="0050353B">
      <w:pPr>
        <w:rPr>
          <w:color w:val="222222"/>
          <w:shd w:val="clear" w:color="auto" w:fill="FFFFFF"/>
          <w:lang w:val="en-US"/>
        </w:rPr>
      </w:pPr>
      <w:r w:rsidRPr="006366DA">
        <w:rPr>
          <w:color w:val="222222"/>
          <w:shd w:val="clear" w:color="auto" w:fill="FFFFFF"/>
          <w:lang w:val="en-US"/>
        </w:rPr>
        <w:t>Mackinson, S., Brigden, K., Craig, J., Clarke, E. D., Angus, C., &amp; Pert, C. C. (2023). The road to incorporating Scottish pelagic industry data in science for stock assessments. </w:t>
      </w:r>
      <w:r w:rsidRPr="006366DA">
        <w:rPr>
          <w:i/>
          <w:iCs/>
          <w:color w:val="222222"/>
          <w:shd w:val="clear" w:color="auto" w:fill="FFFFFF"/>
          <w:lang w:val="en-US"/>
        </w:rPr>
        <w:t>Frontiers in Marine Science</w:t>
      </w:r>
      <w:r w:rsidRPr="006366DA">
        <w:rPr>
          <w:color w:val="222222"/>
          <w:shd w:val="clear" w:color="auto" w:fill="FFFFFF"/>
          <w:lang w:val="en-US"/>
        </w:rPr>
        <w:t>, </w:t>
      </w:r>
      <w:r w:rsidRPr="006366DA">
        <w:rPr>
          <w:i/>
          <w:iCs/>
          <w:color w:val="222222"/>
          <w:shd w:val="clear" w:color="auto" w:fill="FFFFFF"/>
          <w:lang w:val="en-US"/>
        </w:rPr>
        <w:t>10</w:t>
      </w:r>
      <w:r w:rsidRPr="006366DA">
        <w:rPr>
          <w:color w:val="222222"/>
          <w:shd w:val="clear" w:color="auto" w:fill="FFFFFF"/>
          <w:lang w:val="en-US"/>
        </w:rPr>
        <w:t>, 1075345.</w:t>
      </w:r>
    </w:p>
    <w:p w14:paraId="56BB1122" w14:textId="77777777" w:rsidR="0050353B" w:rsidRPr="006366DA" w:rsidRDefault="0050353B" w:rsidP="0050353B">
      <w:pPr>
        <w:rPr>
          <w:color w:val="222222"/>
          <w:shd w:val="clear" w:color="auto" w:fill="FFFFFF"/>
          <w:lang w:val="en-US"/>
        </w:rPr>
      </w:pPr>
    </w:p>
    <w:p w14:paraId="618D196B" w14:textId="77777777" w:rsidR="0050353B" w:rsidRPr="006366DA" w:rsidRDefault="0050353B" w:rsidP="0050353B">
      <w:pPr>
        <w:rPr>
          <w:color w:val="222222"/>
          <w:shd w:val="clear" w:color="auto" w:fill="FFFFFF"/>
          <w:lang w:val="en-US"/>
        </w:rPr>
      </w:pPr>
      <w:r w:rsidRPr="006366DA">
        <w:rPr>
          <w:color w:val="222222"/>
          <w:shd w:val="clear" w:color="auto" w:fill="FFFFFF"/>
          <w:lang w:val="en-US"/>
        </w:rPr>
        <w:t>Meeus, S., Silva-Rocha, I., Adriaens, T., Brown, P. M., Chartosia, N., Claramunt-López, B., ... &amp; Groom, Q. J. (2023). More than a Bit of Fun: The Multiple Outcomes of a Bioblitz. </w:t>
      </w:r>
      <w:r w:rsidRPr="006366DA">
        <w:rPr>
          <w:i/>
          <w:iCs/>
          <w:color w:val="222222"/>
          <w:shd w:val="clear" w:color="auto" w:fill="FFFFFF"/>
          <w:lang w:val="en-US"/>
        </w:rPr>
        <w:t>BioScience</w:t>
      </w:r>
      <w:r w:rsidRPr="006366DA">
        <w:rPr>
          <w:color w:val="222222"/>
          <w:shd w:val="clear" w:color="auto" w:fill="FFFFFF"/>
          <w:lang w:val="en-US"/>
        </w:rPr>
        <w:t>, </w:t>
      </w:r>
      <w:r w:rsidRPr="006366DA">
        <w:rPr>
          <w:i/>
          <w:iCs/>
          <w:color w:val="222222"/>
          <w:shd w:val="clear" w:color="auto" w:fill="FFFFFF"/>
          <w:lang w:val="en-US"/>
        </w:rPr>
        <w:t>73</w:t>
      </w:r>
      <w:r w:rsidRPr="006366DA">
        <w:rPr>
          <w:color w:val="222222"/>
          <w:shd w:val="clear" w:color="auto" w:fill="FFFFFF"/>
          <w:lang w:val="en-US"/>
        </w:rPr>
        <w:t>(3), 168-181.</w:t>
      </w:r>
    </w:p>
    <w:p w14:paraId="7D15166D" w14:textId="77777777" w:rsidR="0050353B" w:rsidRPr="006366DA" w:rsidRDefault="0050353B" w:rsidP="0050353B">
      <w:pPr>
        <w:rPr>
          <w:color w:val="222222"/>
          <w:shd w:val="clear" w:color="auto" w:fill="FFFFFF"/>
          <w:lang w:val="en-US"/>
        </w:rPr>
      </w:pPr>
    </w:p>
    <w:p w14:paraId="2D0A5DC4" w14:textId="77777777" w:rsidR="0050353B" w:rsidRPr="006366DA" w:rsidRDefault="0050353B" w:rsidP="0050353B">
      <w:pPr>
        <w:rPr>
          <w:color w:val="222222"/>
          <w:shd w:val="clear" w:color="auto" w:fill="FFFFFF"/>
          <w:lang w:val="en-US"/>
        </w:rPr>
      </w:pPr>
      <w:r w:rsidRPr="006366DA">
        <w:rPr>
          <w:color w:val="222222"/>
          <w:shd w:val="clear" w:color="auto" w:fill="FFFFFF"/>
          <w:lang w:val="en-US"/>
        </w:rPr>
        <w:t>Moshi, H. A., Kimirei, I., Shilla, D., O’Reilly, C., Wehrli, B., Ehrenfels, B., &amp; Loiselle, S. (2022). Citizen scientist monitoring accurately reveals nutrient pollution dynamics in Lake Tanganyika coastal waters. </w:t>
      </w:r>
      <w:r w:rsidRPr="006366DA">
        <w:rPr>
          <w:i/>
          <w:iCs/>
          <w:color w:val="222222"/>
          <w:shd w:val="clear" w:color="auto" w:fill="FFFFFF"/>
          <w:lang w:val="en-US"/>
        </w:rPr>
        <w:t>Environmental Monitoring and Assessment</w:t>
      </w:r>
      <w:r w:rsidRPr="006366DA">
        <w:rPr>
          <w:color w:val="222222"/>
          <w:shd w:val="clear" w:color="auto" w:fill="FFFFFF"/>
          <w:lang w:val="en-US"/>
        </w:rPr>
        <w:t>, </w:t>
      </w:r>
      <w:r w:rsidRPr="006366DA">
        <w:rPr>
          <w:i/>
          <w:iCs/>
          <w:color w:val="222222"/>
          <w:shd w:val="clear" w:color="auto" w:fill="FFFFFF"/>
          <w:lang w:val="en-US"/>
        </w:rPr>
        <w:t>194</w:t>
      </w:r>
      <w:r w:rsidRPr="006366DA">
        <w:rPr>
          <w:color w:val="222222"/>
          <w:shd w:val="clear" w:color="auto" w:fill="FFFFFF"/>
          <w:lang w:val="en-US"/>
        </w:rPr>
        <w:t>(10), 689.</w:t>
      </w:r>
    </w:p>
    <w:p w14:paraId="01BBFFF3" w14:textId="77777777" w:rsidR="0050353B" w:rsidRPr="006366DA" w:rsidRDefault="0050353B" w:rsidP="0050353B">
      <w:pPr>
        <w:rPr>
          <w:color w:val="222222"/>
          <w:shd w:val="clear" w:color="auto" w:fill="FFFFFF"/>
          <w:lang w:val="en-US"/>
        </w:rPr>
      </w:pPr>
    </w:p>
    <w:p w14:paraId="2456B54B" w14:textId="77777777" w:rsidR="0050353B" w:rsidRPr="006366DA" w:rsidRDefault="0050353B" w:rsidP="0050353B">
      <w:pPr>
        <w:rPr>
          <w:color w:val="222222"/>
          <w:lang w:val="en-US"/>
        </w:rPr>
      </w:pPr>
      <w:r w:rsidRPr="006366DA">
        <w:rPr>
          <w:color w:val="222222"/>
          <w:lang w:val="en-US"/>
        </w:rPr>
        <w:t>Pecl, G. T., Stuart-Smith, J., Walsh, P., Bray, D. J., Kusetic, M., Burgess, M., ... &amp; Moltschaniwskyj, N. (2019). Redmap Australia: challenges and successes with a large-scale citizen science-based approach to ecological monitoring and community engagement on climate change. </w:t>
      </w:r>
      <w:r w:rsidRPr="006366DA">
        <w:rPr>
          <w:i/>
          <w:iCs/>
          <w:color w:val="222222"/>
          <w:lang w:val="en-US"/>
        </w:rPr>
        <w:t>Frontiers in Marine Science</w:t>
      </w:r>
      <w:r w:rsidRPr="006366DA">
        <w:rPr>
          <w:color w:val="222222"/>
          <w:lang w:val="en-US"/>
        </w:rPr>
        <w:t>, 349</w:t>
      </w:r>
      <w:r>
        <w:rPr>
          <w:color w:val="222222"/>
          <w:lang w:val="en-US"/>
        </w:rPr>
        <w:t>.</w:t>
      </w:r>
    </w:p>
    <w:p w14:paraId="2D75B193" w14:textId="77777777" w:rsidR="0050353B" w:rsidRPr="006366DA" w:rsidRDefault="0050353B" w:rsidP="0050353B">
      <w:pPr>
        <w:rPr>
          <w:color w:val="222222"/>
          <w:lang w:val="en-US"/>
        </w:rPr>
      </w:pPr>
    </w:p>
    <w:p w14:paraId="172A2F25" w14:textId="77777777" w:rsidR="0050353B" w:rsidRPr="006366DA" w:rsidRDefault="0050353B" w:rsidP="0050353B">
      <w:pPr>
        <w:rPr>
          <w:color w:val="222222"/>
          <w:shd w:val="clear" w:color="auto" w:fill="FFFFFF"/>
          <w:lang w:val="en-US"/>
        </w:rPr>
      </w:pPr>
      <w:r w:rsidRPr="006366DA">
        <w:rPr>
          <w:color w:val="222222"/>
          <w:shd w:val="clear" w:color="auto" w:fill="FFFFFF"/>
          <w:lang w:val="en-US"/>
        </w:rPr>
        <w:t>Perzia, P., Cillari, T., Crociata, G., Deidun, A., Falautano, M., Franzitta, G., ... &amp; Castriota, L. (2023). Using Local Ecological Knowledge to Search for Non-Native Species in Natura 2000 Sites in the Central Mediterranean Sea: An Approach to Identify New Arrivals and Hotspot Areas. </w:t>
      </w:r>
      <w:r w:rsidRPr="006366DA">
        <w:rPr>
          <w:i/>
          <w:iCs/>
          <w:color w:val="222222"/>
          <w:shd w:val="clear" w:color="auto" w:fill="FFFFFF"/>
          <w:lang w:val="en-US"/>
        </w:rPr>
        <w:t>Biology</w:t>
      </w:r>
      <w:r w:rsidRPr="006366DA">
        <w:rPr>
          <w:color w:val="222222"/>
          <w:shd w:val="clear" w:color="auto" w:fill="FFFFFF"/>
          <w:lang w:val="en-US"/>
        </w:rPr>
        <w:t>, </w:t>
      </w:r>
      <w:r w:rsidRPr="006366DA">
        <w:rPr>
          <w:i/>
          <w:iCs/>
          <w:color w:val="222222"/>
          <w:shd w:val="clear" w:color="auto" w:fill="FFFFFF"/>
          <w:lang w:val="en-US"/>
        </w:rPr>
        <w:t>12</w:t>
      </w:r>
      <w:r w:rsidRPr="006366DA">
        <w:rPr>
          <w:color w:val="222222"/>
          <w:shd w:val="clear" w:color="auto" w:fill="FFFFFF"/>
          <w:lang w:val="en-US"/>
        </w:rPr>
        <w:t>(9), 1158.</w:t>
      </w:r>
    </w:p>
    <w:p w14:paraId="485F50A5" w14:textId="77777777" w:rsidR="0050353B" w:rsidRPr="006366DA" w:rsidRDefault="0050353B" w:rsidP="0050353B">
      <w:pPr>
        <w:rPr>
          <w:color w:val="222222"/>
          <w:shd w:val="clear" w:color="auto" w:fill="FFFFFF"/>
          <w:lang w:val="en-US"/>
        </w:rPr>
      </w:pPr>
    </w:p>
    <w:p w14:paraId="0BA5983F" w14:textId="77777777" w:rsidR="0050353B" w:rsidRPr="006366DA" w:rsidRDefault="0050353B" w:rsidP="0050353B">
      <w:pPr>
        <w:rPr>
          <w:color w:val="222222"/>
          <w:lang w:val="en-US"/>
        </w:rPr>
      </w:pPr>
      <w:r w:rsidRPr="006366DA">
        <w:rPr>
          <w:color w:val="222222"/>
          <w:lang w:val="en-US"/>
        </w:rPr>
        <w:t>Reed, G., Brunet, N. D., Longboat, S., &amp; Natcher, D. C. (2021). Indigenous guardians as an emerging approach to indigenous environmental governance. </w:t>
      </w:r>
      <w:r w:rsidRPr="006366DA">
        <w:rPr>
          <w:i/>
          <w:iCs/>
          <w:color w:val="222222"/>
        </w:rPr>
        <w:t>Conservation Biology</w:t>
      </w:r>
      <w:r w:rsidRPr="006366DA">
        <w:rPr>
          <w:color w:val="222222"/>
        </w:rPr>
        <w:t>, </w:t>
      </w:r>
      <w:r w:rsidRPr="006366DA">
        <w:rPr>
          <w:i/>
          <w:iCs/>
          <w:color w:val="222222"/>
        </w:rPr>
        <w:t>35</w:t>
      </w:r>
      <w:r w:rsidRPr="006366DA">
        <w:rPr>
          <w:color w:val="222222"/>
        </w:rPr>
        <w:t>(1), 179-189</w:t>
      </w:r>
      <w:r>
        <w:rPr>
          <w:color w:val="222222"/>
        </w:rPr>
        <w:t>.</w:t>
      </w:r>
    </w:p>
    <w:tbl>
      <w:tblPr>
        <w:tblW w:w="6183" w:type="dxa"/>
        <w:shd w:val="clear" w:color="auto" w:fill="FFFFFF"/>
        <w:tblCellMar>
          <w:left w:w="0" w:type="dxa"/>
          <w:right w:w="0" w:type="dxa"/>
        </w:tblCellMar>
        <w:tblLook w:val="04A0" w:firstRow="1" w:lastRow="0" w:firstColumn="1" w:lastColumn="0" w:noHBand="0" w:noVBand="1"/>
      </w:tblPr>
      <w:tblGrid>
        <w:gridCol w:w="6183"/>
      </w:tblGrid>
      <w:tr w:rsidR="0050353B" w:rsidRPr="00631DA9" w14:paraId="08A919BF" w14:textId="77777777" w:rsidTr="00BF066D">
        <w:tc>
          <w:tcPr>
            <w:tcW w:w="0" w:type="auto"/>
            <w:shd w:val="clear" w:color="auto" w:fill="FFFFFF"/>
            <w:vAlign w:val="center"/>
            <w:hideMark/>
          </w:tcPr>
          <w:p w14:paraId="6ACE553E" w14:textId="77777777" w:rsidR="0050353B" w:rsidRPr="00631DA9" w:rsidRDefault="0050353B" w:rsidP="00BF066D"/>
        </w:tc>
      </w:tr>
    </w:tbl>
    <w:p w14:paraId="5A4D6F5B" w14:textId="77777777" w:rsidR="0050353B" w:rsidRPr="006366DA" w:rsidRDefault="0050353B" w:rsidP="0050353B">
      <w:pPr>
        <w:rPr>
          <w:color w:val="222222"/>
          <w:shd w:val="clear" w:color="auto" w:fill="FFFFFF"/>
        </w:rPr>
      </w:pPr>
    </w:p>
    <w:p w14:paraId="67B5CE06" w14:textId="77777777" w:rsidR="0050353B" w:rsidRPr="006366DA" w:rsidRDefault="0050353B" w:rsidP="0050353B">
      <w:pPr>
        <w:rPr>
          <w:color w:val="222222"/>
          <w:shd w:val="clear" w:color="auto" w:fill="FFFFFF"/>
          <w:lang w:val="en-US"/>
        </w:rPr>
      </w:pPr>
      <w:r w:rsidRPr="006366DA">
        <w:rPr>
          <w:color w:val="222222"/>
          <w:shd w:val="clear" w:color="auto" w:fill="FFFFFF"/>
          <w:lang w:val="en-US"/>
        </w:rPr>
        <w:t>Sheil, D., Boissière, M., &amp; Beaudoin, G. (2015). Unseen sentinels: local monitoring and control in conservation’s blind spots. </w:t>
      </w:r>
      <w:r w:rsidRPr="006366DA">
        <w:rPr>
          <w:i/>
          <w:iCs/>
          <w:color w:val="222222"/>
          <w:shd w:val="clear" w:color="auto" w:fill="FFFFFF"/>
          <w:lang w:val="en-US"/>
        </w:rPr>
        <w:t>Ecology and Society</w:t>
      </w:r>
      <w:r w:rsidRPr="006366DA">
        <w:rPr>
          <w:color w:val="222222"/>
          <w:shd w:val="clear" w:color="auto" w:fill="FFFFFF"/>
          <w:lang w:val="en-US"/>
        </w:rPr>
        <w:t>, </w:t>
      </w:r>
      <w:r w:rsidRPr="006366DA">
        <w:rPr>
          <w:i/>
          <w:iCs/>
          <w:color w:val="222222"/>
          <w:shd w:val="clear" w:color="auto" w:fill="FFFFFF"/>
          <w:lang w:val="en-US"/>
        </w:rPr>
        <w:t>20</w:t>
      </w:r>
      <w:r w:rsidRPr="006366DA">
        <w:rPr>
          <w:color w:val="222222"/>
          <w:shd w:val="clear" w:color="auto" w:fill="FFFFFF"/>
          <w:lang w:val="en-US"/>
        </w:rPr>
        <w:t>(2).</w:t>
      </w:r>
    </w:p>
    <w:p w14:paraId="44AD9F76" w14:textId="77777777" w:rsidR="0050353B" w:rsidRPr="006366DA" w:rsidRDefault="0050353B" w:rsidP="0050353B">
      <w:pPr>
        <w:rPr>
          <w:color w:val="222222"/>
          <w:shd w:val="clear" w:color="auto" w:fill="FFFFFF"/>
          <w:lang w:val="en-US"/>
        </w:rPr>
      </w:pPr>
    </w:p>
    <w:p w14:paraId="53CB3F31" w14:textId="77777777" w:rsidR="0050353B" w:rsidRPr="006366DA" w:rsidRDefault="0050353B" w:rsidP="0050353B">
      <w:pPr>
        <w:rPr>
          <w:color w:val="222222"/>
          <w:shd w:val="clear" w:color="auto" w:fill="FFFFFF"/>
          <w:lang w:val="en-US"/>
        </w:rPr>
      </w:pPr>
      <w:r w:rsidRPr="006366DA">
        <w:rPr>
          <w:color w:val="222222"/>
          <w:shd w:val="clear" w:color="auto" w:fill="FFFFFF"/>
          <w:lang w:val="en-US"/>
        </w:rPr>
        <w:t>Shivambu, T. C., Shivambu, N., &amp; Downs, C. T. (2022). Citizen science survey of non-native Rose-ringed Parakeets Psittacula krameri in the Durban metropole, KwaZulu-Natal, South Africa. </w:t>
      </w:r>
      <w:r w:rsidRPr="006366DA">
        <w:rPr>
          <w:i/>
          <w:iCs/>
          <w:color w:val="222222"/>
          <w:shd w:val="clear" w:color="auto" w:fill="FFFFFF"/>
          <w:lang w:val="en-US"/>
        </w:rPr>
        <w:t>African Zoology</w:t>
      </w:r>
      <w:r w:rsidRPr="006366DA">
        <w:rPr>
          <w:color w:val="222222"/>
          <w:shd w:val="clear" w:color="auto" w:fill="FFFFFF"/>
          <w:lang w:val="en-US"/>
        </w:rPr>
        <w:t>, </w:t>
      </w:r>
      <w:r w:rsidRPr="006366DA">
        <w:rPr>
          <w:i/>
          <w:iCs/>
          <w:color w:val="222222"/>
          <w:shd w:val="clear" w:color="auto" w:fill="FFFFFF"/>
          <w:lang w:val="en-US"/>
        </w:rPr>
        <w:t>57</w:t>
      </w:r>
      <w:r w:rsidRPr="006366DA">
        <w:rPr>
          <w:color w:val="222222"/>
          <w:shd w:val="clear" w:color="auto" w:fill="FFFFFF"/>
          <w:lang w:val="en-US"/>
        </w:rPr>
        <w:t>(2), 90-97.</w:t>
      </w:r>
    </w:p>
    <w:p w14:paraId="37442606" w14:textId="77777777" w:rsidR="0050353B" w:rsidRPr="006366DA" w:rsidRDefault="0050353B" w:rsidP="0050353B">
      <w:pPr>
        <w:rPr>
          <w:color w:val="222222"/>
          <w:shd w:val="clear" w:color="auto" w:fill="FFFFFF"/>
          <w:lang w:val="en-US"/>
        </w:rPr>
      </w:pPr>
    </w:p>
    <w:p w14:paraId="4C738B3F" w14:textId="77777777" w:rsidR="0050353B" w:rsidRPr="006366DA" w:rsidRDefault="0050353B" w:rsidP="0050353B">
      <w:pPr>
        <w:rPr>
          <w:color w:val="222222"/>
          <w:shd w:val="clear" w:color="auto" w:fill="FFFFFF"/>
          <w:lang w:val="en-US"/>
        </w:rPr>
      </w:pPr>
      <w:r w:rsidRPr="006366DA">
        <w:rPr>
          <w:color w:val="222222"/>
          <w:shd w:val="clear" w:color="auto" w:fill="FFFFFF"/>
          <w:lang w:val="en-US"/>
        </w:rPr>
        <w:t>Soroye, P., Edwards, B. P., Buxton, R. T., Ethier, J. P., Frempong‐Manso, A., Keefe, H. E., ... &amp; Bennett, J. R. (2022). The risks and rewards of community science for threatened species monitoring. </w:t>
      </w:r>
      <w:r w:rsidRPr="006366DA">
        <w:rPr>
          <w:i/>
          <w:iCs/>
          <w:color w:val="222222"/>
          <w:shd w:val="clear" w:color="auto" w:fill="FFFFFF"/>
          <w:lang w:val="en-US"/>
        </w:rPr>
        <w:t>Conservation Science and Practice</w:t>
      </w:r>
      <w:r w:rsidRPr="006366DA">
        <w:rPr>
          <w:color w:val="222222"/>
          <w:shd w:val="clear" w:color="auto" w:fill="FFFFFF"/>
          <w:lang w:val="en-US"/>
        </w:rPr>
        <w:t>, </w:t>
      </w:r>
      <w:r w:rsidRPr="006366DA">
        <w:rPr>
          <w:i/>
          <w:iCs/>
          <w:color w:val="222222"/>
          <w:shd w:val="clear" w:color="auto" w:fill="FFFFFF"/>
          <w:lang w:val="en-US"/>
        </w:rPr>
        <w:t>4</w:t>
      </w:r>
      <w:r w:rsidRPr="006366DA">
        <w:rPr>
          <w:color w:val="222222"/>
          <w:shd w:val="clear" w:color="auto" w:fill="FFFFFF"/>
          <w:lang w:val="en-US"/>
        </w:rPr>
        <w:t>(9), e12788.</w:t>
      </w:r>
    </w:p>
    <w:p w14:paraId="07B1CC47" w14:textId="77777777" w:rsidR="0050353B" w:rsidRPr="006366DA" w:rsidRDefault="0050353B" w:rsidP="0050353B">
      <w:pPr>
        <w:rPr>
          <w:lang w:val="en-US"/>
        </w:rPr>
      </w:pPr>
    </w:p>
    <w:p w14:paraId="4AF671D8" w14:textId="77777777" w:rsidR="0050353B" w:rsidRPr="006366DA" w:rsidRDefault="0050353B" w:rsidP="0050353B">
      <w:pPr>
        <w:rPr>
          <w:color w:val="222222"/>
          <w:lang w:val="en-US"/>
        </w:rPr>
      </w:pPr>
      <w:r w:rsidRPr="006366DA">
        <w:rPr>
          <w:color w:val="222222"/>
          <w:lang w:val="en-US"/>
        </w:rPr>
        <w:t>Støttrup, J. G., Kokkalis, A., Brown, E. J., Olsen, J., Andersen, S. K., &amp; Pedersen, E. M. (2018). Harvesting geo-spatial data on coastal fish assemblages through coordinated citizen science. </w:t>
      </w:r>
      <w:r w:rsidRPr="006366DA">
        <w:rPr>
          <w:i/>
          <w:iCs/>
          <w:color w:val="222222"/>
          <w:lang w:val="en-US"/>
        </w:rPr>
        <w:t>Fisheries Research</w:t>
      </w:r>
      <w:r w:rsidRPr="006366DA">
        <w:rPr>
          <w:color w:val="222222"/>
          <w:lang w:val="en-US"/>
        </w:rPr>
        <w:t>, </w:t>
      </w:r>
      <w:r w:rsidRPr="006366DA">
        <w:rPr>
          <w:i/>
          <w:iCs/>
          <w:color w:val="222222"/>
          <w:lang w:val="en-US"/>
        </w:rPr>
        <w:t>208</w:t>
      </w:r>
      <w:r w:rsidRPr="006366DA">
        <w:rPr>
          <w:color w:val="222222"/>
          <w:lang w:val="en-US"/>
        </w:rPr>
        <w:t>, 86-96.</w:t>
      </w:r>
    </w:p>
    <w:p w14:paraId="6B7A5231" w14:textId="77777777" w:rsidR="0050353B" w:rsidRPr="006366DA" w:rsidRDefault="0050353B" w:rsidP="0050353B">
      <w:pPr>
        <w:rPr>
          <w:lang w:val="en-US"/>
        </w:rPr>
      </w:pPr>
    </w:p>
    <w:p w14:paraId="4EB02320" w14:textId="77777777" w:rsidR="0050353B" w:rsidRPr="006366DA" w:rsidRDefault="0050353B" w:rsidP="0050353B">
      <w:pPr>
        <w:rPr>
          <w:color w:val="222222"/>
          <w:shd w:val="clear" w:color="auto" w:fill="FFFFFF"/>
          <w:lang w:val="en-US"/>
        </w:rPr>
      </w:pPr>
      <w:r w:rsidRPr="006366DA">
        <w:rPr>
          <w:color w:val="222222"/>
          <w:shd w:val="clear" w:color="auto" w:fill="FFFFFF"/>
          <w:lang w:val="en-US"/>
        </w:rPr>
        <w:t>Taylor, P. J., Vise, C., Krishnamoorthy, M. A., Kingston, T., &amp; Venter, S. (2020). Citizen science confirms the rarity of fruit bat pollination of baobab (Adansonia digitata) flowers in Southern Africa. </w:t>
      </w:r>
      <w:r w:rsidRPr="006366DA">
        <w:rPr>
          <w:i/>
          <w:iCs/>
          <w:color w:val="222222"/>
          <w:shd w:val="clear" w:color="auto" w:fill="FFFFFF"/>
          <w:lang w:val="en-US"/>
        </w:rPr>
        <w:t>Diversity</w:t>
      </w:r>
      <w:r w:rsidRPr="006366DA">
        <w:rPr>
          <w:color w:val="222222"/>
          <w:shd w:val="clear" w:color="auto" w:fill="FFFFFF"/>
          <w:lang w:val="en-US"/>
        </w:rPr>
        <w:t>, </w:t>
      </w:r>
      <w:r w:rsidRPr="006366DA">
        <w:rPr>
          <w:i/>
          <w:iCs/>
          <w:color w:val="222222"/>
          <w:shd w:val="clear" w:color="auto" w:fill="FFFFFF"/>
          <w:lang w:val="en-US"/>
        </w:rPr>
        <w:t>12</w:t>
      </w:r>
      <w:r w:rsidRPr="006366DA">
        <w:rPr>
          <w:color w:val="222222"/>
          <w:shd w:val="clear" w:color="auto" w:fill="FFFFFF"/>
          <w:lang w:val="en-US"/>
        </w:rPr>
        <w:t>(3), 106.</w:t>
      </w:r>
    </w:p>
    <w:p w14:paraId="5640703E" w14:textId="77777777" w:rsidR="0050353B" w:rsidRPr="006366DA" w:rsidRDefault="0050353B" w:rsidP="0050353B">
      <w:pPr>
        <w:rPr>
          <w:color w:val="222222"/>
          <w:shd w:val="clear" w:color="auto" w:fill="FFFFFF"/>
          <w:lang w:val="en-US"/>
        </w:rPr>
      </w:pPr>
    </w:p>
    <w:p w14:paraId="011EF0C4" w14:textId="77777777" w:rsidR="0050353B" w:rsidRPr="006366DA" w:rsidRDefault="0050353B" w:rsidP="0050353B">
      <w:pPr>
        <w:rPr>
          <w:color w:val="222222"/>
          <w:shd w:val="clear" w:color="auto" w:fill="FFFFFF"/>
          <w:lang w:val="en-US"/>
        </w:rPr>
      </w:pPr>
      <w:r w:rsidRPr="006366DA">
        <w:rPr>
          <w:color w:val="222222"/>
          <w:shd w:val="clear" w:color="auto" w:fill="FFFFFF"/>
          <w:lang w:val="en-US"/>
        </w:rPr>
        <w:t>Tomasini, S., &amp; Theilade, I. (2019). Local ecological knowledge indicators for wild plant management: autonomous local monitoring in Prespa, Albania. </w:t>
      </w:r>
      <w:r w:rsidRPr="006366DA">
        <w:rPr>
          <w:i/>
          <w:iCs/>
          <w:color w:val="222222"/>
          <w:shd w:val="clear" w:color="auto" w:fill="FFFFFF"/>
          <w:lang w:val="en-US"/>
        </w:rPr>
        <w:t>Ecological Indicators</w:t>
      </w:r>
      <w:r w:rsidRPr="006366DA">
        <w:rPr>
          <w:color w:val="222222"/>
          <w:shd w:val="clear" w:color="auto" w:fill="FFFFFF"/>
          <w:lang w:val="en-US"/>
        </w:rPr>
        <w:t>, </w:t>
      </w:r>
      <w:r w:rsidRPr="006366DA">
        <w:rPr>
          <w:i/>
          <w:iCs/>
          <w:color w:val="222222"/>
          <w:shd w:val="clear" w:color="auto" w:fill="FFFFFF"/>
          <w:lang w:val="en-US"/>
        </w:rPr>
        <w:t>101</w:t>
      </w:r>
      <w:r w:rsidRPr="006366DA">
        <w:rPr>
          <w:color w:val="222222"/>
          <w:shd w:val="clear" w:color="auto" w:fill="FFFFFF"/>
          <w:lang w:val="en-US"/>
        </w:rPr>
        <w:t>, 1064-1076.</w:t>
      </w:r>
    </w:p>
    <w:p w14:paraId="1B073472" w14:textId="77777777" w:rsidR="0050353B" w:rsidRPr="006366DA" w:rsidRDefault="0050353B" w:rsidP="0050353B">
      <w:pPr>
        <w:rPr>
          <w:color w:val="222222"/>
          <w:lang w:val="en-US"/>
        </w:rPr>
      </w:pPr>
    </w:p>
    <w:p w14:paraId="7E73B774" w14:textId="77777777" w:rsidR="0050353B" w:rsidRPr="006366DA" w:rsidRDefault="0050353B" w:rsidP="0050353B">
      <w:pPr>
        <w:rPr>
          <w:rFonts w:eastAsiaTheme="minorHAnsi"/>
          <w:color w:val="222222"/>
          <w:kern w:val="2"/>
          <w:shd w:val="clear" w:color="auto" w:fill="FFFFFF"/>
          <w:lang w:val="en-US" w:eastAsia="en-US"/>
          <w14:ligatures w14:val="standardContextual"/>
        </w:rPr>
      </w:pPr>
      <w:r w:rsidRPr="006366DA">
        <w:rPr>
          <w:color w:val="222222"/>
          <w:shd w:val="clear" w:color="auto" w:fill="FFFFFF"/>
        </w:rPr>
        <w:lastRenderedPageBreak/>
        <w:t xml:space="preserve">Venturelli, P. A., Hyder, K., &amp; Skov, C. (2017). </w:t>
      </w:r>
      <w:r w:rsidRPr="006366DA">
        <w:rPr>
          <w:color w:val="222222"/>
          <w:shd w:val="clear" w:color="auto" w:fill="FFFFFF"/>
          <w:lang w:val="en-US"/>
        </w:rPr>
        <w:t>Angler apps as a source of recreational fisheries data: opportunities, challenges and proposed standards. </w:t>
      </w:r>
      <w:r w:rsidRPr="006366DA">
        <w:rPr>
          <w:i/>
          <w:iCs/>
          <w:color w:val="222222"/>
          <w:shd w:val="clear" w:color="auto" w:fill="FFFFFF"/>
          <w:lang w:val="en-US"/>
        </w:rPr>
        <w:t>Fish and Fisheries</w:t>
      </w:r>
      <w:r w:rsidRPr="006366DA">
        <w:rPr>
          <w:color w:val="222222"/>
          <w:shd w:val="clear" w:color="auto" w:fill="FFFFFF"/>
          <w:lang w:val="en-US"/>
        </w:rPr>
        <w:t>, </w:t>
      </w:r>
      <w:r w:rsidRPr="006366DA">
        <w:rPr>
          <w:i/>
          <w:iCs/>
          <w:color w:val="222222"/>
          <w:shd w:val="clear" w:color="auto" w:fill="FFFFFF"/>
          <w:lang w:val="en-US"/>
        </w:rPr>
        <w:t>18</w:t>
      </w:r>
      <w:r w:rsidRPr="006366DA">
        <w:rPr>
          <w:color w:val="222222"/>
          <w:shd w:val="clear" w:color="auto" w:fill="FFFFFF"/>
          <w:lang w:val="en-US"/>
        </w:rPr>
        <w:t>(3), 578-595.</w:t>
      </w:r>
    </w:p>
    <w:p w14:paraId="3851D1C4" w14:textId="77777777" w:rsidR="0050353B" w:rsidRPr="00241FEB" w:rsidRDefault="0050353B" w:rsidP="0050353B">
      <w:pPr>
        <w:rPr>
          <w:lang w:val="en-US"/>
        </w:rPr>
      </w:pPr>
    </w:p>
    <w:p w14:paraId="35E92EBC" w14:textId="77777777" w:rsidR="0050353B" w:rsidRPr="0065340D" w:rsidRDefault="0050353B" w:rsidP="0050353B">
      <w:pPr>
        <w:rPr>
          <w:color w:val="000000"/>
          <w:lang w:val="en-US"/>
        </w:rPr>
      </w:pPr>
      <w:r w:rsidRPr="0059762D">
        <w:rPr>
          <w:b/>
          <w:bCs/>
          <w:color w:val="000000" w:themeColor="text1"/>
          <w:lang w:val="en-US"/>
        </w:rPr>
        <w:t xml:space="preserve">Figure </w:t>
      </w:r>
      <w:r>
        <w:rPr>
          <w:b/>
          <w:bCs/>
          <w:color w:val="000000" w:themeColor="text1"/>
          <w:lang w:val="en-US"/>
        </w:rPr>
        <w:t>4</w:t>
      </w:r>
      <w:r w:rsidRPr="0059762D">
        <w:rPr>
          <w:b/>
          <w:bCs/>
          <w:color w:val="000000" w:themeColor="text1"/>
          <w:lang w:val="en-US"/>
        </w:rPr>
        <w:t xml:space="preserve"> Notes</w:t>
      </w:r>
      <w:r>
        <w:rPr>
          <w:b/>
          <w:bCs/>
          <w:color w:val="000000" w:themeColor="text1"/>
          <w:lang w:val="en-US"/>
        </w:rPr>
        <w:t>.</w:t>
      </w:r>
      <w:r>
        <w:rPr>
          <w:color w:val="000000" w:themeColor="text1"/>
          <w:lang w:val="en-US"/>
        </w:rPr>
        <w:t xml:space="preserve"> </w:t>
      </w:r>
      <w:r w:rsidRPr="0014719A">
        <w:rPr>
          <w:color w:val="000000" w:themeColor="text1"/>
          <w:lang w:val="en-US"/>
        </w:rPr>
        <w:t xml:space="preserve">For each group of indicators and agreement, the x-axis plots the proportion of indicators that can be measured by professional scientists </w:t>
      </w:r>
      <w:r>
        <w:rPr>
          <w:color w:val="000000" w:themeColor="text1"/>
          <w:lang w:val="en-US"/>
        </w:rPr>
        <w:t xml:space="preserve">and governmental statistical organizations </w:t>
      </w:r>
      <w:r w:rsidRPr="0014719A">
        <w:rPr>
          <w:color w:val="000000" w:themeColor="text1"/>
          <w:lang w:val="en-US"/>
        </w:rPr>
        <w:t xml:space="preserve">with the involvement of </w:t>
      </w:r>
      <w:r>
        <w:rPr>
          <w:color w:val="000000" w:themeColor="text1"/>
          <w:lang w:val="en-US"/>
        </w:rPr>
        <w:t>IPLCs and citizen scientists</w:t>
      </w:r>
      <w:r w:rsidRPr="0014719A">
        <w:rPr>
          <w:color w:val="000000" w:themeColor="text1"/>
          <w:lang w:val="en-US"/>
        </w:rPr>
        <w:t xml:space="preserve"> as data collectors. This indicates the extent to which the indicators are amenable to being monitored by monitoring programs of type C-D</w:t>
      </w:r>
      <w:r>
        <w:rPr>
          <w:color w:val="000000" w:themeColor="text1"/>
          <w:lang w:val="en-US"/>
        </w:rPr>
        <w:t xml:space="preserve"> (“contributory citizen science programs”)</w:t>
      </w:r>
      <w:r w:rsidRPr="0014719A">
        <w:rPr>
          <w:color w:val="000000" w:themeColor="text1"/>
          <w:lang w:val="en-US"/>
        </w:rPr>
        <w:t xml:space="preserve">. The y-axis plots the proportion of indicators that can be measured by </w:t>
      </w:r>
      <w:r>
        <w:rPr>
          <w:color w:val="000000" w:themeColor="text1"/>
          <w:lang w:val="en-US"/>
        </w:rPr>
        <w:t>IPLCs and citizen scientists</w:t>
      </w:r>
      <w:r w:rsidRPr="0014719A">
        <w:rPr>
          <w:color w:val="000000" w:themeColor="text1"/>
          <w:lang w:val="en-US"/>
        </w:rPr>
        <w:t>, who not only collect data but also process and interpret the data and present the findings to decision makers. This indicates the extent to which the agreement is amenable to being monitored by monitoring programs of type B</w:t>
      </w:r>
      <w:r>
        <w:rPr>
          <w:color w:val="000000" w:themeColor="text1"/>
          <w:lang w:val="en-US"/>
        </w:rPr>
        <w:t xml:space="preserve"> (“community-based monitoring programs")</w:t>
      </w:r>
      <w:r w:rsidRPr="0014719A">
        <w:rPr>
          <w:color w:val="000000" w:themeColor="text1"/>
          <w:lang w:val="en-US"/>
        </w:rPr>
        <w:t>.</w:t>
      </w:r>
      <w:r>
        <w:rPr>
          <w:color w:val="000000" w:themeColor="text1"/>
          <w:lang w:val="en-US"/>
        </w:rPr>
        <w:t xml:space="preserve"> </w:t>
      </w:r>
    </w:p>
    <w:p w14:paraId="4DB2B6AA" w14:textId="77777777" w:rsidR="0050353B" w:rsidRDefault="0050353B" w:rsidP="0050353B">
      <w:pPr>
        <w:rPr>
          <w:color w:val="000000" w:themeColor="text1"/>
          <w:lang w:val="en-US"/>
        </w:rPr>
      </w:pPr>
    </w:p>
    <w:p w14:paraId="5C1685D3" w14:textId="77777777" w:rsidR="0050353B" w:rsidRDefault="0050353B" w:rsidP="0050353B">
      <w:pPr>
        <w:rPr>
          <w:color w:val="000000" w:themeColor="text1"/>
          <w:lang w:val="en-US"/>
        </w:rPr>
      </w:pPr>
      <w:r w:rsidRPr="0059762D">
        <w:rPr>
          <w:b/>
          <w:bCs/>
          <w:color w:val="000000" w:themeColor="text1"/>
          <w:lang w:val="en-US"/>
        </w:rPr>
        <w:t>Abbreviations.</w:t>
      </w:r>
      <w:r>
        <w:rPr>
          <w:color w:val="000000" w:themeColor="text1"/>
          <w:lang w:val="en-US"/>
        </w:rPr>
        <w:t xml:space="preserve"> </w:t>
      </w:r>
      <w:r w:rsidRPr="00904799">
        <w:rPr>
          <w:color w:val="000000" w:themeColor="text1"/>
          <w:lang w:val="en-US"/>
        </w:rPr>
        <w:t xml:space="preserve">AEWA, Agreement on the Conservation of African-Eurasian Migratory Waterbirds; </w:t>
      </w:r>
      <w:r>
        <w:rPr>
          <w:color w:val="000000" w:themeColor="text1"/>
          <w:lang w:val="en-US"/>
        </w:rPr>
        <w:t>Aichi</w:t>
      </w:r>
      <w:r w:rsidRPr="00904799">
        <w:rPr>
          <w:color w:val="000000" w:themeColor="text1"/>
          <w:lang w:val="en-US"/>
        </w:rPr>
        <w:t xml:space="preserve">, Convention on Biological Diversity </w:t>
      </w:r>
      <w:r>
        <w:rPr>
          <w:color w:val="000000" w:themeColor="text1"/>
          <w:lang w:val="en-US"/>
        </w:rPr>
        <w:t>S</w:t>
      </w:r>
      <w:r w:rsidRPr="00904799">
        <w:rPr>
          <w:color w:val="000000" w:themeColor="text1"/>
          <w:lang w:val="en-US"/>
        </w:rPr>
        <w:t xml:space="preserve">trategic </w:t>
      </w:r>
      <w:r>
        <w:rPr>
          <w:color w:val="000000" w:themeColor="text1"/>
          <w:lang w:val="en-US"/>
        </w:rPr>
        <w:t>P</w:t>
      </w:r>
      <w:r w:rsidRPr="00904799">
        <w:rPr>
          <w:color w:val="000000" w:themeColor="text1"/>
          <w:lang w:val="en-US"/>
        </w:rPr>
        <w:t>lan 201</w:t>
      </w:r>
      <w:r>
        <w:rPr>
          <w:color w:val="000000" w:themeColor="text1"/>
          <w:lang w:val="en-US"/>
        </w:rPr>
        <w:t>1</w:t>
      </w:r>
      <w:r w:rsidRPr="00904799">
        <w:rPr>
          <w:color w:val="000000" w:themeColor="text1"/>
          <w:lang w:val="en-US"/>
        </w:rPr>
        <w:t>-2020 and the associated Aichi Biodiversity Targets; CBMP, Circumpolar Biodiversity Monitoring Program; CITES, Convention on International Trade in Endangered Species</w:t>
      </w:r>
      <w:r>
        <w:rPr>
          <w:color w:val="000000" w:themeColor="text1"/>
          <w:lang w:val="en-US"/>
        </w:rPr>
        <w:t xml:space="preserve"> of Wild Fauna and Flora</w:t>
      </w:r>
      <w:r w:rsidRPr="00904799">
        <w:rPr>
          <w:color w:val="000000" w:themeColor="text1"/>
          <w:lang w:val="en-US"/>
        </w:rPr>
        <w:t>; CMS, Convention on Migratory Species; IOSEA, Indian Ocean—South-East Asian Marine Turtle Memorandum of Understanding; OECD, Organization for Economic Cooperation and Development; Ramsar, Convention on Wetlands of International Importance; SEBI, Streamlining European 2010 Biodiversity Indicators; UNCCD, United Nations Convention to Combat Desertification; UNFCCC, United Nations Framework Convention on Climate Change; and WHC, World Heritage Convention.</w:t>
      </w:r>
    </w:p>
    <w:p w14:paraId="6718E955" w14:textId="77777777" w:rsidR="0050353B" w:rsidRDefault="0050353B" w:rsidP="0050353B">
      <w:pPr>
        <w:rPr>
          <w:b/>
          <w:bCs/>
          <w:color w:val="000000" w:themeColor="text1"/>
          <w:lang w:val="en-US"/>
        </w:rPr>
      </w:pPr>
    </w:p>
    <w:p w14:paraId="6712EADD" w14:textId="77777777" w:rsidR="00755780" w:rsidRDefault="00755780"/>
    <w:sectPr w:rsidR="00755780" w:rsidSect="00BF41A1">
      <w:footerReference w:type="even" r:id="rId10"/>
      <w:footerReference w:type="default" r:id="rId11"/>
      <w:pgSz w:w="11906" w:h="16838"/>
      <w:pgMar w:top="959"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B2F9C3" w14:textId="77777777" w:rsidR="00953325" w:rsidRDefault="0050353B" w:rsidP="003B6BA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3B248116" w14:textId="77777777" w:rsidR="00953325" w:rsidRDefault="0050353B" w:rsidP="003B6BA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792440833"/>
      <w:docPartObj>
        <w:docPartGallery w:val="Page Numbers (Bottom of Page)"/>
        <w:docPartUnique/>
      </w:docPartObj>
    </w:sdtPr>
    <w:sdtEndPr>
      <w:rPr>
        <w:rStyle w:val="PageNumber"/>
      </w:rPr>
    </w:sdtEndPr>
    <w:sdtContent>
      <w:p w14:paraId="764C241C" w14:textId="77777777" w:rsidR="00953325" w:rsidRDefault="0050353B" w:rsidP="003B6BA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2124028" w14:textId="77777777" w:rsidR="00953325" w:rsidRDefault="0050353B" w:rsidP="003B6BAA">
    <w:pPr>
      <w:pStyle w:val="Foote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CEB5F97"/>
    <w:multiLevelType w:val="hybridMultilevel"/>
    <w:tmpl w:val="DAD0E21E"/>
    <w:lvl w:ilvl="0" w:tplc="365EFAF0">
      <w:start w:val="1"/>
      <w:numFmt w:val="decimal"/>
      <w:lvlText w:val="%1."/>
      <w:lvlJc w:val="left"/>
      <w:pPr>
        <w:ind w:left="644" w:hanging="360"/>
      </w:pPr>
      <w:rPr>
        <w:vertAlign w:val="superscript"/>
      </w:rPr>
    </w:lvl>
    <w:lvl w:ilvl="1" w:tplc="04060019" w:tentative="1">
      <w:start w:val="1"/>
      <w:numFmt w:val="lowerLetter"/>
      <w:lvlText w:val="%2."/>
      <w:lvlJc w:val="left"/>
      <w:pPr>
        <w:ind w:left="1364" w:hanging="360"/>
      </w:pPr>
    </w:lvl>
    <w:lvl w:ilvl="2" w:tplc="0406001B" w:tentative="1">
      <w:start w:val="1"/>
      <w:numFmt w:val="lowerRoman"/>
      <w:lvlText w:val="%3."/>
      <w:lvlJc w:val="right"/>
      <w:pPr>
        <w:ind w:left="2084" w:hanging="180"/>
      </w:pPr>
    </w:lvl>
    <w:lvl w:ilvl="3" w:tplc="0406000F" w:tentative="1">
      <w:start w:val="1"/>
      <w:numFmt w:val="decimal"/>
      <w:lvlText w:val="%4."/>
      <w:lvlJc w:val="left"/>
      <w:pPr>
        <w:ind w:left="2804" w:hanging="360"/>
      </w:pPr>
    </w:lvl>
    <w:lvl w:ilvl="4" w:tplc="04060019" w:tentative="1">
      <w:start w:val="1"/>
      <w:numFmt w:val="lowerLetter"/>
      <w:lvlText w:val="%5."/>
      <w:lvlJc w:val="left"/>
      <w:pPr>
        <w:ind w:left="3524" w:hanging="360"/>
      </w:pPr>
    </w:lvl>
    <w:lvl w:ilvl="5" w:tplc="0406001B" w:tentative="1">
      <w:start w:val="1"/>
      <w:numFmt w:val="lowerRoman"/>
      <w:lvlText w:val="%6."/>
      <w:lvlJc w:val="right"/>
      <w:pPr>
        <w:ind w:left="4244" w:hanging="180"/>
      </w:pPr>
    </w:lvl>
    <w:lvl w:ilvl="6" w:tplc="0406000F" w:tentative="1">
      <w:start w:val="1"/>
      <w:numFmt w:val="decimal"/>
      <w:lvlText w:val="%7."/>
      <w:lvlJc w:val="left"/>
      <w:pPr>
        <w:ind w:left="4964" w:hanging="360"/>
      </w:pPr>
    </w:lvl>
    <w:lvl w:ilvl="7" w:tplc="04060019" w:tentative="1">
      <w:start w:val="1"/>
      <w:numFmt w:val="lowerLetter"/>
      <w:lvlText w:val="%8."/>
      <w:lvlJc w:val="left"/>
      <w:pPr>
        <w:ind w:left="5684" w:hanging="360"/>
      </w:pPr>
    </w:lvl>
    <w:lvl w:ilvl="8" w:tplc="0406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53B"/>
    <w:rsid w:val="0050353B"/>
    <w:rsid w:val="007557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C7590"/>
  <w15:chartTrackingRefBased/>
  <w15:docId w15:val="{A58EEA47-61B8-4D5C-8D4F-CA1384C63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353B"/>
    <w:pPr>
      <w:spacing w:after="0" w:line="240" w:lineRule="auto"/>
    </w:pPr>
    <w:rPr>
      <w:rFonts w:ascii="Times New Roman" w:eastAsia="Times New Roman" w:hAnsi="Times New Roman" w:cs="Times New Roman"/>
      <w:sz w:val="24"/>
      <w:szCs w:val="24"/>
      <w:lang w:val="da-DK"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353B"/>
    <w:pPr>
      <w:ind w:left="720"/>
      <w:contextualSpacing/>
    </w:pPr>
  </w:style>
  <w:style w:type="character" w:customStyle="1" w:styleId="apple-converted-space">
    <w:name w:val="apple-converted-space"/>
    <w:basedOn w:val="DefaultParagraphFont"/>
    <w:rsid w:val="0050353B"/>
  </w:style>
  <w:style w:type="character" w:styleId="Hyperlink">
    <w:name w:val="Hyperlink"/>
    <w:basedOn w:val="DefaultParagraphFont"/>
    <w:uiPriority w:val="99"/>
    <w:unhideWhenUsed/>
    <w:rsid w:val="0050353B"/>
    <w:rPr>
      <w:color w:val="0000FF"/>
      <w:u w:val="single"/>
    </w:rPr>
  </w:style>
  <w:style w:type="paragraph" w:styleId="Footer">
    <w:name w:val="footer"/>
    <w:basedOn w:val="Normal"/>
    <w:link w:val="FooterChar"/>
    <w:uiPriority w:val="99"/>
    <w:unhideWhenUsed/>
    <w:rsid w:val="0050353B"/>
    <w:pPr>
      <w:tabs>
        <w:tab w:val="center" w:pos="4819"/>
        <w:tab w:val="right" w:pos="9638"/>
      </w:tabs>
    </w:pPr>
  </w:style>
  <w:style w:type="character" w:customStyle="1" w:styleId="FooterChar">
    <w:name w:val="Footer Char"/>
    <w:basedOn w:val="DefaultParagraphFont"/>
    <w:link w:val="Footer"/>
    <w:uiPriority w:val="99"/>
    <w:rsid w:val="0050353B"/>
    <w:rPr>
      <w:rFonts w:ascii="Times New Roman" w:eastAsia="Times New Roman" w:hAnsi="Times New Roman" w:cs="Times New Roman"/>
      <w:sz w:val="24"/>
      <w:szCs w:val="24"/>
      <w:lang w:val="da-DK" w:eastAsia="da-DK"/>
    </w:rPr>
  </w:style>
  <w:style w:type="character" w:styleId="PageNumber">
    <w:name w:val="page number"/>
    <w:basedOn w:val="DefaultParagraphFont"/>
    <w:uiPriority w:val="99"/>
    <w:semiHidden/>
    <w:unhideWhenUsed/>
    <w:rsid w:val="005035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ccaconsortium.org/2023/05/19/mapeo-for-iccas-app-support-indigenous-peoples-local-communities-document-map-territories-of-lif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footer" Target="footer2.xml"/><Relationship Id="rId5" Type="http://schemas.openxmlformats.org/officeDocument/2006/relationships/hyperlink" Target="mailto:fd@nordeco.dk"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seagrassspotte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1827</Words>
  <Characters>10420</Characters>
  <Application>Microsoft Office Word</Application>
  <DocSecurity>0</DocSecurity>
  <Lines>86</Lines>
  <Paragraphs>24</Paragraphs>
  <ScaleCrop>false</ScaleCrop>
  <Company>Springer Nature</Company>
  <LinksUpToDate>false</LinksUpToDate>
  <CharactersWithSpaces>12223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2023-10-06T02:32:00Z</dcterms:created>
  <dcterms:modified xsi:type="dcterms:W3CDTF">2023-10-06T02:32:00Z</dcterms:modified>
</cp:coreProperties>
</file>