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38370" w14:textId="3DA0DB62" w:rsidR="00ED24EA" w:rsidRPr="00B12F3B" w:rsidRDefault="00ED24EA" w:rsidP="00B12F3B">
      <w:pPr>
        <w:spacing w:line="480" w:lineRule="auto"/>
        <w:rPr>
          <w:rFonts w:eastAsia="ＭＳ 明朝"/>
          <w:b/>
          <w:bCs/>
        </w:rPr>
      </w:pPr>
      <w:r w:rsidRPr="00B12F3B">
        <w:rPr>
          <w:rFonts w:eastAsia="ＭＳ 明朝"/>
          <w:b/>
          <w:bCs/>
        </w:rPr>
        <w:t>Supplemental Materials</w:t>
      </w:r>
    </w:p>
    <w:p w14:paraId="7B260AD8" w14:textId="77777777" w:rsidR="00ED24EA" w:rsidRPr="00B12F3B" w:rsidRDefault="00ED24EA" w:rsidP="00B12F3B">
      <w:pPr>
        <w:spacing w:line="480" w:lineRule="auto"/>
        <w:rPr>
          <w:rFonts w:eastAsia="ＭＳ 明朝"/>
        </w:rPr>
      </w:pPr>
    </w:p>
    <w:p w14:paraId="526E84DC" w14:textId="1173DE39" w:rsidR="00ED24EA" w:rsidRPr="00B12F3B" w:rsidRDefault="00ED24EA" w:rsidP="00B12F3B">
      <w:pPr>
        <w:spacing w:line="480" w:lineRule="auto"/>
        <w:rPr>
          <w:rFonts w:eastAsia="ＭＳ 明朝"/>
          <w:b/>
          <w:bCs/>
        </w:rPr>
      </w:pPr>
      <w:r w:rsidRPr="00B12F3B">
        <w:rPr>
          <w:rFonts w:eastAsia="ＭＳ 明朝"/>
          <w:b/>
          <w:bCs/>
        </w:rPr>
        <w:t>Supplemental Methods</w:t>
      </w:r>
    </w:p>
    <w:p w14:paraId="74EBC1DD" w14:textId="77777777" w:rsidR="00ED24EA" w:rsidRPr="00B12F3B" w:rsidRDefault="00ED24EA" w:rsidP="00B12F3B">
      <w:pPr>
        <w:spacing w:line="480" w:lineRule="auto"/>
        <w:rPr>
          <w:rFonts w:eastAsia="ＭＳ 明朝"/>
          <w:i/>
          <w:iCs/>
          <w:u w:val="single"/>
        </w:rPr>
      </w:pPr>
      <w:r w:rsidRPr="00B12F3B">
        <w:rPr>
          <w:rFonts w:eastAsia="ＭＳ 明朝"/>
          <w:i/>
          <w:iCs/>
          <w:u w:val="single"/>
        </w:rPr>
        <w:t>S1. Study participants</w:t>
      </w:r>
    </w:p>
    <w:p w14:paraId="1379223D" w14:textId="77777777" w:rsidR="00ED24EA" w:rsidRPr="00B12F3B" w:rsidRDefault="00ED24EA" w:rsidP="00B12F3B">
      <w:pPr>
        <w:spacing w:line="480" w:lineRule="auto"/>
        <w:rPr>
          <w:rFonts w:eastAsia="ＭＳ 明朝"/>
        </w:rPr>
      </w:pPr>
      <w:r w:rsidRPr="00B12F3B">
        <w:rPr>
          <w:rFonts w:eastAsia="ＭＳ 明朝"/>
        </w:rPr>
        <w:t xml:space="preserve"> Of 45 patients, 13 patients had received indirect revascularization surgery (3 left, 2 right and 8 bilateral) more than 2 years before inclusion and were clinically stable. All patients completed a series of MRI scans and cognitive tests within an interval (median ± interquartile range) of 8 ± 8 days. The interval between the PET and MRI examinations was 35 ± 26 days; the patients’ symptoms were unchanged during that interval, and no new lesions appeared on the second imaging examination.</w:t>
      </w:r>
    </w:p>
    <w:p w14:paraId="292347D1" w14:textId="77777777" w:rsidR="00ED24EA" w:rsidRPr="00B12F3B" w:rsidRDefault="00ED24EA" w:rsidP="00B12F3B">
      <w:pPr>
        <w:spacing w:line="480" w:lineRule="auto"/>
        <w:rPr>
          <w:rFonts w:eastAsia="ＭＳ 明朝"/>
        </w:rPr>
      </w:pPr>
      <w:r w:rsidRPr="00B12F3B">
        <w:rPr>
          <w:rFonts w:eastAsia="ＭＳ 明朝"/>
        </w:rPr>
        <w:t>On the basis of clinical information, the two hemispheres of each participant were categorized into the following four groups by the consensus of two authors (S.H. and T.N.)(1): “Normal”, hemispheres of all healthy subjects and healthy hemispheres (i.e., no vascular lesions) of patients with unilateral disease; “Asymptomatic”, hemispheres with mild hemodynamic changes and postoperative hemispheres; “Symptomatic”, hemispheres with focal ischemic symptoms and/or hemodynamic impairment; and “Infarcted”, all hemispheres harboring cortical infarctions or large (&gt;10 mm) white matter infarctions.</w:t>
      </w:r>
    </w:p>
    <w:p w14:paraId="4986E59B" w14:textId="77777777" w:rsidR="00ED24EA" w:rsidRPr="00B12F3B" w:rsidRDefault="00ED24EA" w:rsidP="00B12F3B">
      <w:pPr>
        <w:spacing w:line="480" w:lineRule="auto"/>
        <w:rPr>
          <w:rFonts w:eastAsia="ＭＳ 明朝"/>
          <w:i/>
          <w:iCs/>
          <w:u w:val="single"/>
        </w:rPr>
      </w:pPr>
    </w:p>
    <w:p w14:paraId="57234C7D" w14:textId="77777777" w:rsidR="00ED24EA" w:rsidRPr="00B12F3B" w:rsidRDefault="00ED24EA" w:rsidP="00B12F3B">
      <w:pPr>
        <w:spacing w:line="480" w:lineRule="auto"/>
        <w:rPr>
          <w:rFonts w:eastAsia="ＭＳ 明朝"/>
          <w:i/>
          <w:iCs/>
          <w:u w:val="single"/>
        </w:rPr>
      </w:pPr>
      <w:r w:rsidRPr="00B12F3B">
        <w:rPr>
          <w:rFonts w:eastAsia="ＭＳ 明朝"/>
          <w:i/>
          <w:iCs/>
          <w:u w:val="single"/>
        </w:rPr>
        <w:t>S2. MRI acquisition</w:t>
      </w:r>
    </w:p>
    <w:p w14:paraId="003A47CF" w14:textId="77777777" w:rsidR="00ED24EA" w:rsidRPr="00B12F3B" w:rsidRDefault="00ED24EA" w:rsidP="00B12F3B">
      <w:pPr>
        <w:spacing w:line="480" w:lineRule="auto"/>
        <w:rPr>
          <w:rFonts w:eastAsia="ＭＳ 明朝"/>
        </w:rPr>
      </w:pPr>
      <w:r w:rsidRPr="00B12F3B">
        <w:rPr>
          <w:rFonts w:eastAsia="ＭＳ 明朝"/>
        </w:rPr>
        <w:t xml:space="preserve">The MRI data, including diffusion-weighted imaging (DWI) data, were acquired using a 3 T system (MAGNETOM Skyra, Siemens </w:t>
      </w:r>
      <w:proofErr w:type="spellStart"/>
      <w:r w:rsidRPr="00B12F3B">
        <w:rPr>
          <w:rFonts w:eastAsia="ＭＳ 明朝"/>
        </w:rPr>
        <w:t>Healthineers</w:t>
      </w:r>
      <w:proofErr w:type="spellEnd"/>
      <w:r w:rsidRPr="00B12F3B">
        <w:rPr>
          <w:rFonts w:eastAsia="ＭＳ 明朝"/>
        </w:rPr>
        <w:t>, Erlangen, Germany) equipped with a 32-channel multichannel receiver head coil. The total acquisition time of the entire protocol was approximately 30 min, which is clinically feasible.</w:t>
      </w:r>
    </w:p>
    <w:p w14:paraId="56E16EFE" w14:textId="77777777" w:rsidR="00ED24EA" w:rsidRPr="00B12F3B" w:rsidRDefault="00ED24EA" w:rsidP="00B12F3B">
      <w:pPr>
        <w:spacing w:line="480" w:lineRule="auto"/>
        <w:rPr>
          <w:rFonts w:eastAsia="ＭＳ 明朝"/>
        </w:rPr>
      </w:pPr>
      <w:r w:rsidRPr="00B12F3B">
        <w:rPr>
          <w:rFonts w:eastAsia="ＭＳ 明朝"/>
        </w:rPr>
        <w:t xml:space="preserve">Three-dimensional T1-weighted imaging (3DT1) was acquired by rapid acquisition with a gradient-echo sequence and the following parameters: repetition time (TR)=1700 msec; echo </w:t>
      </w:r>
      <w:r w:rsidRPr="00B12F3B">
        <w:rPr>
          <w:rFonts w:eastAsia="ＭＳ 明朝"/>
        </w:rPr>
        <w:lastRenderedPageBreak/>
        <w:t xml:space="preserve">time (TE)=2.61 msec; flip angle=10°; inversion time (TI)=800 msec; voxel size=1×1×1 mm; parallel acquisition technique=generalized </w:t>
      </w:r>
      <w:proofErr w:type="spellStart"/>
      <w:r w:rsidRPr="00B12F3B">
        <w:rPr>
          <w:rFonts w:eastAsia="ＭＳ 明朝"/>
        </w:rPr>
        <w:t>autocalibrating</w:t>
      </w:r>
      <w:proofErr w:type="spellEnd"/>
      <w:r w:rsidRPr="00B12F3B">
        <w:rPr>
          <w:rFonts w:eastAsia="ＭＳ 明朝"/>
        </w:rPr>
        <w:t xml:space="preserve"> partially parallel acquisitions (GRAPPA); and acceleration factor=2. Fluid-attenuated inversion recovery (FLAIR) was acquired using the following parameters: TR=12 sec; TE=96 msec; flip angle=150°; TI=2750 msec; slice thickness=3 mm; and gap=0.6 mm. Susceptibility-weighted imaging was performed using the following parameters: TR=27 msec; TE=20 msec; flip angle=15°; slice thickness=1.6 mm; and gap=0 mm. Magnetic resonance angiography (MRA) was performed using the following parameters: TR=24 msec; TE=3.69 msec; flip angle=18°; slice thickness=0.70 mm; and field of view=190 × 172 mm.</w:t>
      </w:r>
    </w:p>
    <w:p w14:paraId="7A9B56BB" w14:textId="77777777" w:rsidR="00ED24EA" w:rsidRPr="00B12F3B" w:rsidRDefault="00ED24EA" w:rsidP="00B12F3B">
      <w:pPr>
        <w:spacing w:line="480" w:lineRule="auto"/>
        <w:rPr>
          <w:rFonts w:eastAsia="ＭＳ 明朝"/>
        </w:rPr>
      </w:pPr>
    </w:p>
    <w:p w14:paraId="216BF938" w14:textId="77777777" w:rsidR="00ED24EA" w:rsidRPr="00B12F3B" w:rsidRDefault="00ED24EA" w:rsidP="00B12F3B">
      <w:pPr>
        <w:spacing w:line="480" w:lineRule="auto"/>
        <w:rPr>
          <w:rFonts w:eastAsia="ＭＳ 明朝"/>
          <w:i/>
          <w:iCs/>
          <w:u w:val="single"/>
        </w:rPr>
      </w:pPr>
      <w:r w:rsidRPr="00B12F3B">
        <w:rPr>
          <w:rFonts w:eastAsia="ＭＳ 明朝"/>
          <w:i/>
          <w:iCs/>
          <w:u w:val="single"/>
        </w:rPr>
        <w:t>S3. PET acquisition</w:t>
      </w:r>
    </w:p>
    <w:p w14:paraId="46448D45" w14:textId="680DC765" w:rsidR="00ED24EA" w:rsidRPr="00B12F3B" w:rsidRDefault="00ED24EA" w:rsidP="00B12F3B">
      <w:pPr>
        <w:spacing w:line="480" w:lineRule="auto"/>
        <w:rPr>
          <w:rFonts w:eastAsia="ＭＳ 明朝"/>
        </w:rPr>
      </w:pPr>
      <w:r w:rsidRPr="00B12F3B">
        <w:rPr>
          <w:rFonts w:eastAsia="ＭＳ 明朝"/>
        </w:rPr>
        <w:t>PET data were acquired using a Discovery 710 PET/computed tomography (CT) scanner (GE Healthcare, Milwaukee, WI, U.S.A.). After a low-dose CT scan for attenuation correction, three sequential emission scans of inhaled</w:t>
      </w:r>
      <w:r w:rsidR="007B23E1" w:rsidRPr="00B12F3B">
        <w:rPr>
          <w:rFonts w:eastAsia="ＭＳ 明朝"/>
        </w:rPr>
        <w:t xml:space="preserve"> C</w:t>
      </w:r>
      <w:r w:rsidR="007B23E1" w:rsidRPr="00B12F3B">
        <w:rPr>
          <w:rFonts w:eastAsia="ＭＳ 明朝"/>
          <w:vertAlign w:val="superscript"/>
        </w:rPr>
        <w:t>15</w:t>
      </w:r>
      <w:r w:rsidR="007B23E1" w:rsidRPr="00B12F3B">
        <w:rPr>
          <w:rFonts w:eastAsia="ＭＳ 明朝"/>
        </w:rPr>
        <w:t>O</w:t>
      </w:r>
      <w:r w:rsidR="007B23E1" w:rsidRPr="00B12F3B">
        <w:rPr>
          <w:rFonts w:eastAsia="ＭＳ 明朝"/>
          <w:vertAlign w:val="subscript"/>
        </w:rPr>
        <w:t>2</w:t>
      </w:r>
      <w:r w:rsidR="007B23E1" w:rsidRPr="00B12F3B">
        <w:rPr>
          <w:rFonts w:eastAsia="ＭＳ 明朝"/>
        </w:rPr>
        <w:t xml:space="preserve"> </w:t>
      </w:r>
      <w:r w:rsidRPr="00B12F3B">
        <w:rPr>
          <w:rFonts w:eastAsia="ＭＳ 明朝"/>
        </w:rPr>
        <w:t xml:space="preserve">(2000 MBq/min), </w:t>
      </w:r>
      <w:r w:rsidR="007B23E1" w:rsidRPr="00B12F3B">
        <w:rPr>
          <w:rFonts w:eastAsia="ＭＳ 明朝"/>
          <w:vertAlign w:val="superscript"/>
        </w:rPr>
        <w:t>15</w:t>
      </w:r>
      <w:r w:rsidR="007B23E1" w:rsidRPr="00B12F3B">
        <w:rPr>
          <w:rFonts w:eastAsia="ＭＳ 明朝"/>
        </w:rPr>
        <w:t>O</w:t>
      </w:r>
      <w:r w:rsidR="007B23E1" w:rsidRPr="00B12F3B">
        <w:rPr>
          <w:rFonts w:eastAsia="ＭＳ 明朝"/>
          <w:vertAlign w:val="subscript"/>
        </w:rPr>
        <w:t>2</w:t>
      </w:r>
      <w:r w:rsidRPr="00B12F3B">
        <w:rPr>
          <w:rFonts w:eastAsia="ＭＳ 明朝"/>
        </w:rPr>
        <w:t xml:space="preserve"> (3000 MBq/min) and </w:t>
      </w:r>
      <w:r w:rsidR="007B23E1" w:rsidRPr="00B12F3B">
        <w:rPr>
          <w:rFonts w:eastAsia="ＭＳ 明朝"/>
        </w:rPr>
        <w:t>C</w:t>
      </w:r>
      <w:r w:rsidR="007B23E1" w:rsidRPr="00B12F3B">
        <w:rPr>
          <w:rFonts w:eastAsia="ＭＳ 明朝"/>
          <w:vertAlign w:val="superscript"/>
        </w:rPr>
        <w:t>15</w:t>
      </w:r>
      <w:r w:rsidR="007B23E1" w:rsidRPr="00B12F3B">
        <w:rPr>
          <w:rFonts w:eastAsia="ＭＳ 明朝"/>
        </w:rPr>
        <w:t>O</w:t>
      </w:r>
      <w:r w:rsidRPr="00B12F3B">
        <w:rPr>
          <w:rFonts w:eastAsia="ＭＳ 明朝"/>
        </w:rPr>
        <w:t xml:space="preserve"> (2000 MBq/min) were conducted using a neck shield. The 3.5-min acquisition in the </w:t>
      </w:r>
      <w:r w:rsidR="007B23E1" w:rsidRPr="00B12F3B">
        <w:rPr>
          <w:rFonts w:eastAsia="ＭＳ 明朝"/>
        </w:rPr>
        <w:t>C</w:t>
      </w:r>
      <w:r w:rsidR="007B23E1" w:rsidRPr="00B12F3B">
        <w:rPr>
          <w:rFonts w:eastAsia="ＭＳ 明朝"/>
          <w:vertAlign w:val="superscript"/>
        </w:rPr>
        <w:t>15</w:t>
      </w:r>
      <w:r w:rsidR="007B23E1" w:rsidRPr="00B12F3B">
        <w:rPr>
          <w:rFonts w:eastAsia="ＭＳ 明朝"/>
        </w:rPr>
        <w:t>O</w:t>
      </w:r>
      <w:r w:rsidR="007B23E1" w:rsidRPr="00B12F3B">
        <w:rPr>
          <w:rFonts w:eastAsia="ＭＳ 明朝"/>
          <w:vertAlign w:val="subscript"/>
        </w:rPr>
        <w:t>2</w:t>
      </w:r>
      <w:r w:rsidR="007B23E1" w:rsidRPr="00B12F3B">
        <w:rPr>
          <w:rFonts w:eastAsia="ＭＳ 明朝"/>
        </w:rPr>
        <w:t xml:space="preserve"> and </w:t>
      </w:r>
      <w:r w:rsidR="007B23E1" w:rsidRPr="00B12F3B">
        <w:rPr>
          <w:rFonts w:eastAsia="ＭＳ 明朝"/>
          <w:vertAlign w:val="superscript"/>
        </w:rPr>
        <w:t>15</w:t>
      </w:r>
      <w:r w:rsidR="007B23E1" w:rsidRPr="00B12F3B">
        <w:rPr>
          <w:rFonts w:eastAsia="ＭＳ 明朝"/>
        </w:rPr>
        <w:t>O</w:t>
      </w:r>
      <w:r w:rsidR="007B23E1" w:rsidRPr="00B12F3B">
        <w:rPr>
          <w:rFonts w:eastAsia="ＭＳ 明朝"/>
          <w:vertAlign w:val="subscript"/>
        </w:rPr>
        <w:t>2</w:t>
      </w:r>
      <w:r w:rsidRPr="00B12F3B">
        <w:rPr>
          <w:rFonts w:eastAsia="ＭＳ 明朝"/>
        </w:rPr>
        <w:t xml:space="preserve"> scans was initiated simultaneously with 1.5 min of inhalation of these </w:t>
      </w:r>
      <w:proofErr w:type="gramStart"/>
      <w:r w:rsidRPr="00B12F3B">
        <w:rPr>
          <w:rFonts w:eastAsia="ＭＳ 明朝"/>
        </w:rPr>
        <w:t>gases(</w:t>
      </w:r>
      <w:proofErr w:type="gramEnd"/>
      <w:r w:rsidRPr="00B12F3B">
        <w:rPr>
          <w:rFonts w:eastAsia="ＭＳ 明朝"/>
        </w:rPr>
        <w:t>2). Then, the participants inhaled C</w:t>
      </w:r>
      <w:r w:rsidRPr="00B12F3B">
        <w:rPr>
          <w:rFonts w:eastAsia="ＭＳ 明朝"/>
          <w:vertAlign w:val="superscript"/>
        </w:rPr>
        <w:t>15</w:t>
      </w:r>
      <w:r w:rsidRPr="00B12F3B">
        <w:rPr>
          <w:rFonts w:eastAsia="ＭＳ 明朝"/>
        </w:rPr>
        <w:t>O gas for 3 min and were scanned for 4 min. The amounts of radioactivity in the arterial whole blood were manually collected at 0, 2 and 4 min, while images of inhaled C</w:t>
      </w:r>
      <w:r w:rsidRPr="00B12F3B">
        <w:rPr>
          <w:rFonts w:eastAsia="ＭＳ 明朝"/>
          <w:vertAlign w:val="superscript"/>
        </w:rPr>
        <w:t>15</w:t>
      </w:r>
      <w:r w:rsidRPr="00B12F3B">
        <w:rPr>
          <w:rFonts w:eastAsia="ＭＳ 明朝"/>
        </w:rPr>
        <w:t>O</w:t>
      </w:r>
      <w:r w:rsidRPr="00B12F3B">
        <w:rPr>
          <w:rFonts w:eastAsia="ＭＳ 明朝"/>
          <w:vertAlign w:val="subscript"/>
        </w:rPr>
        <w:t>2</w:t>
      </w:r>
      <w:r w:rsidRPr="00B12F3B">
        <w:rPr>
          <w:rFonts w:eastAsia="ＭＳ 明朝"/>
        </w:rPr>
        <w:t xml:space="preserve"> and </w:t>
      </w:r>
      <w:r w:rsidRPr="00B12F3B">
        <w:rPr>
          <w:rFonts w:eastAsia="ＭＳ 明朝"/>
          <w:vertAlign w:val="superscript"/>
        </w:rPr>
        <w:t>15</w:t>
      </w:r>
      <w:r w:rsidRPr="00B12F3B">
        <w:rPr>
          <w:rFonts w:eastAsia="ＭＳ 明朝"/>
        </w:rPr>
        <w:t>O</w:t>
      </w:r>
      <w:r w:rsidRPr="00B12F3B">
        <w:rPr>
          <w:rFonts w:eastAsia="ＭＳ 明朝"/>
          <w:vertAlign w:val="subscript"/>
        </w:rPr>
        <w:t>2</w:t>
      </w:r>
      <w:r w:rsidRPr="00B12F3B">
        <w:rPr>
          <w:rFonts w:eastAsia="ＭＳ 明朝"/>
        </w:rPr>
        <w:t xml:space="preserve"> were acquired (3).</w:t>
      </w:r>
    </w:p>
    <w:p w14:paraId="4EEC652F" w14:textId="711CAA1F" w:rsidR="00ED24EA" w:rsidRPr="00B12F3B" w:rsidRDefault="00ED24EA" w:rsidP="00B12F3B">
      <w:pPr>
        <w:spacing w:line="480" w:lineRule="auto"/>
        <w:rPr>
          <w:rFonts w:eastAsia="ＭＳ 明朝"/>
        </w:rPr>
      </w:pPr>
      <w:r w:rsidRPr="00B12F3B">
        <w:rPr>
          <w:rFonts w:eastAsia="ＭＳ 明朝"/>
        </w:rPr>
        <w:t xml:space="preserve">  The PET images were reconstructed under the following conditions: three-dimensional ordered subset expectation maximization algorithm, matrix=128×128, number of slices=47, voxel size=2.0×2.0×3.27. iteration=4, subset=16, and Gaussian filter=3.0 mm. The clinical </w:t>
      </w:r>
      <w:r w:rsidR="006120C4" w:rsidRPr="00B12F3B">
        <w:rPr>
          <w:rFonts w:eastAsia="ＭＳ 明朝"/>
        </w:rPr>
        <w:t>C</w:t>
      </w:r>
      <w:r w:rsidR="006120C4" w:rsidRPr="00B12F3B">
        <w:rPr>
          <w:rFonts w:eastAsia="ＭＳ 明朝"/>
          <w:vertAlign w:val="superscript"/>
        </w:rPr>
        <w:t>15</w:t>
      </w:r>
      <w:r w:rsidR="006120C4" w:rsidRPr="00B12F3B">
        <w:rPr>
          <w:rFonts w:eastAsia="ＭＳ 明朝"/>
        </w:rPr>
        <w:t>O</w:t>
      </w:r>
      <w:r w:rsidR="006120C4" w:rsidRPr="00B12F3B">
        <w:rPr>
          <w:rFonts w:eastAsia="ＭＳ 明朝"/>
          <w:vertAlign w:val="subscript"/>
        </w:rPr>
        <w:t>2</w:t>
      </w:r>
      <w:r w:rsidR="006120C4" w:rsidRPr="00B12F3B">
        <w:rPr>
          <w:rFonts w:eastAsia="ＭＳ 明朝"/>
        </w:rPr>
        <w:t xml:space="preserve"> and </w:t>
      </w:r>
      <w:r w:rsidR="006120C4" w:rsidRPr="00B12F3B">
        <w:rPr>
          <w:rFonts w:eastAsia="ＭＳ 明朝"/>
          <w:vertAlign w:val="superscript"/>
        </w:rPr>
        <w:t>15</w:t>
      </w:r>
      <w:r w:rsidR="006120C4" w:rsidRPr="00B12F3B">
        <w:rPr>
          <w:rFonts w:eastAsia="ＭＳ 明朝"/>
        </w:rPr>
        <w:t>O</w:t>
      </w:r>
      <w:r w:rsidR="006120C4" w:rsidRPr="00B12F3B">
        <w:rPr>
          <w:rFonts w:eastAsia="ＭＳ 明朝"/>
          <w:vertAlign w:val="subscript"/>
        </w:rPr>
        <w:t>2</w:t>
      </w:r>
      <w:r w:rsidRPr="00B12F3B">
        <w:rPr>
          <w:rFonts w:eastAsia="ＭＳ 明朝"/>
        </w:rPr>
        <w:t xml:space="preserve"> images consisted of 12 frames of 5 sec each and 10 frames of 15 sec each, and the attenuation was corrected using the corresponding CT image. The scatter correction algorithm used a scatter limitation correction (4). Cerebral blood flow (CBF), cerebral blood </w:t>
      </w:r>
      <w:r w:rsidRPr="00B12F3B">
        <w:rPr>
          <w:rFonts w:eastAsia="ＭＳ 明朝"/>
        </w:rPr>
        <w:lastRenderedPageBreak/>
        <w:t>volume (CBV), cerebral metabolic ratio of oxygen (CMRO</w:t>
      </w:r>
      <w:r w:rsidRPr="00B12F3B">
        <w:rPr>
          <w:rFonts w:eastAsia="ＭＳ 明朝"/>
          <w:vertAlign w:val="subscript"/>
        </w:rPr>
        <w:t>2</w:t>
      </w:r>
      <w:r w:rsidRPr="00B12F3B">
        <w:rPr>
          <w:rFonts w:eastAsia="ＭＳ 明朝"/>
        </w:rPr>
        <w:t xml:space="preserve">) and oxygen extraction fraction (OEF) were calculated according to the functional images and amounts of radioactivity in the arterial blood using the PET autoradiographic method with </w:t>
      </w:r>
      <w:proofErr w:type="spellStart"/>
      <w:r w:rsidRPr="00B12F3B">
        <w:rPr>
          <w:rFonts w:eastAsia="ＭＳ 明朝"/>
        </w:rPr>
        <w:t>Xeleris</w:t>
      </w:r>
      <w:proofErr w:type="spellEnd"/>
      <w:r w:rsidRPr="00B12F3B">
        <w:rPr>
          <w:rFonts w:eastAsia="ＭＳ 明朝"/>
        </w:rPr>
        <w:t xml:space="preserve"> software (GE Healthcare, Milwaukee, WI) (5). The mean transit time (MTT) was calculated as CBV/CBF on a voxel-by-voxel basis. The final spatial resolution of each map was 5.78 mm.</w:t>
      </w:r>
    </w:p>
    <w:p w14:paraId="5DF2A319" w14:textId="77777777" w:rsidR="00ED24EA" w:rsidRPr="00B12F3B" w:rsidRDefault="00ED24EA" w:rsidP="00B12F3B">
      <w:pPr>
        <w:spacing w:line="480" w:lineRule="auto"/>
        <w:rPr>
          <w:rFonts w:eastAsia="ＭＳ 明朝"/>
        </w:rPr>
      </w:pPr>
    </w:p>
    <w:p w14:paraId="4067ECEB" w14:textId="77777777" w:rsidR="00ED24EA" w:rsidRPr="00B12F3B" w:rsidRDefault="00ED24EA" w:rsidP="00B12F3B">
      <w:pPr>
        <w:spacing w:line="480" w:lineRule="auto"/>
        <w:rPr>
          <w:rFonts w:eastAsia="ＭＳ 明朝"/>
          <w:i/>
          <w:iCs/>
          <w:u w:val="single"/>
        </w:rPr>
      </w:pPr>
      <w:r w:rsidRPr="00B12F3B">
        <w:rPr>
          <w:rFonts w:eastAsia="ＭＳ 明朝"/>
          <w:i/>
          <w:iCs/>
          <w:u w:val="single"/>
        </w:rPr>
        <w:t>S4. Pre- &amp; postprocessing of DWI data</w:t>
      </w:r>
    </w:p>
    <w:p w14:paraId="6DF8D05B" w14:textId="77777777" w:rsidR="00ED24EA" w:rsidRPr="00B12F3B" w:rsidRDefault="00ED24EA" w:rsidP="00B12F3B">
      <w:pPr>
        <w:spacing w:line="480" w:lineRule="auto"/>
        <w:rPr>
          <w:rFonts w:eastAsia="ＭＳ 明朝"/>
        </w:rPr>
      </w:pPr>
      <w:r w:rsidRPr="00B12F3B">
        <w:rPr>
          <w:rFonts w:eastAsia="ＭＳ 明朝"/>
        </w:rPr>
        <w:t>The DWI data from each participant were corrected for susceptibility-induced geometric distortions, eddy current distortions, and intervolume subject motion using the “eddy” and “</w:t>
      </w:r>
      <w:proofErr w:type="spellStart"/>
      <w:r w:rsidRPr="00B12F3B">
        <w:rPr>
          <w:rFonts w:eastAsia="ＭＳ 明朝"/>
        </w:rPr>
        <w:t>topup</w:t>
      </w:r>
      <w:proofErr w:type="spellEnd"/>
      <w:r w:rsidRPr="00B12F3B">
        <w:rPr>
          <w:rFonts w:eastAsia="ＭＳ 明朝"/>
        </w:rPr>
        <w:t xml:space="preserve">” toolboxes implemented in the FMRIB Software Library version 6.0 (FSL; Oxford Centre for Functional MRI of the Brain, Oxford, UK; https://www.fmrib.ox.ac.uk/fsl) (7, 8) After preprocessing, neurite orientation dispersion and density imaging (NODDI) analysis (https://github.com/daducci/AMICO)(9) was performed using </w:t>
      </w:r>
      <w:proofErr w:type="spellStart"/>
      <w:r w:rsidRPr="00B12F3B">
        <w:rPr>
          <w:rFonts w:eastAsia="ＭＳ 明朝"/>
        </w:rPr>
        <w:t>multishell</w:t>
      </w:r>
      <w:proofErr w:type="spellEnd"/>
      <w:r w:rsidRPr="00B12F3B">
        <w:rPr>
          <w:rFonts w:eastAsia="ＭＳ 明朝"/>
        </w:rPr>
        <w:t xml:space="preserve"> DWI data (</w:t>
      </w:r>
      <w:r w:rsidRPr="00B12F3B">
        <w:rPr>
          <w:rFonts w:eastAsia="ＭＳ 明朝"/>
          <w:i/>
          <w:iCs/>
        </w:rPr>
        <w:t>b</w:t>
      </w:r>
      <w:r w:rsidRPr="00B12F3B">
        <w:rPr>
          <w:rFonts w:eastAsia="ＭＳ 明朝"/>
        </w:rPr>
        <w:t xml:space="preserve">=0, 700, 2850) to generate a </w:t>
      </w:r>
      <w:r w:rsidRPr="00B12F3B">
        <w:rPr>
          <w:rFonts w:eastAsia="ＭＳ 明朝"/>
          <w:i/>
          <w:iCs/>
        </w:rPr>
        <w:t>V</w:t>
      </w:r>
      <w:r w:rsidRPr="00B12F3B">
        <w:rPr>
          <w:rFonts w:eastAsia="ＭＳ 明朝"/>
          <w:i/>
          <w:iCs/>
          <w:vertAlign w:val="subscript"/>
        </w:rPr>
        <w:t>iso</w:t>
      </w:r>
      <w:r w:rsidRPr="00B12F3B">
        <w:rPr>
          <w:rFonts w:eastAsia="ＭＳ 明朝"/>
        </w:rPr>
        <w:t xml:space="preserve"> map of each patient.</w:t>
      </w:r>
    </w:p>
    <w:p w14:paraId="7D5E1CDB" w14:textId="7D76F602" w:rsidR="00ED24EA" w:rsidRPr="00B12F3B" w:rsidRDefault="00861FBD" w:rsidP="00B12F3B">
      <w:pPr>
        <w:spacing w:line="480" w:lineRule="auto"/>
        <w:ind w:firstLineChars="50" w:firstLine="120"/>
        <w:rPr>
          <w:rFonts w:eastAsia="ＭＳ 明朝"/>
        </w:rPr>
      </w:pPr>
      <w:r w:rsidRPr="00B12F3B">
        <w:t>Using single-shell DWI data (</w:t>
      </w:r>
      <w:r w:rsidRPr="00B12F3B">
        <w:rPr>
          <w:i/>
        </w:rPr>
        <w:t>b</w:t>
      </w:r>
      <w:r w:rsidRPr="00B12F3B">
        <w:t xml:space="preserve">=0 and 700 or 2850), color-coded fractional anisotropy maps and diffusivity maps for each subject were acquired in the directions of the x- (right-left, </w:t>
      </w:r>
      <w:proofErr w:type="spellStart"/>
      <w:r w:rsidRPr="00B12F3B">
        <w:t>Dxx</w:t>
      </w:r>
      <w:proofErr w:type="spellEnd"/>
      <w:r w:rsidRPr="00B12F3B">
        <w:t xml:space="preserve">), y- (anterior-posterior, </w:t>
      </w:r>
      <w:proofErr w:type="spellStart"/>
      <w:r w:rsidRPr="00B12F3B">
        <w:t>Dyy</w:t>
      </w:r>
      <w:proofErr w:type="spellEnd"/>
      <w:r w:rsidRPr="00B12F3B">
        <w:t xml:space="preserve">), and z-axes (inferior-superior, </w:t>
      </w:r>
      <w:proofErr w:type="spellStart"/>
      <w:r w:rsidRPr="00B12F3B">
        <w:t>Dzz</w:t>
      </w:r>
      <w:proofErr w:type="spellEnd"/>
      <w:r w:rsidRPr="00B12F3B">
        <w:t>) using the “</w:t>
      </w:r>
      <w:proofErr w:type="spellStart"/>
      <w:r w:rsidRPr="00B12F3B">
        <w:t>dtifit</w:t>
      </w:r>
      <w:proofErr w:type="spellEnd"/>
      <w:r w:rsidRPr="00B12F3B">
        <w:t>” tool implemented in FSL.</w:t>
      </w:r>
      <w:r w:rsidRPr="00B12F3B">
        <w:rPr>
          <w:color w:val="0000FF"/>
          <w:position w:val="8"/>
        </w:rPr>
        <w:t xml:space="preserve"> </w:t>
      </w:r>
      <w:proofErr w:type="spellStart"/>
      <w:r w:rsidRPr="00B12F3B">
        <w:t>Dxx</w:t>
      </w:r>
      <w:proofErr w:type="spellEnd"/>
      <w:r w:rsidRPr="00B12F3B">
        <w:t xml:space="preserve"> corresponds to the direction of the deep white matter vessels in the periventricular white matter. We used the ALPS index created from the DWI data at </w:t>
      </w:r>
      <w:r w:rsidRPr="00B12F3B">
        <w:rPr>
          <w:i/>
        </w:rPr>
        <w:t>b</w:t>
      </w:r>
      <w:r w:rsidRPr="00B12F3B">
        <w:t xml:space="preserve">=0 and 700 for the main analysis rather than the ALPS index created from the DWI data at </w:t>
      </w:r>
      <w:r w:rsidRPr="00B12F3B">
        <w:rPr>
          <w:i/>
        </w:rPr>
        <w:t>b</w:t>
      </w:r>
      <w:r w:rsidRPr="00B12F3B">
        <w:t>=0 and 2850 because the data were susceptible to noise at</w:t>
      </w:r>
      <w:r w:rsidRPr="00B12F3B">
        <w:rPr>
          <w:i/>
        </w:rPr>
        <w:t xml:space="preserve"> b </w:t>
      </w:r>
      <w:r w:rsidRPr="00B12F3B">
        <w:t xml:space="preserve">values higher than </w:t>
      </w:r>
      <w:proofErr w:type="gramStart"/>
      <w:r w:rsidRPr="00B12F3B">
        <w:t xml:space="preserve">2000 </w:t>
      </w:r>
      <w:r w:rsidR="00ED24EA" w:rsidRPr="00B12F3B">
        <w:rPr>
          <w:rFonts w:eastAsia="ＭＳ 明朝"/>
        </w:rPr>
        <w:t xml:space="preserve"> (</w:t>
      </w:r>
      <w:proofErr w:type="gramEnd"/>
      <w:r w:rsidR="00ED24EA" w:rsidRPr="00B12F3B">
        <w:rPr>
          <w:rFonts w:eastAsia="ＭＳ 明朝"/>
        </w:rPr>
        <w:t>10).</w:t>
      </w:r>
    </w:p>
    <w:p w14:paraId="1E85E9AF" w14:textId="77777777" w:rsidR="00ED24EA" w:rsidRPr="00B12F3B" w:rsidRDefault="00ED24EA" w:rsidP="00B12F3B">
      <w:pPr>
        <w:spacing w:line="480" w:lineRule="auto"/>
        <w:rPr>
          <w:rFonts w:eastAsia="ＭＳ 明朝"/>
        </w:rPr>
      </w:pPr>
    </w:p>
    <w:p w14:paraId="12629640" w14:textId="77777777" w:rsidR="00ED24EA" w:rsidRPr="00B12F3B" w:rsidRDefault="00ED24EA" w:rsidP="00B12F3B">
      <w:pPr>
        <w:spacing w:line="480" w:lineRule="auto"/>
        <w:rPr>
          <w:rFonts w:eastAsia="ＭＳ 明朝"/>
          <w:i/>
          <w:iCs/>
          <w:u w:val="single"/>
        </w:rPr>
      </w:pPr>
      <w:r w:rsidRPr="00B12F3B">
        <w:rPr>
          <w:rFonts w:eastAsia="ＭＳ 明朝"/>
          <w:i/>
          <w:iCs/>
          <w:u w:val="single"/>
        </w:rPr>
        <w:t>S5. Regional value analysis of MRI and PET</w:t>
      </w:r>
    </w:p>
    <w:p w14:paraId="6B2AC726" w14:textId="77777777" w:rsidR="00ED24EA" w:rsidRPr="00B12F3B" w:rsidRDefault="00ED24EA" w:rsidP="00B12F3B">
      <w:pPr>
        <w:spacing w:line="480" w:lineRule="auto"/>
        <w:rPr>
          <w:rFonts w:eastAsia="ＭＳ 明朝"/>
        </w:rPr>
      </w:pPr>
      <w:r w:rsidRPr="00B12F3B">
        <w:rPr>
          <w:rFonts w:eastAsia="ＭＳ 明朝"/>
        </w:rPr>
        <w:t xml:space="preserve">Hemispheric cortical and white matter values of each patient were calculated using SPM12 (http://www.fil.ion.ucl.ac.uk/spm/software/spm12/) in the MATLAB 2016a (MathWorks </w:t>
      </w:r>
      <w:r w:rsidRPr="00B12F3B">
        <w:rPr>
          <w:rFonts w:eastAsia="ＭＳ 明朝"/>
        </w:rPr>
        <w:lastRenderedPageBreak/>
        <w:t xml:space="preserve">Inc., Natick, MA, USA) environment. First, the 3DT1 data of each patient were segmented into gray matter and white matter and divided into the left and right cerebral hemispheres. A cortical segment was created from the gray matter segment by eliminating the deep gray matter. Then, Viso and PET parametric maps of each patient were </w:t>
      </w:r>
      <w:proofErr w:type="spellStart"/>
      <w:r w:rsidRPr="00B12F3B">
        <w:rPr>
          <w:rFonts w:eastAsia="ＭＳ 明朝"/>
        </w:rPr>
        <w:t>coregistered</w:t>
      </w:r>
      <w:proofErr w:type="spellEnd"/>
      <w:r w:rsidRPr="00B12F3B">
        <w:rPr>
          <w:rFonts w:eastAsia="ＭＳ 明朝"/>
        </w:rPr>
        <w:t xml:space="preserve"> to 3DT1 data of the patient.</w:t>
      </w:r>
    </w:p>
    <w:p w14:paraId="6326FBF5" w14:textId="77777777" w:rsidR="00ED24EA" w:rsidRPr="00B12F3B" w:rsidRDefault="00ED24EA" w:rsidP="00B12F3B">
      <w:pPr>
        <w:spacing w:line="480" w:lineRule="auto"/>
        <w:rPr>
          <w:rFonts w:eastAsia="ＭＳ 明朝"/>
        </w:rPr>
      </w:pPr>
      <w:r w:rsidRPr="00B12F3B">
        <w:rPr>
          <w:rFonts w:eastAsia="ＭＳ 明朝"/>
        </w:rPr>
        <w:t xml:space="preserve">For the calculation of Viso values, thresholds of 0.95 were applied to mitigate the partial volume effect of the gray and white </w:t>
      </w:r>
      <w:proofErr w:type="gramStart"/>
      <w:r w:rsidRPr="00B12F3B">
        <w:rPr>
          <w:rFonts w:eastAsia="ＭＳ 明朝"/>
        </w:rPr>
        <w:t>matter(</w:t>
      </w:r>
      <w:proofErr w:type="gramEnd"/>
      <w:r w:rsidRPr="00B12F3B">
        <w:rPr>
          <w:rFonts w:eastAsia="ＭＳ 明朝"/>
        </w:rPr>
        <w:t xml:space="preserve">11). Cerebrospinal fluid signals outside the brain parenchyma (Viso values higher than 0.5) and parenchymal lesions visible on FLAIR and b0 images (manually drawn on the FLAIR and/or b0 images on each patient using </w:t>
      </w:r>
      <w:proofErr w:type="spellStart"/>
      <w:r w:rsidRPr="00B12F3B">
        <w:rPr>
          <w:rFonts w:eastAsia="ＭＳ 明朝"/>
        </w:rPr>
        <w:t>MRIcron</w:t>
      </w:r>
      <w:proofErr w:type="spellEnd"/>
      <w:proofErr w:type="gramStart"/>
      <w:r w:rsidRPr="00B12F3B">
        <w:rPr>
          <w:rFonts w:eastAsia="ＭＳ 明朝"/>
        </w:rPr>
        <w:t xml:space="preserve">   (</w:t>
      </w:r>
      <w:proofErr w:type="gramEnd"/>
      <w:r w:rsidRPr="00B12F3B">
        <w:rPr>
          <w:rFonts w:eastAsia="ＭＳ 明朝"/>
        </w:rPr>
        <w:t>https://www.nitrc.org/projects/mricron)) were excluded from the ROIs.</w:t>
      </w:r>
    </w:p>
    <w:p w14:paraId="699CC948" w14:textId="77777777" w:rsidR="00ED24EA" w:rsidRPr="00B12F3B" w:rsidRDefault="00ED24EA" w:rsidP="00B12F3B">
      <w:pPr>
        <w:spacing w:line="480" w:lineRule="auto"/>
        <w:rPr>
          <w:rFonts w:eastAsia="ＭＳ 明朝"/>
        </w:rPr>
      </w:pPr>
      <w:r w:rsidRPr="00B12F3B">
        <w:rPr>
          <w:rFonts w:eastAsia="ＭＳ 明朝"/>
        </w:rPr>
        <w:t xml:space="preserve">For the calculation of PET values, a 2D Gaussian smoothing operator of full width at half maximum=5.69 mm was applied to gray and white matter segments created from 3DT1 to match the spatial resolution of PET, and then thresholds of 0.6 for the gray matter and 0.9 for the white matter were applied to mitigate the partial volume </w:t>
      </w:r>
      <w:proofErr w:type="gramStart"/>
      <w:r w:rsidRPr="00B12F3B">
        <w:rPr>
          <w:rFonts w:eastAsia="ＭＳ 明朝"/>
        </w:rPr>
        <w:t>effect(</w:t>
      </w:r>
      <w:proofErr w:type="gramEnd"/>
      <w:r w:rsidRPr="00B12F3B">
        <w:rPr>
          <w:rFonts w:eastAsia="ＭＳ 明朝"/>
        </w:rPr>
        <w:t xml:space="preserve">1). To eliminate the extremely high signals produced by the large veins and sinuses in the CBV map, the top 30% of all values in each map were deleted to exclude them from the subsequent regional value </w:t>
      </w:r>
      <w:proofErr w:type="gramStart"/>
      <w:r w:rsidRPr="00B12F3B">
        <w:rPr>
          <w:rFonts w:eastAsia="ＭＳ 明朝"/>
        </w:rPr>
        <w:t>analysis(</w:t>
      </w:r>
      <w:proofErr w:type="gramEnd"/>
      <w:r w:rsidRPr="00B12F3B">
        <w:rPr>
          <w:rFonts w:eastAsia="ＭＳ 明朝"/>
        </w:rPr>
        <w:t xml:space="preserve">1). A log transformation was applied to CBV values measured with PET because raw CBV values showed skewed distribution due to the </w:t>
      </w:r>
      <w:proofErr w:type="spellStart"/>
      <w:r w:rsidRPr="00B12F3B">
        <w:rPr>
          <w:rFonts w:eastAsia="ＭＳ 明朝"/>
        </w:rPr>
        <w:t>augumentation</w:t>
      </w:r>
      <w:proofErr w:type="spellEnd"/>
      <w:r w:rsidRPr="00B12F3B">
        <w:rPr>
          <w:rFonts w:eastAsia="ＭＳ 明朝"/>
        </w:rPr>
        <w:t xml:space="preserve"> of the vasculature by </w:t>
      </w:r>
      <w:proofErr w:type="spellStart"/>
      <w:r w:rsidRPr="00B12F3B">
        <w:rPr>
          <w:rFonts w:eastAsia="ＭＳ 明朝"/>
        </w:rPr>
        <w:t>moyamoya</w:t>
      </w:r>
      <w:proofErr w:type="spellEnd"/>
      <w:r w:rsidRPr="00B12F3B">
        <w:rPr>
          <w:rFonts w:eastAsia="ＭＳ 明朝"/>
        </w:rPr>
        <w:t xml:space="preserve"> </w:t>
      </w:r>
      <w:proofErr w:type="gramStart"/>
      <w:r w:rsidRPr="00B12F3B">
        <w:rPr>
          <w:rFonts w:eastAsia="ＭＳ 明朝"/>
        </w:rPr>
        <w:t>vessels(</w:t>
      </w:r>
      <w:proofErr w:type="gramEnd"/>
      <w:r w:rsidRPr="00B12F3B">
        <w:rPr>
          <w:rFonts w:eastAsia="ＭＳ 明朝"/>
        </w:rPr>
        <w:t>2, 6).</w:t>
      </w:r>
    </w:p>
    <w:p w14:paraId="0B9632F1" w14:textId="288BAF10" w:rsidR="00B2396F" w:rsidRPr="00B12F3B" w:rsidRDefault="00ED24EA" w:rsidP="00B12F3B">
      <w:pPr>
        <w:spacing w:line="480" w:lineRule="auto"/>
        <w:rPr>
          <w:rFonts w:eastAsia="ＭＳ 明朝"/>
        </w:rPr>
      </w:pPr>
      <w:r w:rsidRPr="00B12F3B">
        <w:rPr>
          <w:rFonts w:eastAsia="ＭＳ 明朝"/>
        </w:rPr>
        <w:t xml:space="preserve">After the left and right hemispheric ROIs were created, all ROIs were overlaid on </w:t>
      </w:r>
      <w:r w:rsidR="00861FBD" w:rsidRPr="00B12F3B">
        <w:rPr>
          <w:i/>
        </w:rPr>
        <w:t>V</w:t>
      </w:r>
      <w:r w:rsidR="00861FBD" w:rsidRPr="00B12F3B">
        <w:rPr>
          <w:i/>
          <w:vertAlign w:val="subscript"/>
        </w:rPr>
        <w:t>iso</w:t>
      </w:r>
      <w:r w:rsidRPr="00B12F3B">
        <w:rPr>
          <w:rFonts w:eastAsia="ＭＳ 明朝"/>
        </w:rPr>
        <w:t xml:space="preserve"> and PET parametric maps of each patient and visually inspected to ensure appropriate calculation of regional values.</w:t>
      </w:r>
    </w:p>
    <w:p w14:paraId="4CFC3906" w14:textId="77777777" w:rsidR="009E57A0" w:rsidRPr="00B12F3B" w:rsidRDefault="009E57A0" w:rsidP="00B12F3B">
      <w:pPr>
        <w:spacing w:line="480" w:lineRule="auto"/>
        <w:rPr>
          <w:rFonts w:eastAsia="ＭＳ 明朝"/>
        </w:rPr>
      </w:pPr>
    </w:p>
    <w:p w14:paraId="557A34E7" w14:textId="77777777" w:rsidR="009E57A0" w:rsidRPr="00B12F3B" w:rsidRDefault="009E57A0" w:rsidP="00B12F3B">
      <w:pPr>
        <w:spacing w:line="480" w:lineRule="auto"/>
        <w:rPr>
          <w:rFonts w:eastAsiaTheme="minorEastAsia"/>
          <w:b/>
          <w:bCs/>
        </w:rPr>
      </w:pPr>
      <w:r w:rsidRPr="00B12F3B">
        <w:rPr>
          <w:rFonts w:eastAsiaTheme="minorEastAsia"/>
          <w:b/>
          <w:bCs/>
        </w:rPr>
        <w:t>Supplemental Results</w:t>
      </w:r>
    </w:p>
    <w:p w14:paraId="4C4C6725" w14:textId="77777777" w:rsidR="009E57A0" w:rsidRPr="00B12F3B" w:rsidRDefault="009E57A0" w:rsidP="00B12F3B">
      <w:pPr>
        <w:spacing w:line="480" w:lineRule="auto"/>
        <w:ind w:firstLineChars="100" w:firstLine="240"/>
      </w:pPr>
      <w:r w:rsidRPr="00B12F3B">
        <w:lastRenderedPageBreak/>
        <w:t>The ALPS index (</w:t>
      </w:r>
      <w:r w:rsidRPr="00B12F3B">
        <w:rPr>
          <w:i/>
        </w:rPr>
        <w:t>b</w:t>
      </w:r>
      <w:r w:rsidRPr="00B12F3B">
        <w:t>=2850) showed significant positive correlation between the ALPS index (</w:t>
      </w:r>
      <w:r w:rsidRPr="00B12F3B">
        <w:rPr>
          <w:i/>
        </w:rPr>
        <w:t>b</w:t>
      </w:r>
      <w:r w:rsidRPr="00B12F3B">
        <w:t xml:space="preserve">=700, </w:t>
      </w:r>
      <w:r w:rsidRPr="00B12F3B">
        <w:rPr>
          <w:i/>
        </w:rPr>
        <w:t>r</w:t>
      </w:r>
      <w:r w:rsidRPr="00B12F3B">
        <w:t xml:space="preserve">=0.59–0.89, </w:t>
      </w:r>
      <w:r w:rsidRPr="00B12F3B">
        <w:rPr>
          <w:i/>
        </w:rPr>
        <w:t>P</w:t>
      </w:r>
      <w:r w:rsidRPr="00B12F3B">
        <w:t>&lt;.001 for patients and controls, Supplemental Fig.1). The ALPS index (</w:t>
      </w:r>
      <w:r w:rsidRPr="00B12F3B">
        <w:rPr>
          <w:i/>
          <w:iCs/>
        </w:rPr>
        <w:t>b</w:t>
      </w:r>
      <w:r w:rsidRPr="00B12F3B">
        <w:t>=2850) tended to be smaller than the ALPS index (</w:t>
      </w:r>
      <w:r w:rsidRPr="00B12F3B">
        <w:rPr>
          <w:i/>
        </w:rPr>
        <w:t>b</w:t>
      </w:r>
      <w:r w:rsidRPr="00B12F3B">
        <w:t xml:space="preserve">=700, average difference ranges from -0.51 to -0.30), and the difference became larger when the value became larger. The difference between patients and controls, or the correlation between </w:t>
      </w:r>
      <w:r w:rsidRPr="00B12F3B">
        <w:rPr>
          <w:i/>
        </w:rPr>
        <w:t>V</w:t>
      </w:r>
      <w:r w:rsidRPr="00B12F3B">
        <w:rPr>
          <w:i/>
          <w:vertAlign w:val="subscript"/>
        </w:rPr>
        <w:t>iso</w:t>
      </w:r>
      <w:r w:rsidRPr="00B12F3B">
        <w:t xml:space="preserve">, PET parameters and cognitive function was similar, but relatively weak, compared to the ALPS index measured with </w:t>
      </w:r>
      <w:r w:rsidRPr="00B12F3B">
        <w:rPr>
          <w:i/>
        </w:rPr>
        <w:t>b</w:t>
      </w:r>
      <w:r w:rsidRPr="00B12F3B">
        <w:t>=700 (Supplemental Table 1, 2, Fig. 2 and 3).</w:t>
      </w:r>
    </w:p>
    <w:p w14:paraId="00CED1B0" w14:textId="77777777" w:rsidR="009E57A0" w:rsidRPr="00B12F3B" w:rsidRDefault="009E57A0" w:rsidP="00B12F3B">
      <w:pPr>
        <w:spacing w:line="480" w:lineRule="auto"/>
        <w:rPr>
          <w:rFonts w:eastAsia="ＭＳ 明朝"/>
        </w:rPr>
      </w:pPr>
    </w:p>
    <w:p w14:paraId="4AD6408B" w14:textId="77777777" w:rsidR="009E57A0" w:rsidRPr="00B12F3B" w:rsidRDefault="009E57A0" w:rsidP="00B12F3B">
      <w:pPr>
        <w:spacing w:line="480" w:lineRule="auto"/>
        <w:rPr>
          <w:rFonts w:eastAsiaTheme="minorEastAsia"/>
          <w:b/>
          <w:bCs/>
        </w:rPr>
      </w:pPr>
      <w:r w:rsidRPr="00B12F3B">
        <w:rPr>
          <w:rFonts w:eastAsiaTheme="minorEastAsia"/>
          <w:b/>
          <w:bCs/>
        </w:rPr>
        <w:t>Supplemental Discussion</w:t>
      </w:r>
    </w:p>
    <w:p w14:paraId="0850E2DB" w14:textId="1876FE13" w:rsidR="009E57A0" w:rsidRPr="00B12F3B" w:rsidRDefault="009E57A0" w:rsidP="00B12F3B">
      <w:pPr>
        <w:spacing w:line="480" w:lineRule="auto"/>
        <w:rPr>
          <w:rFonts w:eastAsia="ＭＳ 明朝"/>
        </w:rPr>
      </w:pPr>
      <w:r w:rsidRPr="00B12F3B">
        <w:t xml:space="preserve">    Although both the left and the right ALPS index of patients was lower than controls, significant correlation between perfusion, </w:t>
      </w:r>
      <w:proofErr w:type="spellStart"/>
      <w:r w:rsidRPr="00B12F3B">
        <w:t>freewater</w:t>
      </w:r>
      <w:proofErr w:type="spellEnd"/>
      <w:r w:rsidRPr="00B12F3B">
        <w:t xml:space="preserve"> and cognitive function was found only between the left ALPS index. Because no significant difference was observed between the left and the right side regarding clinical status, the ALPS index, </w:t>
      </w:r>
      <w:r w:rsidRPr="00B12F3B">
        <w:rPr>
          <w:i/>
        </w:rPr>
        <w:t>V</w:t>
      </w:r>
      <w:r w:rsidRPr="00B12F3B">
        <w:rPr>
          <w:i/>
          <w:vertAlign w:val="subscript"/>
        </w:rPr>
        <w:t>iso</w:t>
      </w:r>
      <w:r w:rsidRPr="00B12F3B">
        <w:t xml:space="preserve">, or PET parameters, we believe the lack of correlation in the right ALPS index is due to the right ALPS index calculated by our method itself. Because the asymmetry of the fiber component exists between the right and the left superior longitudinal </w:t>
      </w:r>
      <w:proofErr w:type="gramStart"/>
      <w:r w:rsidRPr="00B12F3B">
        <w:t>fasciculu</w:t>
      </w:r>
      <w:r w:rsidRPr="00B12F3B">
        <w:rPr>
          <w:rFonts w:eastAsia="ＭＳ 明朝"/>
        </w:rPr>
        <w:t>s(</w:t>
      </w:r>
      <w:proofErr w:type="gramEnd"/>
      <w:r w:rsidRPr="00B12F3B">
        <w:rPr>
          <w:rFonts w:eastAsia="ＭＳ 明朝"/>
        </w:rPr>
        <w:t xml:space="preserve">31, 32) where the ROIs are placed, the laterality of the fiber components might affect the diffusivity along each direction and calculated values of ALPS index. Previous studies using the same 5-mm-ROI method also found difference between the left and the right ALPS index. In hypertensive patients and elderly subjects with history of contact sports, no significant difference between the patients and controls were observed in the right ALPS index measured while the left ALPS index showed significant </w:t>
      </w:r>
      <w:proofErr w:type="gramStart"/>
      <w:r w:rsidRPr="00B12F3B">
        <w:rPr>
          <w:rFonts w:eastAsia="ＭＳ 明朝"/>
        </w:rPr>
        <w:t>difference(</w:t>
      </w:r>
      <w:proofErr w:type="gramEnd"/>
      <w:r w:rsidRPr="00B12F3B">
        <w:rPr>
          <w:rFonts w:eastAsia="ＭＳ 明朝"/>
        </w:rPr>
        <w:t xml:space="preserve">15, 16). On the other hand, a study using 3-mm ROIs reported significant correlation between the right ALPS index and cognitive function, but not between the left ALPS index, in patients with Alzheimer’s </w:t>
      </w:r>
      <w:proofErr w:type="gramStart"/>
      <w:r w:rsidRPr="00B12F3B">
        <w:rPr>
          <w:rFonts w:eastAsia="ＭＳ 明朝"/>
        </w:rPr>
        <w:t>disease(</w:t>
      </w:r>
      <w:proofErr w:type="gramEnd"/>
      <w:r w:rsidRPr="00B12F3B">
        <w:rPr>
          <w:rFonts w:eastAsia="ＭＳ 明朝"/>
        </w:rPr>
        <w:t xml:space="preserve">33). Because the clinical or perfusion asymmetry between the right and the left hemispheres is common in patients with </w:t>
      </w:r>
      <w:proofErr w:type="spellStart"/>
      <w:r w:rsidRPr="00B12F3B">
        <w:rPr>
          <w:rFonts w:eastAsia="ＭＳ 明朝"/>
        </w:rPr>
        <w:lastRenderedPageBreak/>
        <w:t>moyamoya</w:t>
      </w:r>
      <w:proofErr w:type="spellEnd"/>
      <w:r w:rsidRPr="00B12F3B">
        <w:rPr>
          <w:rFonts w:eastAsia="ＭＳ 明朝"/>
        </w:rPr>
        <w:t xml:space="preserve"> disease, it is meaningful if the ALPS index of both hemispheres can be effectively assessed. Optimal method to evaluate the ALPS index in both sides, including the size of </w:t>
      </w:r>
      <w:proofErr w:type="gramStart"/>
      <w:r w:rsidRPr="00B12F3B">
        <w:rPr>
          <w:rFonts w:eastAsia="ＭＳ 明朝"/>
        </w:rPr>
        <w:t>ROIs(</w:t>
      </w:r>
      <w:proofErr w:type="gramEnd"/>
      <w:r w:rsidRPr="00B12F3B">
        <w:rPr>
          <w:rFonts w:eastAsia="ＭＳ 明朝"/>
        </w:rPr>
        <w:t xml:space="preserve">13), still need to be evaluated in future. </w:t>
      </w:r>
    </w:p>
    <w:p w14:paraId="53303854" w14:textId="56FD69DB" w:rsidR="009E57A0" w:rsidRPr="00B12F3B" w:rsidRDefault="009E57A0" w:rsidP="00B12F3B">
      <w:pPr>
        <w:spacing w:line="480" w:lineRule="auto"/>
        <w:rPr>
          <w:rFonts w:eastAsia="ＭＳ 明朝"/>
        </w:rPr>
      </w:pPr>
      <w:r w:rsidRPr="00B12F3B">
        <w:t xml:space="preserve">    Compared to the ALPS index calculated from </w:t>
      </w:r>
      <w:r w:rsidRPr="00B12F3B">
        <w:rPr>
          <w:i/>
        </w:rPr>
        <w:t>b</w:t>
      </w:r>
      <w:r w:rsidRPr="00B12F3B">
        <w:t xml:space="preserve">=0 and 700, the ALPS index calculated from </w:t>
      </w:r>
      <w:r w:rsidRPr="00B12F3B">
        <w:rPr>
          <w:i/>
        </w:rPr>
        <w:t>b</w:t>
      </w:r>
      <w:r w:rsidRPr="00B12F3B">
        <w:t xml:space="preserve">=0 and 2850 showed smaller values and the correlation between the </w:t>
      </w:r>
      <w:proofErr w:type="spellStart"/>
      <w:r w:rsidRPr="00B12F3B">
        <w:t>freewater</w:t>
      </w:r>
      <w:proofErr w:type="spellEnd"/>
      <w:r w:rsidRPr="00B12F3B">
        <w:t xml:space="preserve"> and perfusion parameters was relatively weak. The original study of the ALPS index also showed smaller values using high </w:t>
      </w:r>
      <w:r w:rsidRPr="00B12F3B">
        <w:rPr>
          <w:i/>
        </w:rPr>
        <w:t>b</w:t>
      </w:r>
      <w:r w:rsidRPr="00B12F3B">
        <w:t xml:space="preserve"> values (</w:t>
      </w:r>
      <w:r w:rsidRPr="00B12F3B">
        <w:rPr>
          <w:i/>
        </w:rPr>
        <w:t>b</w:t>
      </w:r>
      <w:r w:rsidRPr="00B12F3B">
        <w:t xml:space="preserve">=2000) compared to low </w:t>
      </w:r>
      <w:r w:rsidRPr="00B12F3B">
        <w:rPr>
          <w:i/>
        </w:rPr>
        <w:t>b</w:t>
      </w:r>
      <w:r w:rsidRPr="00B12F3B">
        <w:t xml:space="preserve"> values (</w:t>
      </w:r>
      <w:r w:rsidRPr="00B12F3B">
        <w:rPr>
          <w:i/>
        </w:rPr>
        <w:t>b</w:t>
      </w:r>
      <w:r w:rsidRPr="00B12F3B">
        <w:t>=</w:t>
      </w:r>
      <w:proofErr w:type="gramStart"/>
      <w:r w:rsidRPr="00B12F3B">
        <w:t>100</w:t>
      </w:r>
      <w:r w:rsidRPr="00B12F3B">
        <w:rPr>
          <w:rFonts w:eastAsia="ＭＳ 明朝"/>
        </w:rPr>
        <w:t>0)(</w:t>
      </w:r>
      <w:proofErr w:type="gramEnd"/>
      <w:r w:rsidRPr="00B12F3B">
        <w:rPr>
          <w:rFonts w:eastAsia="ＭＳ 明朝"/>
        </w:rPr>
        <w:t xml:space="preserve">12). </w:t>
      </w:r>
      <w:r w:rsidRPr="00B12F3B">
        <w:t xml:space="preserve">While diffusion signal of small </w:t>
      </w:r>
      <w:r w:rsidRPr="00B12F3B">
        <w:rPr>
          <w:i/>
        </w:rPr>
        <w:t>b</w:t>
      </w:r>
      <w:r w:rsidRPr="00B12F3B">
        <w:t xml:space="preserve"> values such as ≤200 is affected by the perfusion effects (intravoxel incoherent motion), large </w:t>
      </w:r>
      <w:r w:rsidRPr="00B12F3B">
        <w:rPr>
          <w:i/>
        </w:rPr>
        <w:t>b</w:t>
      </w:r>
      <w:r w:rsidRPr="00B12F3B">
        <w:t xml:space="preserve"> values (≥2000) is susceptible to </w:t>
      </w:r>
      <w:proofErr w:type="gramStart"/>
      <w:r w:rsidRPr="00B12F3B">
        <w:t>noise</w:t>
      </w:r>
      <w:r w:rsidRPr="00B12F3B">
        <w:rPr>
          <w:rFonts w:eastAsia="ＭＳ 明朝"/>
        </w:rPr>
        <w:t>(</w:t>
      </w:r>
      <w:proofErr w:type="gramEnd"/>
      <w:r w:rsidRPr="00B12F3B">
        <w:rPr>
          <w:rFonts w:eastAsia="ＭＳ 明朝"/>
        </w:rPr>
        <w:t xml:space="preserve">34). </w:t>
      </w:r>
      <w:r w:rsidRPr="00B12F3B">
        <w:t xml:space="preserve">Although the </w:t>
      </w:r>
      <w:r w:rsidRPr="00B12F3B">
        <w:rPr>
          <w:i/>
        </w:rPr>
        <w:t xml:space="preserve">b </w:t>
      </w:r>
      <w:r w:rsidRPr="00B12F3B">
        <w:t xml:space="preserve">value of 700 we used </w:t>
      </w:r>
      <w:proofErr w:type="gramStart"/>
      <w:r w:rsidRPr="00B12F3B">
        <w:t>is</w:t>
      </w:r>
      <w:proofErr w:type="gramEnd"/>
      <w:r w:rsidRPr="00B12F3B">
        <w:t xml:space="preserve"> smaller than the original study, theoretically, the diffusion signal at </w:t>
      </w:r>
      <w:r w:rsidRPr="00B12F3B">
        <w:rPr>
          <w:i/>
        </w:rPr>
        <w:t>b</w:t>
      </w:r>
      <w:r w:rsidRPr="00B12F3B">
        <w:t xml:space="preserve">=700 must come from parenchymal microstructure rather than the perfusion effects. On the other hand, </w:t>
      </w:r>
      <w:r w:rsidRPr="00B12F3B">
        <w:rPr>
          <w:i/>
        </w:rPr>
        <w:t>b=</w:t>
      </w:r>
      <w:r w:rsidRPr="00B12F3B">
        <w:t xml:space="preserve">2850 is free from the perfusion effects but may be too large to evaluate the ALPS index considering the noise effect. The noise effect might explain relatively small difference between the patients and controls, as well as relatively weak correlation between the perfusion, </w:t>
      </w:r>
      <w:proofErr w:type="spellStart"/>
      <w:r w:rsidRPr="00B12F3B">
        <w:t>freewater</w:t>
      </w:r>
      <w:proofErr w:type="spellEnd"/>
      <w:r w:rsidRPr="00B12F3B">
        <w:t xml:space="preserve"> parameters and cognitive tests.</w:t>
      </w:r>
    </w:p>
    <w:p w14:paraId="11C7CD2F" w14:textId="77777777" w:rsidR="00B2396F" w:rsidRPr="00B12F3B" w:rsidRDefault="00B2396F" w:rsidP="00B12F3B">
      <w:pPr>
        <w:spacing w:line="480" w:lineRule="auto"/>
        <w:rPr>
          <w:rFonts w:eastAsia="ＭＳ 明朝"/>
        </w:rPr>
      </w:pPr>
      <w:r w:rsidRPr="00B12F3B">
        <w:rPr>
          <w:rFonts w:eastAsia="ＭＳ 明朝"/>
        </w:rPr>
        <w:br w:type="page"/>
      </w:r>
    </w:p>
    <w:p w14:paraId="1151BF31" w14:textId="77777777" w:rsidR="00311552" w:rsidRPr="00B12F3B" w:rsidRDefault="00311552" w:rsidP="00B12F3B">
      <w:pPr>
        <w:spacing w:line="480" w:lineRule="auto"/>
        <w:rPr>
          <w:rFonts w:eastAsiaTheme="minorEastAsia"/>
          <w:b/>
          <w:bCs/>
        </w:rPr>
      </w:pPr>
      <w:r w:rsidRPr="00B12F3B">
        <w:rPr>
          <w:rFonts w:eastAsiaTheme="minorEastAsia"/>
          <w:b/>
          <w:bCs/>
        </w:rPr>
        <w:lastRenderedPageBreak/>
        <w:t xml:space="preserve">Supplemental Figures and Tables </w:t>
      </w:r>
    </w:p>
    <w:p w14:paraId="39174BC8" w14:textId="77777777" w:rsidR="00B2396F" w:rsidRPr="00B12F3B" w:rsidRDefault="00B2396F" w:rsidP="00B12F3B">
      <w:pPr>
        <w:spacing w:line="480" w:lineRule="auto"/>
        <w:rPr>
          <w:b/>
        </w:rPr>
      </w:pPr>
    </w:p>
    <w:p w14:paraId="4DC30AFA" w14:textId="77777777" w:rsidR="00B2396F" w:rsidRPr="00B12F3B" w:rsidRDefault="00B2396F" w:rsidP="00B12F3B">
      <w:pPr>
        <w:spacing w:line="480" w:lineRule="auto"/>
        <w:rPr>
          <w:rFonts w:eastAsiaTheme="minorEastAsia"/>
        </w:rPr>
      </w:pPr>
      <w:r w:rsidRPr="00B12F3B">
        <w:rPr>
          <w:noProof/>
        </w:rPr>
        <w:drawing>
          <wp:inline distT="0" distB="0" distL="0" distR="0" wp14:anchorId="6F6C0D4B" wp14:editId="1F46EAD6">
            <wp:extent cx="5727700" cy="42957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27700" cy="4295775"/>
                    </a:xfrm>
                    <a:prstGeom prst="rect">
                      <a:avLst/>
                    </a:prstGeom>
                  </pic:spPr>
                </pic:pic>
              </a:graphicData>
            </a:graphic>
          </wp:inline>
        </w:drawing>
      </w:r>
    </w:p>
    <w:p w14:paraId="4E88F20F" w14:textId="77777777" w:rsidR="00B2396F" w:rsidRPr="00B12F3B" w:rsidRDefault="00B2396F" w:rsidP="00B12F3B">
      <w:pPr>
        <w:spacing w:line="480" w:lineRule="auto"/>
      </w:pPr>
      <w:r w:rsidRPr="00B12F3B">
        <w:rPr>
          <w:b/>
        </w:rPr>
        <w:t xml:space="preserve">Supplemental Figure 1. Comparison of the ALPS index at </w:t>
      </w:r>
      <w:r w:rsidRPr="00B12F3B">
        <w:rPr>
          <w:b/>
          <w:i/>
        </w:rPr>
        <w:t>b</w:t>
      </w:r>
      <w:r w:rsidRPr="00B12F3B">
        <w:rPr>
          <w:b/>
        </w:rPr>
        <w:t xml:space="preserve">=700 and the ALPS index at </w:t>
      </w:r>
      <w:r w:rsidRPr="00B12F3B">
        <w:rPr>
          <w:b/>
          <w:i/>
        </w:rPr>
        <w:t>b</w:t>
      </w:r>
      <w:r w:rsidRPr="00B12F3B">
        <w:rPr>
          <w:b/>
        </w:rPr>
        <w:t xml:space="preserve">=2850 using Bland‒Altman analysis. </w:t>
      </w:r>
      <w:r w:rsidRPr="00B12F3B">
        <w:t xml:space="preserve">While the ALPS index values at </w:t>
      </w:r>
      <w:r w:rsidRPr="00B12F3B">
        <w:rPr>
          <w:i/>
        </w:rPr>
        <w:t>b</w:t>
      </w:r>
      <w:r w:rsidRPr="00B12F3B">
        <w:t xml:space="preserve">=700 and </w:t>
      </w:r>
      <w:r w:rsidRPr="00B12F3B">
        <w:rPr>
          <w:i/>
        </w:rPr>
        <w:t>b</w:t>
      </w:r>
      <w:r w:rsidRPr="00B12F3B">
        <w:t xml:space="preserve">=2850 were significantly correlated with each other, the values at </w:t>
      </w:r>
      <w:r w:rsidRPr="00B12F3B">
        <w:rPr>
          <w:i/>
        </w:rPr>
        <w:t>b</w:t>
      </w:r>
      <w:r w:rsidRPr="00B12F3B">
        <w:t xml:space="preserve">=700 were significantly larger than those at </w:t>
      </w:r>
      <w:r w:rsidRPr="00B12F3B">
        <w:rPr>
          <w:i/>
        </w:rPr>
        <w:t>b</w:t>
      </w:r>
      <w:r w:rsidRPr="00B12F3B">
        <w:t>=2850.</w:t>
      </w:r>
    </w:p>
    <w:p w14:paraId="76BB1019" w14:textId="77777777" w:rsidR="00B2396F" w:rsidRPr="00B12F3B" w:rsidRDefault="00B2396F" w:rsidP="00B12F3B">
      <w:pPr>
        <w:spacing w:line="480" w:lineRule="auto"/>
        <w:rPr>
          <w:rFonts w:eastAsiaTheme="minorEastAsia"/>
        </w:rPr>
      </w:pPr>
      <w:r w:rsidRPr="00B12F3B">
        <w:t>*</w:t>
      </w:r>
      <w:r w:rsidRPr="00B12F3B">
        <w:rPr>
          <w:i/>
        </w:rPr>
        <w:t>P</w:t>
      </w:r>
      <w:r w:rsidRPr="00B12F3B">
        <w:t>&lt;.05 (Pearson’s correlation analysis).</w:t>
      </w:r>
    </w:p>
    <w:p w14:paraId="01658972" w14:textId="77777777" w:rsidR="00B2396F" w:rsidRPr="00B12F3B" w:rsidRDefault="00B2396F" w:rsidP="00B12F3B">
      <w:pPr>
        <w:spacing w:line="480" w:lineRule="auto"/>
        <w:rPr>
          <w:rFonts w:eastAsiaTheme="minorEastAsia"/>
        </w:rPr>
      </w:pPr>
    </w:p>
    <w:p w14:paraId="2F567F5B" w14:textId="77777777" w:rsidR="00B2396F" w:rsidRPr="00B12F3B" w:rsidRDefault="00B2396F" w:rsidP="00B12F3B">
      <w:pPr>
        <w:spacing w:line="480" w:lineRule="auto"/>
        <w:rPr>
          <w:rFonts w:eastAsiaTheme="minorEastAsia"/>
          <w:b/>
        </w:rPr>
      </w:pPr>
      <w:r w:rsidRPr="00B12F3B">
        <w:rPr>
          <w:b/>
        </w:rPr>
        <w:br w:type="page"/>
      </w:r>
    </w:p>
    <w:tbl>
      <w:tblPr>
        <w:tblW w:w="9397" w:type="dxa"/>
        <w:tblLook w:val="04A0" w:firstRow="1" w:lastRow="0" w:firstColumn="1" w:lastColumn="0" w:noHBand="0" w:noVBand="1"/>
      </w:tblPr>
      <w:tblGrid>
        <w:gridCol w:w="1789"/>
        <w:gridCol w:w="1330"/>
        <w:gridCol w:w="1417"/>
        <w:gridCol w:w="958"/>
        <w:gridCol w:w="1405"/>
        <w:gridCol w:w="1405"/>
        <w:gridCol w:w="1093"/>
      </w:tblGrid>
      <w:tr w:rsidR="00B2396F" w:rsidRPr="00B12F3B" w14:paraId="40EA2A78" w14:textId="77777777" w:rsidTr="00696CFD">
        <w:trPr>
          <w:trHeight w:val="329"/>
        </w:trPr>
        <w:tc>
          <w:tcPr>
            <w:tcW w:w="1789" w:type="dxa"/>
            <w:tcBorders>
              <w:top w:val="nil"/>
              <w:left w:val="nil"/>
              <w:bottom w:val="nil"/>
              <w:right w:val="nil"/>
            </w:tcBorders>
            <w:shd w:val="clear" w:color="auto" w:fill="auto"/>
            <w:noWrap/>
            <w:vAlign w:val="bottom"/>
            <w:hideMark/>
          </w:tcPr>
          <w:p w14:paraId="24608E98" w14:textId="77777777" w:rsidR="00B2396F" w:rsidRPr="00B12F3B" w:rsidRDefault="00B2396F" w:rsidP="00B12F3B">
            <w:pPr>
              <w:spacing w:line="480" w:lineRule="auto"/>
              <w:jc w:val="center"/>
              <w:rPr>
                <w:rFonts w:eastAsiaTheme="minorEastAsia"/>
              </w:rPr>
            </w:pPr>
          </w:p>
        </w:tc>
        <w:tc>
          <w:tcPr>
            <w:tcW w:w="3705" w:type="dxa"/>
            <w:gridSpan w:val="3"/>
            <w:tcBorders>
              <w:top w:val="nil"/>
              <w:left w:val="nil"/>
              <w:bottom w:val="nil"/>
              <w:right w:val="nil"/>
            </w:tcBorders>
            <w:shd w:val="clear" w:color="auto" w:fill="auto"/>
            <w:noWrap/>
            <w:vAlign w:val="bottom"/>
            <w:hideMark/>
          </w:tcPr>
          <w:p w14:paraId="274B159B" w14:textId="77777777" w:rsidR="00B2396F" w:rsidRPr="00B12F3B" w:rsidRDefault="00B2396F" w:rsidP="00B12F3B">
            <w:pPr>
              <w:spacing w:line="480" w:lineRule="auto"/>
              <w:jc w:val="center"/>
              <w:rPr>
                <w:color w:val="000000"/>
              </w:rPr>
            </w:pPr>
            <w:r w:rsidRPr="00B12F3B">
              <w:rPr>
                <w:color w:val="000000"/>
              </w:rPr>
              <w:t>Left</w:t>
            </w:r>
          </w:p>
        </w:tc>
        <w:tc>
          <w:tcPr>
            <w:tcW w:w="3903" w:type="dxa"/>
            <w:gridSpan w:val="3"/>
            <w:tcBorders>
              <w:top w:val="nil"/>
              <w:left w:val="nil"/>
              <w:bottom w:val="nil"/>
              <w:right w:val="nil"/>
            </w:tcBorders>
            <w:shd w:val="clear" w:color="auto" w:fill="auto"/>
            <w:noWrap/>
            <w:vAlign w:val="bottom"/>
            <w:hideMark/>
          </w:tcPr>
          <w:p w14:paraId="068895DE" w14:textId="77777777" w:rsidR="00B2396F" w:rsidRPr="00B12F3B" w:rsidRDefault="00B2396F" w:rsidP="00B12F3B">
            <w:pPr>
              <w:spacing w:line="480" w:lineRule="auto"/>
              <w:jc w:val="center"/>
              <w:rPr>
                <w:color w:val="000000"/>
              </w:rPr>
            </w:pPr>
            <w:r w:rsidRPr="00B12F3B">
              <w:rPr>
                <w:color w:val="000000"/>
              </w:rPr>
              <w:t>Right</w:t>
            </w:r>
          </w:p>
        </w:tc>
      </w:tr>
      <w:tr w:rsidR="00B2396F" w:rsidRPr="00B12F3B" w14:paraId="33A7A013" w14:textId="77777777" w:rsidTr="00696CFD">
        <w:trPr>
          <w:trHeight w:val="329"/>
        </w:trPr>
        <w:tc>
          <w:tcPr>
            <w:tcW w:w="1789" w:type="dxa"/>
            <w:tcBorders>
              <w:top w:val="nil"/>
              <w:left w:val="nil"/>
              <w:bottom w:val="single" w:sz="4" w:space="0" w:color="auto"/>
              <w:right w:val="nil"/>
            </w:tcBorders>
            <w:shd w:val="clear" w:color="auto" w:fill="auto"/>
            <w:noWrap/>
            <w:vAlign w:val="bottom"/>
            <w:hideMark/>
          </w:tcPr>
          <w:p w14:paraId="726C245B" w14:textId="77777777" w:rsidR="00B2396F" w:rsidRPr="00B12F3B" w:rsidRDefault="00B2396F" w:rsidP="00B12F3B">
            <w:pPr>
              <w:spacing w:line="480" w:lineRule="auto"/>
              <w:jc w:val="center"/>
              <w:rPr>
                <w:color w:val="000000"/>
              </w:rPr>
            </w:pPr>
            <w:r w:rsidRPr="00B12F3B">
              <w:rPr>
                <w:color w:val="000000"/>
              </w:rPr>
              <w:t>Average (SD)</w:t>
            </w:r>
          </w:p>
        </w:tc>
        <w:tc>
          <w:tcPr>
            <w:tcW w:w="1330" w:type="dxa"/>
            <w:tcBorders>
              <w:top w:val="nil"/>
              <w:left w:val="nil"/>
              <w:bottom w:val="single" w:sz="4" w:space="0" w:color="auto"/>
              <w:right w:val="nil"/>
            </w:tcBorders>
            <w:shd w:val="clear" w:color="auto" w:fill="auto"/>
            <w:noWrap/>
            <w:vAlign w:val="bottom"/>
            <w:hideMark/>
          </w:tcPr>
          <w:p w14:paraId="39BBA8A7" w14:textId="77777777" w:rsidR="00B2396F" w:rsidRPr="00B12F3B" w:rsidRDefault="00B2396F" w:rsidP="00B12F3B">
            <w:pPr>
              <w:spacing w:line="480" w:lineRule="auto"/>
              <w:jc w:val="center"/>
              <w:rPr>
                <w:color w:val="000000"/>
              </w:rPr>
            </w:pPr>
            <w:r w:rsidRPr="00B12F3B">
              <w:rPr>
                <w:color w:val="000000"/>
              </w:rPr>
              <w:t>Normal</w:t>
            </w:r>
          </w:p>
        </w:tc>
        <w:tc>
          <w:tcPr>
            <w:tcW w:w="1417" w:type="dxa"/>
            <w:tcBorders>
              <w:top w:val="nil"/>
              <w:left w:val="nil"/>
              <w:bottom w:val="single" w:sz="4" w:space="0" w:color="auto"/>
              <w:right w:val="nil"/>
            </w:tcBorders>
            <w:shd w:val="clear" w:color="auto" w:fill="auto"/>
            <w:noWrap/>
            <w:vAlign w:val="bottom"/>
            <w:hideMark/>
          </w:tcPr>
          <w:p w14:paraId="6F41D03A" w14:textId="77777777" w:rsidR="00B2396F" w:rsidRPr="00B12F3B" w:rsidRDefault="00B2396F" w:rsidP="00B12F3B">
            <w:pPr>
              <w:spacing w:line="480" w:lineRule="auto"/>
              <w:jc w:val="center"/>
              <w:rPr>
                <w:color w:val="000000"/>
              </w:rPr>
            </w:pPr>
            <w:proofErr w:type="spellStart"/>
            <w:r w:rsidRPr="00B12F3B">
              <w:rPr>
                <w:color w:val="000000"/>
              </w:rPr>
              <w:t>Moyamoya</w:t>
            </w:r>
            <w:proofErr w:type="spellEnd"/>
          </w:p>
        </w:tc>
        <w:tc>
          <w:tcPr>
            <w:tcW w:w="958" w:type="dxa"/>
            <w:tcBorders>
              <w:top w:val="nil"/>
              <w:left w:val="nil"/>
              <w:bottom w:val="single" w:sz="4" w:space="0" w:color="auto"/>
              <w:right w:val="nil"/>
            </w:tcBorders>
            <w:shd w:val="clear" w:color="auto" w:fill="auto"/>
            <w:noWrap/>
            <w:vAlign w:val="bottom"/>
            <w:hideMark/>
          </w:tcPr>
          <w:p w14:paraId="4ADE3ECD" w14:textId="77777777" w:rsidR="00B2396F" w:rsidRPr="00B12F3B" w:rsidRDefault="00B2396F" w:rsidP="00B12F3B">
            <w:pPr>
              <w:spacing w:line="480" w:lineRule="auto"/>
              <w:jc w:val="center"/>
              <w:rPr>
                <w:color w:val="000000"/>
              </w:rPr>
            </w:pPr>
            <w:r w:rsidRPr="00B12F3B">
              <w:rPr>
                <w:i/>
                <w:iCs/>
                <w:color w:val="000000"/>
              </w:rPr>
              <w:t>P</w:t>
            </w:r>
            <w:r w:rsidRPr="00B12F3B">
              <w:rPr>
                <w:color w:val="000000"/>
              </w:rPr>
              <w:t xml:space="preserve"> value</w:t>
            </w:r>
          </w:p>
        </w:tc>
        <w:tc>
          <w:tcPr>
            <w:tcW w:w="1405" w:type="dxa"/>
            <w:tcBorders>
              <w:top w:val="nil"/>
              <w:left w:val="nil"/>
              <w:bottom w:val="single" w:sz="4" w:space="0" w:color="auto"/>
              <w:right w:val="nil"/>
            </w:tcBorders>
            <w:shd w:val="clear" w:color="auto" w:fill="auto"/>
            <w:noWrap/>
            <w:vAlign w:val="bottom"/>
            <w:hideMark/>
          </w:tcPr>
          <w:p w14:paraId="4B1C1085" w14:textId="77777777" w:rsidR="00B2396F" w:rsidRPr="00B12F3B" w:rsidRDefault="00B2396F" w:rsidP="00B12F3B">
            <w:pPr>
              <w:spacing w:line="480" w:lineRule="auto"/>
              <w:jc w:val="center"/>
              <w:rPr>
                <w:color w:val="000000"/>
              </w:rPr>
            </w:pPr>
            <w:r w:rsidRPr="00B12F3B">
              <w:rPr>
                <w:color w:val="000000"/>
              </w:rPr>
              <w:t>Normal</w:t>
            </w:r>
          </w:p>
        </w:tc>
        <w:tc>
          <w:tcPr>
            <w:tcW w:w="1405" w:type="dxa"/>
            <w:tcBorders>
              <w:top w:val="nil"/>
              <w:left w:val="nil"/>
              <w:bottom w:val="single" w:sz="4" w:space="0" w:color="auto"/>
              <w:right w:val="nil"/>
            </w:tcBorders>
            <w:shd w:val="clear" w:color="auto" w:fill="auto"/>
            <w:noWrap/>
            <w:vAlign w:val="bottom"/>
            <w:hideMark/>
          </w:tcPr>
          <w:p w14:paraId="0EB29430" w14:textId="77777777" w:rsidR="00B2396F" w:rsidRPr="00B12F3B" w:rsidRDefault="00B2396F" w:rsidP="00B12F3B">
            <w:pPr>
              <w:spacing w:line="480" w:lineRule="auto"/>
              <w:jc w:val="center"/>
              <w:rPr>
                <w:color w:val="000000"/>
              </w:rPr>
            </w:pPr>
            <w:proofErr w:type="spellStart"/>
            <w:r w:rsidRPr="00B12F3B">
              <w:rPr>
                <w:color w:val="000000"/>
              </w:rPr>
              <w:t>Moyamoya</w:t>
            </w:r>
            <w:proofErr w:type="spellEnd"/>
          </w:p>
        </w:tc>
        <w:tc>
          <w:tcPr>
            <w:tcW w:w="1093" w:type="dxa"/>
            <w:tcBorders>
              <w:top w:val="nil"/>
              <w:left w:val="nil"/>
              <w:bottom w:val="single" w:sz="4" w:space="0" w:color="auto"/>
              <w:right w:val="nil"/>
            </w:tcBorders>
            <w:shd w:val="clear" w:color="auto" w:fill="auto"/>
            <w:noWrap/>
            <w:vAlign w:val="bottom"/>
            <w:hideMark/>
          </w:tcPr>
          <w:p w14:paraId="73EBAF0E" w14:textId="77777777" w:rsidR="00B2396F" w:rsidRPr="00B12F3B" w:rsidRDefault="00B2396F" w:rsidP="00B12F3B">
            <w:pPr>
              <w:spacing w:line="480" w:lineRule="auto"/>
              <w:jc w:val="center"/>
              <w:rPr>
                <w:color w:val="000000"/>
              </w:rPr>
            </w:pPr>
            <w:r w:rsidRPr="00B12F3B">
              <w:rPr>
                <w:i/>
                <w:iCs/>
                <w:color w:val="000000"/>
              </w:rPr>
              <w:t>P</w:t>
            </w:r>
            <w:r w:rsidRPr="00B12F3B">
              <w:rPr>
                <w:color w:val="000000"/>
              </w:rPr>
              <w:t xml:space="preserve"> value</w:t>
            </w:r>
          </w:p>
        </w:tc>
      </w:tr>
      <w:tr w:rsidR="00B2396F" w:rsidRPr="00B12F3B" w14:paraId="43111570" w14:textId="77777777" w:rsidTr="00696CFD">
        <w:trPr>
          <w:trHeight w:val="329"/>
        </w:trPr>
        <w:tc>
          <w:tcPr>
            <w:tcW w:w="1789" w:type="dxa"/>
            <w:tcBorders>
              <w:top w:val="nil"/>
              <w:left w:val="nil"/>
              <w:bottom w:val="nil"/>
              <w:right w:val="nil"/>
            </w:tcBorders>
            <w:shd w:val="clear" w:color="auto" w:fill="auto"/>
            <w:noWrap/>
            <w:vAlign w:val="bottom"/>
            <w:hideMark/>
          </w:tcPr>
          <w:p w14:paraId="40B4D9A3" w14:textId="77777777" w:rsidR="00B2396F" w:rsidRPr="00B12F3B" w:rsidRDefault="00B2396F" w:rsidP="00B12F3B">
            <w:pPr>
              <w:spacing w:line="480" w:lineRule="auto"/>
              <w:jc w:val="center"/>
              <w:rPr>
                <w:color w:val="000000"/>
              </w:rPr>
            </w:pPr>
            <w:r w:rsidRPr="00B12F3B">
              <w:rPr>
                <w:color w:val="000000"/>
              </w:rPr>
              <w:t xml:space="preserve">ALPS index  </w:t>
            </w:r>
            <w:r w:rsidRPr="00B12F3B">
              <w:rPr>
                <w:color w:val="000000"/>
              </w:rPr>
              <w:br/>
              <w:t xml:space="preserve">  (</w:t>
            </w:r>
            <w:r w:rsidRPr="00B12F3B">
              <w:rPr>
                <w:i/>
                <w:iCs/>
                <w:color w:val="000000"/>
              </w:rPr>
              <w:t>b</w:t>
            </w:r>
            <w:r w:rsidRPr="00B12F3B">
              <w:rPr>
                <w:color w:val="000000"/>
              </w:rPr>
              <w:t>=700)</w:t>
            </w:r>
          </w:p>
        </w:tc>
        <w:tc>
          <w:tcPr>
            <w:tcW w:w="1330" w:type="dxa"/>
            <w:tcBorders>
              <w:top w:val="nil"/>
              <w:left w:val="nil"/>
              <w:bottom w:val="nil"/>
              <w:right w:val="nil"/>
            </w:tcBorders>
            <w:shd w:val="clear" w:color="auto" w:fill="auto"/>
            <w:noWrap/>
            <w:vAlign w:val="bottom"/>
            <w:hideMark/>
          </w:tcPr>
          <w:p w14:paraId="750E08CB" w14:textId="77777777" w:rsidR="00B2396F" w:rsidRPr="00B12F3B" w:rsidRDefault="00B2396F" w:rsidP="00B12F3B">
            <w:pPr>
              <w:spacing w:line="480" w:lineRule="auto"/>
              <w:jc w:val="center"/>
              <w:rPr>
                <w:color w:val="000000"/>
              </w:rPr>
            </w:pPr>
            <w:r w:rsidRPr="00B12F3B">
              <w:rPr>
                <w:color w:val="000000"/>
              </w:rPr>
              <w:t>1.94 (0.27)</w:t>
            </w:r>
          </w:p>
        </w:tc>
        <w:tc>
          <w:tcPr>
            <w:tcW w:w="1417" w:type="dxa"/>
            <w:tcBorders>
              <w:top w:val="nil"/>
              <w:left w:val="nil"/>
              <w:bottom w:val="nil"/>
              <w:right w:val="nil"/>
            </w:tcBorders>
            <w:shd w:val="clear" w:color="auto" w:fill="auto"/>
            <w:noWrap/>
            <w:vAlign w:val="bottom"/>
            <w:hideMark/>
          </w:tcPr>
          <w:p w14:paraId="367457FF" w14:textId="77777777" w:rsidR="00B2396F" w:rsidRPr="00B12F3B" w:rsidRDefault="00B2396F" w:rsidP="00B12F3B">
            <w:pPr>
              <w:spacing w:line="480" w:lineRule="auto"/>
              <w:jc w:val="center"/>
              <w:rPr>
                <w:color w:val="000000"/>
              </w:rPr>
            </w:pPr>
            <w:r w:rsidRPr="00B12F3B">
              <w:rPr>
                <w:color w:val="000000"/>
              </w:rPr>
              <w:t>1.65 (0.25)</w:t>
            </w:r>
          </w:p>
        </w:tc>
        <w:tc>
          <w:tcPr>
            <w:tcW w:w="958" w:type="dxa"/>
            <w:tcBorders>
              <w:top w:val="nil"/>
              <w:left w:val="nil"/>
              <w:bottom w:val="nil"/>
              <w:right w:val="nil"/>
            </w:tcBorders>
            <w:shd w:val="clear" w:color="auto" w:fill="auto"/>
            <w:noWrap/>
            <w:vAlign w:val="bottom"/>
            <w:hideMark/>
          </w:tcPr>
          <w:p w14:paraId="28609C0B" w14:textId="77777777" w:rsidR="00B2396F" w:rsidRPr="00B12F3B" w:rsidRDefault="00B2396F" w:rsidP="00B12F3B">
            <w:pPr>
              <w:spacing w:line="480" w:lineRule="auto"/>
              <w:jc w:val="center"/>
              <w:rPr>
                <w:color w:val="000000"/>
              </w:rPr>
            </w:pPr>
            <w:r w:rsidRPr="00B12F3B">
              <w:rPr>
                <w:color w:val="000000"/>
              </w:rPr>
              <w:t>&lt;.001*</w:t>
            </w:r>
          </w:p>
        </w:tc>
        <w:tc>
          <w:tcPr>
            <w:tcW w:w="1405" w:type="dxa"/>
            <w:tcBorders>
              <w:top w:val="nil"/>
              <w:left w:val="nil"/>
              <w:bottom w:val="nil"/>
              <w:right w:val="nil"/>
            </w:tcBorders>
            <w:shd w:val="clear" w:color="auto" w:fill="auto"/>
            <w:noWrap/>
            <w:vAlign w:val="bottom"/>
            <w:hideMark/>
          </w:tcPr>
          <w:p w14:paraId="1D4F13A3" w14:textId="77777777" w:rsidR="00B2396F" w:rsidRPr="00B12F3B" w:rsidRDefault="00B2396F" w:rsidP="00B12F3B">
            <w:pPr>
              <w:spacing w:line="480" w:lineRule="auto"/>
              <w:jc w:val="center"/>
              <w:rPr>
                <w:color w:val="000000"/>
              </w:rPr>
            </w:pPr>
            <w:r w:rsidRPr="00B12F3B">
              <w:rPr>
                <w:color w:val="000000"/>
              </w:rPr>
              <w:t>1.93 (0.22)</w:t>
            </w:r>
          </w:p>
        </w:tc>
        <w:tc>
          <w:tcPr>
            <w:tcW w:w="1405" w:type="dxa"/>
            <w:tcBorders>
              <w:top w:val="nil"/>
              <w:left w:val="nil"/>
              <w:bottom w:val="nil"/>
              <w:right w:val="nil"/>
            </w:tcBorders>
            <w:shd w:val="clear" w:color="auto" w:fill="auto"/>
            <w:noWrap/>
            <w:vAlign w:val="bottom"/>
            <w:hideMark/>
          </w:tcPr>
          <w:p w14:paraId="7DB10C2F" w14:textId="77777777" w:rsidR="00B2396F" w:rsidRPr="00B12F3B" w:rsidRDefault="00B2396F" w:rsidP="00B12F3B">
            <w:pPr>
              <w:spacing w:line="480" w:lineRule="auto"/>
              <w:jc w:val="center"/>
              <w:rPr>
                <w:color w:val="000000"/>
              </w:rPr>
            </w:pPr>
            <w:r w:rsidRPr="00B12F3B">
              <w:rPr>
                <w:color w:val="000000"/>
              </w:rPr>
              <w:t>1.65 (0.19)</w:t>
            </w:r>
          </w:p>
        </w:tc>
        <w:tc>
          <w:tcPr>
            <w:tcW w:w="1093" w:type="dxa"/>
            <w:tcBorders>
              <w:top w:val="nil"/>
              <w:left w:val="nil"/>
              <w:bottom w:val="nil"/>
              <w:right w:val="nil"/>
            </w:tcBorders>
            <w:shd w:val="clear" w:color="auto" w:fill="auto"/>
            <w:noWrap/>
            <w:vAlign w:val="bottom"/>
            <w:hideMark/>
          </w:tcPr>
          <w:p w14:paraId="0C2D5B37" w14:textId="77777777" w:rsidR="00B2396F" w:rsidRPr="00B12F3B" w:rsidRDefault="00B2396F" w:rsidP="00B12F3B">
            <w:pPr>
              <w:spacing w:line="480" w:lineRule="auto"/>
              <w:jc w:val="center"/>
              <w:rPr>
                <w:color w:val="000000"/>
              </w:rPr>
            </w:pPr>
            <w:r w:rsidRPr="00B12F3B">
              <w:rPr>
                <w:color w:val="000000"/>
              </w:rPr>
              <w:t>&lt;.001*</w:t>
            </w:r>
          </w:p>
        </w:tc>
      </w:tr>
      <w:tr w:rsidR="00B2396F" w:rsidRPr="00B12F3B" w14:paraId="6387D4DA" w14:textId="77777777" w:rsidTr="00696CFD">
        <w:trPr>
          <w:trHeight w:val="329"/>
        </w:trPr>
        <w:tc>
          <w:tcPr>
            <w:tcW w:w="1789" w:type="dxa"/>
            <w:tcBorders>
              <w:top w:val="nil"/>
              <w:left w:val="nil"/>
              <w:bottom w:val="single" w:sz="4" w:space="0" w:color="auto"/>
              <w:right w:val="nil"/>
            </w:tcBorders>
            <w:shd w:val="clear" w:color="auto" w:fill="auto"/>
            <w:noWrap/>
            <w:vAlign w:val="bottom"/>
            <w:hideMark/>
          </w:tcPr>
          <w:p w14:paraId="017035F8" w14:textId="77777777" w:rsidR="00B2396F" w:rsidRPr="00B12F3B" w:rsidRDefault="00B2396F" w:rsidP="00B12F3B">
            <w:pPr>
              <w:spacing w:line="480" w:lineRule="auto"/>
              <w:jc w:val="center"/>
              <w:rPr>
                <w:color w:val="000000"/>
              </w:rPr>
            </w:pPr>
            <w:r w:rsidRPr="00B12F3B">
              <w:rPr>
                <w:color w:val="000000"/>
              </w:rPr>
              <w:t xml:space="preserve">ALPS index </w:t>
            </w:r>
            <w:r w:rsidRPr="00B12F3B">
              <w:rPr>
                <w:color w:val="000000"/>
              </w:rPr>
              <w:br/>
              <w:t xml:space="preserve">  (</w:t>
            </w:r>
            <w:r w:rsidRPr="00B12F3B">
              <w:rPr>
                <w:i/>
                <w:iCs/>
                <w:color w:val="000000"/>
              </w:rPr>
              <w:t>b</w:t>
            </w:r>
            <w:r w:rsidRPr="00B12F3B">
              <w:rPr>
                <w:color w:val="000000"/>
              </w:rPr>
              <w:t>=2850)</w:t>
            </w:r>
          </w:p>
        </w:tc>
        <w:tc>
          <w:tcPr>
            <w:tcW w:w="1330" w:type="dxa"/>
            <w:tcBorders>
              <w:top w:val="nil"/>
              <w:left w:val="nil"/>
              <w:bottom w:val="single" w:sz="4" w:space="0" w:color="auto"/>
              <w:right w:val="nil"/>
            </w:tcBorders>
            <w:shd w:val="clear" w:color="auto" w:fill="auto"/>
            <w:noWrap/>
            <w:vAlign w:val="bottom"/>
            <w:hideMark/>
          </w:tcPr>
          <w:p w14:paraId="48D31B1F" w14:textId="77777777" w:rsidR="00B2396F" w:rsidRPr="00B12F3B" w:rsidRDefault="00B2396F" w:rsidP="00B12F3B">
            <w:pPr>
              <w:spacing w:line="480" w:lineRule="auto"/>
              <w:jc w:val="center"/>
              <w:rPr>
                <w:color w:val="000000"/>
              </w:rPr>
            </w:pPr>
            <w:r w:rsidRPr="00B12F3B">
              <w:rPr>
                <w:color w:val="000000"/>
              </w:rPr>
              <w:t>1.44 (0.13)</w:t>
            </w:r>
          </w:p>
        </w:tc>
        <w:tc>
          <w:tcPr>
            <w:tcW w:w="1417" w:type="dxa"/>
            <w:tcBorders>
              <w:top w:val="nil"/>
              <w:left w:val="nil"/>
              <w:bottom w:val="single" w:sz="4" w:space="0" w:color="auto"/>
              <w:right w:val="nil"/>
            </w:tcBorders>
            <w:shd w:val="clear" w:color="auto" w:fill="auto"/>
            <w:noWrap/>
            <w:vAlign w:val="bottom"/>
            <w:hideMark/>
          </w:tcPr>
          <w:p w14:paraId="65C45EA9" w14:textId="77777777" w:rsidR="00B2396F" w:rsidRPr="00B12F3B" w:rsidRDefault="00B2396F" w:rsidP="00B12F3B">
            <w:pPr>
              <w:spacing w:line="480" w:lineRule="auto"/>
              <w:jc w:val="center"/>
              <w:rPr>
                <w:color w:val="000000"/>
              </w:rPr>
            </w:pPr>
            <w:r w:rsidRPr="00B12F3B">
              <w:rPr>
                <w:color w:val="000000"/>
              </w:rPr>
              <w:t>1.34 (0.15)</w:t>
            </w:r>
          </w:p>
        </w:tc>
        <w:tc>
          <w:tcPr>
            <w:tcW w:w="958" w:type="dxa"/>
            <w:tcBorders>
              <w:top w:val="nil"/>
              <w:left w:val="nil"/>
              <w:bottom w:val="single" w:sz="4" w:space="0" w:color="auto"/>
              <w:right w:val="nil"/>
            </w:tcBorders>
            <w:shd w:val="clear" w:color="auto" w:fill="auto"/>
            <w:noWrap/>
            <w:vAlign w:val="bottom"/>
            <w:hideMark/>
          </w:tcPr>
          <w:p w14:paraId="39705C00" w14:textId="77777777" w:rsidR="00B2396F" w:rsidRPr="00B12F3B" w:rsidRDefault="00B2396F" w:rsidP="00B12F3B">
            <w:pPr>
              <w:spacing w:line="480" w:lineRule="auto"/>
              <w:jc w:val="center"/>
              <w:rPr>
                <w:color w:val="000000"/>
              </w:rPr>
            </w:pPr>
            <w:r w:rsidRPr="00B12F3B">
              <w:rPr>
                <w:color w:val="000000"/>
              </w:rPr>
              <w:t>.004*</w:t>
            </w:r>
          </w:p>
        </w:tc>
        <w:tc>
          <w:tcPr>
            <w:tcW w:w="1405" w:type="dxa"/>
            <w:tcBorders>
              <w:top w:val="nil"/>
              <w:left w:val="nil"/>
              <w:bottom w:val="single" w:sz="4" w:space="0" w:color="auto"/>
              <w:right w:val="nil"/>
            </w:tcBorders>
            <w:shd w:val="clear" w:color="auto" w:fill="auto"/>
            <w:noWrap/>
            <w:vAlign w:val="bottom"/>
            <w:hideMark/>
          </w:tcPr>
          <w:p w14:paraId="26864757" w14:textId="77777777" w:rsidR="00B2396F" w:rsidRPr="00B12F3B" w:rsidRDefault="00B2396F" w:rsidP="00B12F3B">
            <w:pPr>
              <w:spacing w:line="480" w:lineRule="auto"/>
              <w:jc w:val="center"/>
              <w:rPr>
                <w:color w:val="000000"/>
              </w:rPr>
            </w:pPr>
            <w:r w:rsidRPr="00B12F3B">
              <w:rPr>
                <w:color w:val="000000"/>
              </w:rPr>
              <w:t>1.48 (0.12)</w:t>
            </w:r>
          </w:p>
        </w:tc>
        <w:tc>
          <w:tcPr>
            <w:tcW w:w="1405" w:type="dxa"/>
            <w:tcBorders>
              <w:top w:val="nil"/>
              <w:left w:val="nil"/>
              <w:bottom w:val="single" w:sz="4" w:space="0" w:color="auto"/>
              <w:right w:val="nil"/>
            </w:tcBorders>
            <w:shd w:val="clear" w:color="auto" w:fill="auto"/>
            <w:noWrap/>
            <w:vAlign w:val="bottom"/>
            <w:hideMark/>
          </w:tcPr>
          <w:p w14:paraId="086B9832" w14:textId="77777777" w:rsidR="00B2396F" w:rsidRPr="00B12F3B" w:rsidRDefault="00B2396F" w:rsidP="00B12F3B">
            <w:pPr>
              <w:spacing w:line="480" w:lineRule="auto"/>
              <w:jc w:val="center"/>
              <w:rPr>
                <w:color w:val="000000"/>
              </w:rPr>
            </w:pPr>
            <w:r w:rsidRPr="00B12F3B">
              <w:rPr>
                <w:color w:val="000000"/>
              </w:rPr>
              <w:t>1.33 (0.18)</w:t>
            </w:r>
          </w:p>
        </w:tc>
        <w:tc>
          <w:tcPr>
            <w:tcW w:w="1093" w:type="dxa"/>
            <w:tcBorders>
              <w:top w:val="nil"/>
              <w:left w:val="nil"/>
              <w:bottom w:val="single" w:sz="4" w:space="0" w:color="auto"/>
              <w:right w:val="nil"/>
            </w:tcBorders>
            <w:shd w:val="clear" w:color="auto" w:fill="auto"/>
            <w:noWrap/>
            <w:vAlign w:val="bottom"/>
            <w:hideMark/>
          </w:tcPr>
          <w:p w14:paraId="22BA637F" w14:textId="77777777" w:rsidR="00B2396F" w:rsidRPr="00B12F3B" w:rsidRDefault="00B2396F" w:rsidP="00B12F3B">
            <w:pPr>
              <w:spacing w:line="480" w:lineRule="auto"/>
              <w:jc w:val="center"/>
              <w:rPr>
                <w:color w:val="000000"/>
              </w:rPr>
            </w:pPr>
            <w:r w:rsidRPr="00B12F3B">
              <w:rPr>
                <w:color w:val="000000"/>
              </w:rPr>
              <w:t>&lt;.001*</w:t>
            </w:r>
          </w:p>
        </w:tc>
      </w:tr>
    </w:tbl>
    <w:p w14:paraId="6CFDA79A" w14:textId="77777777" w:rsidR="00B2396F" w:rsidRPr="00B12F3B" w:rsidRDefault="00B2396F" w:rsidP="00B12F3B">
      <w:pPr>
        <w:spacing w:line="480" w:lineRule="auto"/>
      </w:pPr>
      <w:r w:rsidRPr="00B12F3B">
        <w:rPr>
          <w:b/>
        </w:rPr>
        <w:t xml:space="preserve">Supplemental Table 1. Right and left ALPS index values at </w:t>
      </w:r>
      <w:r w:rsidRPr="00B12F3B">
        <w:rPr>
          <w:b/>
          <w:i/>
        </w:rPr>
        <w:t>b</w:t>
      </w:r>
      <w:r w:rsidRPr="00B12F3B">
        <w:rPr>
          <w:b/>
        </w:rPr>
        <w:t xml:space="preserve">=700 and </w:t>
      </w:r>
      <w:r w:rsidRPr="00B12F3B">
        <w:rPr>
          <w:b/>
          <w:i/>
        </w:rPr>
        <w:t>b</w:t>
      </w:r>
      <w:r w:rsidRPr="00B12F3B">
        <w:rPr>
          <w:b/>
        </w:rPr>
        <w:t>=2850 in patients and controls.</w:t>
      </w:r>
    </w:p>
    <w:p w14:paraId="5A13BB2D" w14:textId="77777777" w:rsidR="00B2396F" w:rsidRPr="00B12F3B" w:rsidRDefault="00B2396F" w:rsidP="00B12F3B">
      <w:pPr>
        <w:spacing w:line="480" w:lineRule="auto"/>
      </w:pPr>
      <w:r w:rsidRPr="00B12F3B">
        <w:t>*</w:t>
      </w:r>
      <w:r w:rsidRPr="00B12F3B">
        <w:rPr>
          <w:i/>
        </w:rPr>
        <w:t>P</w:t>
      </w:r>
      <w:r w:rsidRPr="00B12F3B">
        <w:t>&lt;.05 (unpaired t test comparing patients and controls).</w:t>
      </w:r>
    </w:p>
    <w:p w14:paraId="42008D7B" w14:textId="77777777" w:rsidR="00B2396F" w:rsidRPr="00B12F3B" w:rsidRDefault="00B2396F" w:rsidP="00B12F3B">
      <w:pPr>
        <w:spacing w:line="480" w:lineRule="auto"/>
      </w:pPr>
      <w:r w:rsidRPr="00B12F3B">
        <w:t>SD, standard deviation.</w:t>
      </w:r>
    </w:p>
    <w:p w14:paraId="2A40833F" w14:textId="77777777" w:rsidR="00B2396F" w:rsidRPr="00B12F3B" w:rsidRDefault="00B2396F" w:rsidP="00B12F3B">
      <w:pPr>
        <w:spacing w:line="480" w:lineRule="auto"/>
        <w:rPr>
          <w:b/>
        </w:rPr>
      </w:pPr>
    </w:p>
    <w:p w14:paraId="07F7E061" w14:textId="77777777" w:rsidR="00B2396F" w:rsidRPr="00B12F3B" w:rsidRDefault="00B2396F" w:rsidP="00B12F3B">
      <w:pPr>
        <w:spacing w:line="480" w:lineRule="auto"/>
        <w:rPr>
          <w:b/>
        </w:rPr>
      </w:pPr>
    </w:p>
    <w:p w14:paraId="4B67B092" w14:textId="77777777" w:rsidR="00B2396F" w:rsidRPr="00B12F3B" w:rsidRDefault="00B2396F" w:rsidP="00B12F3B">
      <w:pPr>
        <w:spacing w:line="480" w:lineRule="auto"/>
        <w:rPr>
          <w:b/>
        </w:rPr>
      </w:pPr>
      <w:r w:rsidRPr="00B12F3B">
        <w:rPr>
          <w:b/>
        </w:rPr>
        <w:br w:type="page"/>
      </w:r>
    </w:p>
    <w:p w14:paraId="63EDA7E1" w14:textId="77777777" w:rsidR="00B2396F" w:rsidRPr="00B12F3B" w:rsidRDefault="00B2396F" w:rsidP="00B12F3B">
      <w:pPr>
        <w:spacing w:line="480" w:lineRule="auto"/>
      </w:pPr>
      <w:r w:rsidRPr="00B12F3B">
        <w:rPr>
          <w:noProof/>
        </w:rPr>
        <w:lastRenderedPageBreak/>
        <w:drawing>
          <wp:inline distT="0" distB="0" distL="0" distR="0" wp14:anchorId="7EABDF7E" wp14:editId="22A9D71E">
            <wp:extent cx="4813160" cy="3803015"/>
            <wp:effectExtent l="0" t="0" r="635" b="0"/>
            <wp:docPr id="995948180" name="図 995948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srcRect l="11053" t="11462" r="4906"/>
                    <a:stretch>
                      <a:fillRect/>
                    </a:stretch>
                  </pic:blipFill>
                  <pic:spPr bwMode="auto">
                    <a:xfrm>
                      <a:off x="0" y="0"/>
                      <a:ext cx="4813654" cy="3803405"/>
                    </a:xfrm>
                    <a:prstGeom prst="rect">
                      <a:avLst/>
                    </a:prstGeom>
                    <a:ln>
                      <a:noFill/>
                    </a:ln>
                    <a:extLst>
                      <a:ext uri="{53640926-AAD7-44D8-BBD7-CCE9431645EC}">
                        <a14:shadowObscured xmlns:a14="http://schemas.microsoft.com/office/drawing/2010/main"/>
                      </a:ext>
                    </a:extLst>
                  </pic:spPr>
                </pic:pic>
              </a:graphicData>
            </a:graphic>
          </wp:inline>
        </w:drawing>
      </w:r>
    </w:p>
    <w:p w14:paraId="2F4E5096" w14:textId="77777777" w:rsidR="00B2396F" w:rsidRPr="00B12F3B" w:rsidRDefault="00B2396F" w:rsidP="00B12F3B">
      <w:pPr>
        <w:spacing w:line="480" w:lineRule="auto"/>
        <w:rPr>
          <w:b/>
        </w:rPr>
      </w:pPr>
      <w:r w:rsidRPr="00B12F3B">
        <w:rPr>
          <w:b/>
        </w:rPr>
        <w:t xml:space="preserve">Supplemental Figure 2. Correlation between the ALPS index (at </w:t>
      </w:r>
      <w:r w:rsidRPr="00B12F3B">
        <w:rPr>
          <w:b/>
          <w:i/>
        </w:rPr>
        <w:t>b</w:t>
      </w:r>
      <w:r w:rsidRPr="00B12F3B">
        <w:rPr>
          <w:b/>
        </w:rPr>
        <w:t xml:space="preserve">=2850) and </w:t>
      </w:r>
      <w:r w:rsidRPr="00B12F3B">
        <w:rPr>
          <w:b/>
          <w:i/>
        </w:rPr>
        <w:t>V</w:t>
      </w:r>
      <w:r w:rsidRPr="00B12F3B">
        <w:rPr>
          <w:b/>
          <w:i/>
          <w:vertAlign w:val="subscript"/>
        </w:rPr>
        <w:t>iso</w:t>
      </w:r>
      <w:r w:rsidRPr="00B12F3B">
        <w:rPr>
          <w:b/>
        </w:rPr>
        <w:t xml:space="preserve"> of cortical tissue and white matter in patients with </w:t>
      </w:r>
      <w:proofErr w:type="spellStart"/>
      <w:r w:rsidRPr="00B12F3B">
        <w:rPr>
          <w:b/>
        </w:rPr>
        <w:t>moyamoya</w:t>
      </w:r>
      <w:proofErr w:type="spellEnd"/>
      <w:r w:rsidRPr="00B12F3B">
        <w:rPr>
          <w:b/>
        </w:rPr>
        <w:t xml:space="preserve"> disease and controls. </w:t>
      </w:r>
      <w:r w:rsidRPr="00B12F3B">
        <w:rPr>
          <w:bCs/>
        </w:rPr>
        <w:t xml:space="preserve">Significant correlation between Viso and the ALPS index was observed between the left cortex, but the correlation was relatively weak compared to the ALPS index (at </w:t>
      </w:r>
      <w:r w:rsidRPr="00B12F3B">
        <w:rPr>
          <w:bCs/>
          <w:i/>
          <w:iCs/>
          <w:u w:val="single"/>
        </w:rPr>
        <w:t>b</w:t>
      </w:r>
      <w:r w:rsidRPr="00B12F3B">
        <w:rPr>
          <w:bCs/>
        </w:rPr>
        <w:t>=700, Figure 4).</w:t>
      </w:r>
    </w:p>
    <w:p w14:paraId="6A7648E8" w14:textId="77777777" w:rsidR="00B2396F" w:rsidRPr="00B12F3B" w:rsidRDefault="00B2396F" w:rsidP="00B12F3B">
      <w:pPr>
        <w:spacing w:line="480" w:lineRule="auto"/>
      </w:pPr>
      <w:r w:rsidRPr="00B12F3B">
        <w:t>*</w:t>
      </w:r>
      <w:r w:rsidRPr="00B12F3B">
        <w:rPr>
          <w:i/>
        </w:rPr>
        <w:t>P</w:t>
      </w:r>
      <w:r w:rsidRPr="00B12F3B">
        <w:t>&lt;.05 (Spearman's rank correlation coefficient).</w:t>
      </w:r>
    </w:p>
    <w:p w14:paraId="56D7D1E2" w14:textId="77777777" w:rsidR="00B2396F" w:rsidRPr="00B12F3B" w:rsidRDefault="00B2396F" w:rsidP="00B12F3B">
      <w:pPr>
        <w:spacing w:line="480" w:lineRule="auto"/>
      </w:pPr>
    </w:p>
    <w:p w14:paraId="309BB0A1" w14:textId="77777777" w:rsidR="00B2396F" w:rsidRPr="00B12F3B" w:rsidRDefault="00B2396F" w:rsidP="00B12F3B">
      <w:pPr>
        <w:spacing w:line="480" w:lineRule="auto"/>
      </w:pPr>
    </w:p>
    <w:p w14:paraId="5FD3EF0C" w14:textId="77777777" w:rsidR="00B2396F" w:rsidRPr="00B12F3B" w:rsidRDefault="00B2396F" w:rsidP="00B12F3B">
      <w:pPr>
        <w:spacing w:line="480" w:lineRule="auto"/>
        <w:rPr>
          <w:rFonts w:eastAsiaTheme="minorEastAsia"/>
          <w:b/>
        </w:rPr>
      </w:pPr>
      <w:r w:rsidRPr="00B12F3B">
        <w:rPr>
          <w:b/>
        </w:rPr>
        <w:br w:type="page"/>
      </w:r>
    </w:p>
    <w:tbl>
      <w:tblPr>
        <w:tblW w:w="8616" w:type="dxa"/>
        <w:tblLook w:val="04A0" w:firstRow="1" w:lastRow="0" w:firstColumn="1" w:lastColumn="0" w:noHBand="0" w:noVBand="1"/>
      </w:tblPr>
      <w:tblGrid>
        <w:gridCol w:w="1403"/>
        <w:gridCol w:w="1745"/>
        <w:gridCol w:w="155"/>
        <w:gridCol w:w="1901"/>
        <w:gridCol w:w="1598"/>
        <w:gridCol w:w="108"/>
        <w:gridCol w:w="1706"/>
      </w:tblGrid>
      <w:tr w:rsidR="00081353" w:rsidRPr="00B12F3B" w14:paraId="15B36987" w14:textId="77777777" w:rsidTr="00696CFD">
        <w:trPr>
          <w:trHeight w:val="329"/>
        </w:trPr>
        <w:tc>
          <w:tcPr>
            <w:tcW w:w="1403" w:type="dxa"/>
            <w:tcBorders>
              <w:top w:val="nil"/>
              <w:left w:val="nil"/>
              <w:bottom w:val="nil"/>
              <w:right w:val="nil"/>
            </w:tcBorders>
            <w:shd w:val="clear" w:color="auto" w:fill="auto"/>
            <w:noWrap/>
            <w:vAlign w:val="bottom"/>
            <w:hideMark/>
          </w:tcPr>
          <w:p w14:paraId="6086820A" w14:textId="77777777" w:rsidR="00081353" w:rsidRPr="00B12F3B" w:rsidRDefault="00081353" w:rsidP="00B12F3B">
            <w:pPr>
              <w:spacing w:line="480" w:lineRule="auto"/>
            </w:pPr>
          </w:p>
        </w:tc>
        <w:tc>
          <w:tcPr>
            <w:tcW w:w="1900" w:type="dxa"/>
            <w:gridSpan w:val="2"/>
            <w:tcBorders>
              <w:top w:val="nil"/>
              <w:left w:val="nil"/>
              <w:bottom w:val="nil"/>
              <w:right w:val="nil"/>
            </w:tcBorders>
            <w:shd w:val="clear" w:color="auto" w:fill="auto"/>
            <w:noWrap/>
            <w:vAlign w:val="bottom"/>
            <w:hideMark/>
          </w:tcPr>
          <w:p w14:paraId="1C3C49F3" w14:textId="77777777" w:rsidR="00081353" w:rsidRPr="00B12F3B" w:rsidRDefault="00081353" w:rsidP="00B12F3B">
            <w:pPr>
              <w:spacing w:line="480" w:lineRule="auto"/>
              <w:jc w:val="center"/>
              <w:rPr>
                <w:color w:val="000000"/>
              </w:rPr>
            </w:pPr>
            <w:r w:rsidRPr="00B12F3B">
              <w:rPr>
                <w:color w:val="000000"/>
              </w:rPr>
              <w:t>Left</w:t>
            </w:r>
          </w:p>
        </w:tc>
        <w:tc>
          <w:tcPr>
            <w:tcW w:w="1901" w:type="dxa"/>
            <w:tcBorders>
              <w:top w:val="nil"/>
              <w:left w:val="nil"/>
              <w:bottom w:val="nil"/>
              <w:right w:val="nil"/>
            </w:tcBorders>
            <w:shd w:val="clear" w:color="auto" w:fill="auto"/>
            <w:vAlign w:val="bottom"/>
          </w:tcPr>
          <w:p w14:paraId="23379BF1" w14:textId="6A1E01E9" w:rsidR="00081353" w:rsidRPr="00B12F3B" w:rsidRDefault="00081353" w:rsidP="00B12F3B">
            <w:pPr>
              <w:spacing w:line="480" w:lineRule="auto"/>
              <w:jc w:val="center"/>
              <w:rPr>
                <w:color w:val="000000"/>
              </w:rPr>
            </w:pPr>
          </w:p>
        </w:tc>
        <w:tc>
          <w:tcPr>
            <w:tcW w:w="1706" w:type="dxa"/>
            <w:gridSpan w:val="2"/>
            <w:tcBorders>
              <w:top w:val="nil"/>
              <w:left w:val="nil"/>
              <w:bottom w:val="nil"/>
              <w:right w:val="nil"/>
            </w:tcBorders>
            <w:shd w:val="clear" w:color="auto" w:fill="auto"/>
            <w:noWrap/>
            <w:vAlign w:val="bottom"/>
            <w:hideMark/>
          </w:tcPr>
          <w:p w14:paraId="782D2E3C" w14:textId="77777777" w:rsidR="00081353" w:rsidRPr="00B12F3B" w:rsidRDefault="00081353" w:rsidP="00B12F3B">
            <w:pPr>
              <w:spacing w:line="480" w:lineRule="auto"/>
              <w:jc w:val="center"/>
              <w:rPr>
                <w:color w:val="000000"/>
              </w:rPr>
            </w:pPr>
            <w:r w:rsidRPr="00B12F3B">
              <w:rPr>
                <w:color w:val="000000"/>
              </w:rPr>
              <w:t>Right</w:t>
            </w:r>
          </w:p>
        </w:tc>
        <w:tc>
          <w:tcPr>
            <w:tcW w:w="1706" w:type="dxa"/>
            <w:tcBorders>
              <w:top w:val="nil"/>
              <w:left w:val="nil"/>
              <w:bottom w:val="nil"/>
              <w:right w:val="nil"/>
            </w:tcBorders>
            <w:shd w:val="clear" w:color="auto" w:fill="auto"/>
            <w:vAlign w:val="bottom"/>
          </w:tcPr>
          <w:p w14:paraId="27662C04" w14:textId="2844F30E" w:rsidR="00081353" w:rsidRPr="00B12F3B" w:rsidRDefault="00081353" w:rsidP="00B12F3B">
            <w:pPr>
              <w:spacing w:line="480" w:lineRule="auto"/>
              <w:jc w:val="center"/>
              <w:rPr>
                <w:color w:val="000000"/>
              </w:rPr>
            </w:pPr>
          </w:p>
        </w:tc>
      </w:tr>
      <w:tr w:rsidR="00B2396F" w:rsidRPr="00B12F3B" w14:paraId="257F0AAE" w14:textId="77777777" w:rsidTr="00696CFD">
        <w:trPr>
          <w:trHeight w:val="329"/>
        </w:trPr>
        <w:tc>
          <w:tcPr>
            <w:tcW w:w="1403" w:type="dxa"/>
            <w:tcBorders>
              <w:top w:val="nil"/>
              <w:left w:val="nil"/>
              <w:bottom w:val="single" w:sz="4" w:space="0" w:color="auto"/>
              <w:right w:val="nil"/>
            </w:tcBorders>
            <w:shd w:val="clear" w:color="auto" w:fill="auto"/>
            <w:noWrap/>
            <w:vAlign w:val="bottom"/>
            <w:hideMark/>
          </w:tcPr>
          <w:p w14:paraId="1EE40BE1" w14:textId="77777777" w:rsidR="00B2396F" w:rsidRPr="00B12F3B" w:rsidRDefault="00B2396F" w:rsidP="00B12F3B">
            <w:pPr>
              <w:spacing w:line="480" w:lineRule="auto"/>
              <w:jc w:val="center"/>
              <w:rPr>
                <w:color w:val="000000"/>
              </w:rPr>
            </w:pPr>
            <w:r w:rsidRPr="00B12F3B">
              <w:rPr>
                <w:i/>
                <w:iCs/>
                <w:color w:val="000000"/>
              </w:rPr>
              <w:t>ρ</w:t>
            </w:r>
            <w:r w:rsidRPr="00B12F3B">
              <w:rPr>
                <w:color w:val="000000"/>
              </w:rPr>
              <w:t xml:space="preserve"> (</w:t>
            </w:r>
            <w:r w:rsidRPr="00B12F3B">
              <w:rPr>
                <w:i/>
                <w:iCs/>
                <w:color w:val="000000"/>
              </w:rPr>
              <w:t>P</w:t>
            </w:r>
            <w:r w:rsidRPr="00B12F3B">
              <w:rPr>
                <w:color w:val="000000"/>
              </w:rPr>
              <w:t>)</w:t>
            </w:r>
          </w:p>
        </w:tc>
        <w:tc>
          <w:tcPr>
            <w:tcW w:w="1745" w:type="dxa"/>
            <w:tcBorders>
              <w:top w:val="nil"/>
              <w:left w:val="nil"/>
              <w:bottom w:val="single" w:sz="4" w:space="0" w:color="auto"/>
              <w:right w:val="nil"/>
            </w:tcBorders>
            <w:shd w:val="clear" w:color="auto" w:fill="auto"/>
            <w:noWrap/>
            <w:vAlign w:val="bottom"/>
            <w:hideMark/>
          </w:tcPr>
          <w:p w14:paraId="2DA8742E" w14:textId="77777777" w:rsidR="00B2396F" w:rsidRPr="00B12F3B" w:rsidRDefault="00B2396F" w:rsidP="00B12F3B">
            <w:pPr>
              <w:spacing w:line="480" w:lineRule="auto"/>
              <w:jc w:val="center"/>
              <w:rPr>
                <w:color w:val="000000"/>
              </w:rPr>
            </w:pPr>
            <w:r w:rsidRPr="00B12F3B">
              <w:rPr>
                <w:color w:val="000000"/>
              </w:rPr>
              <w:t>Cortex</w:t>
            </w:r>
          </w:p>
        </w:tc>
        <w:tc>
          <w:tcPr>
            <w:tcW w:w="2056" w:type="dxa"/>
            <w:gridSpan w:val="2"/>
            <w:tcBorders>
              <w:top w:val="nil"/>
              <w:left w:val="nil"/>
              <w:bottom w:val="single" w:sz="4" w:space="0" w:color="auto"/>
              <w:right w:val="nil"/>
            </w:tcBorders>
            <w:shd w:val="clear" w:color="auto" w:fill="auto"/>
            <w:noWrap/>
            <w:vAlign w:val="bottom"/>
            <w:hideMark/>
          </w:tcPr>
          <w:p w14:paraId="327DE074" w14:textId="77777777" w:rsidR="00B2396F" w:rsidRPr="00B12F3B" w:rsidRDefault="00B2396F" w:rsidP="00B12F3B">
            <w:pPr>
              <w:spacing w:line="480" w:lineRule="auto"/>
              <w:jc w:val="center"/>
              <w:rPr>
                <w:color w:val="000000"/>
              </w:rPr>
            </w:pPr>
            <w:r w:rsidRPr="00B12F3B">
              <w:rPr>
                <w:color w:val="000000"/>
              </w:rPr>
              <w:t>White matter</w:t>
            </w:r>
          </w:p>
        </w:tc>
        <w:tc>
          <w:tcPr>
            <w:tcW w:w="1598" w:type="dxa"/>
            <w:tcBorders>
              <w:top w:val="nil"/>
              <w:left w:val="nil"/>
              <w:bottom w:val="single" w:sz="4" w:space="0" w:color="auto"/>
              <w:right w:val="nil"/>
            </w:tcBorders>
            <w:shd w:val="clear" w:color="auto" w:fill="auto"/>
            <w:noWrap/>
            <w:vAlign w:val="bottom"/>
            <w:hideMark/>
          </w:tcPr>
          <w:p w14:paraId="22189085" w14:textId="77777777" w:rsidR="00B2396F" w:rsidRPr="00B12F3B" w:rsidRDefault="00B2396F" w:rsidP="00B12F3B">
            <w:pPr>
              <w:spacing w:line="480" w:lineRule="auto"/>
              <w:jc w:val="center"/>
              <w:rPr>
                <w:color w:val="000000"/>
              </w:rPr>
            </w:pPr>
            <w:r w:rsidRPr="00B12F3B">
              <w:rPr>
                <w:color w:val="000000"/>
              </w:rPr>
              <w:t>Cortex</w:t>
            </w:r>
          </w:p>
        </w:tc>
        <w:tc>
          <w:tcPr>
            <w:tcW w:w="1814" w:type="dxa"/>
            <w:gridSpan w:val="2"/>
            <w:tcBorders>
              <w:top w:val="nil"/>
              <w:left w:val="nil"/>
              <w:bottom w:val="single" w:sz="4" w:space="0" w:color="auto"/>
              <w:right w:val="nil"/>
            </w:tcBorders>
            <w:shd w:val="clear" w:color="auto" w:fill="auto"/>
            <w:noWrap/>
            <w:vAlign w:val="bottom"/>
            <w:hideMark/>
          </w:tcPr>
          <w:p w14:paraId="236CF1A5" w14:textId="77777777" w:rsidR="00B2396F" w:rsidRPr="00B12F3B" w:rsidRDefault="00B2396F" w:rsidP="00B12F3B">
            <w:pPr>
              <w:spacing w:line="480" w:lineRule="auto"/>
              <w:jc w:val="center"/>
              <w:rPr>
                <w:color w:val="000000"/>
              </w:rPr>
            </w:pPr>
            <w:r w:rsidRPr="00B12F3B">
              <w:rPr>
                <w:color w:val="000000"/>
              </w:rPr>
              <w:t>White matter</w:t>
            </w:r>
          </w:p>
        </w:tc>
      </w:tr>
      <w:tr w:rsidR="00B2396F" w:rsidRPr="00B12F3B" w14:paraId="2127980D" w14:textId="77777777" w:rsidTr="00696CFD">
        <w:trPr>
          <w:trHeight w:val="329"/>
        </w:trPr>
        <w:tc>
          <w:tcPr>
            <w:tcW w:w="1403" w:type="dxa"/>
            <w:tcBorders>
              <w:top w:val="nil"/>
              <w:left w:val="nil"/>
              <w:bottom w:val="nil"/>
              <w:right w:val="nil"/>
            </w:tcBorders>
            <w:shd w:val="clear" w:color="auto" w:fill="auto"/>
            <w:noWrap/>
            <w:vAlign w:val="bottom"/>
            <w:hideMark/>
          </w:tcPr>
          <w:p w14:paraId="15C9707B" w14:textId="77777777" w:rsidR="00B2396F" w:rsidRPr="00B12F3B" w:rsidRDefault="00B2396F" w:rsidP="00B12F3B">
            <w:pPr>
              <w:spacing w:line="480" w:lineRule="auto"/>
              <w:jc w:val="center"/>
              <w:rPr>
                <w:color w:val="000000"/>
              </w:rPr>
            </w:pPr>
            <w:r w:rsidRPr="00B12F3B">
              <w:rPr>
                <w:color w:val="000000"/>
              </w:rPr>
              <w:t>CBF</w:t>
            </w:r>
          </w:p>
        </w:tc>
        <w:tc>
          <w:tcPr>
            <w:tcW w:w="1745" w:type="dxa"/>
            <w:tcBorders>
              <w:top w:val="nil"/>
              <w:left w:val="nil"/>
              <w:bottom w:val="nil"/>
              <w:right w:val="nil"/>
            </w:tcBorders>
            <w:shd w:val="clear" w:color="auto" w:fill="auto"/>
            <w:noWrap/>
            <w:vAlign w:val="bottom"/>
            <w:hideMark/>
          </w:tcPr>
          <w:p w14:paraId="6BECEC28" w14:textId="77777777" w:rsidR="00B2396F" w:rsidRPr="00B12F3B" w:rsidRDefault="00B2396F" w:rsidP="00B12F3B">
            <w:pPr>
              <w:spacing w:line="480" w:lineRule="auto"/>
              <w:jc w:val="center"/>
              <w:rPr>
                <w:color w:val="000000"/>
              </w:rPr>
            </w:pPr>
            <w:r w:rsidRPr="00B12F3B">
              <w:rPr>
                <w:color w:val="000000"/>
              </w:rPr>
              <w:t>0.72 (&lt;.001*)</w:t>
            </w:r>
          </w:p>
        </w:tc>
        <w:tc>
          <w:tcPr>
            <w:tcW w:w="2056" w:type="dxa"/>
            <w:gridSpan w:val="2"/>
            <w:tcBorders>
              <w:top w:val="nil"/>
              <w:left w:val="nil"/>
              <w:bottom w:val="nil"/>
              <w:right w:val="nil"/>
            </w:tcBorders>
            <w:shd w:val="clear" w:color="auto" w:fill="auto"/>
            <w:noWrap/>
            <w:vAlign w:val="bottom"/>
            <w:hideMark/>
          </w:tcPr>
          <w:p w14:paraId="7B2CB3B0" w14:textId="77777777" w:rsidR="00B2396F" w:rsidRPr="00B12F3B" w:rsidRDefault="00B2396F" w:rsidP="00B12F3B">
            <w:pPr>
              <w:spacing w:line="480" w:lineRule="auto"/>
              <w:jc w:val="center"/>
              <w:rPr>
                <w:color w:val="000000"/>
              </w:rPr>
            </w:pPr>
            <w:r w:rsidRPr="00B12F3B">
              <w:rPr>
                <w:color w:val="000000"/>
              </w:rPr>
              <w:t>0.58 (.003*)</w:t>
            </w:r>
          </w:p>
        </w:tc>
        <w:tc>
          <w:tcPr>
            <w:tcW w:w="1598" w:type="dxa"/>
            <w:tcBorders>
              <w:top w:val="nil"/>
              <w:left w:val="nil"/>
              <w:bottom w:val="nil"/>
              <w:right w:val="nil"/>
            </w:tcBorders>
            <w:shd w:val="clear" w:color="auto" w:fill="auto"/>
            <w:noWrap/>
            <w:vAlign w:val="bottom"/>
            <w:hideMark/>
          </w:tcPr>
          <w:p w14:paraId="7CF65C32" w14:textId="77777777" w:rsidR="00B2396F" w:rsidRPr="00B12F3B" w:rsidRDefault="00B2396F" w:rsidP="00B12F3B">
            <w:pPr>
              <w:spacing w:line="480" w:lineRule="auto"/>
              <w:jc w:val="center"/>
              <w:rPr>
                <w:color w:val="000000"/>
              </w:rPr>
            </w:pPr>
            <w:r w:rsidRPr="00B12F3B">
              <w:rPr>
                <w:color w:val="000000"/>
              </w:rPr>
              <w:t>0.30 (.16)</w:t>
            </w:r>
          </w:p>
        </w:tc>
        <w:tc>
          <w:tcPr>
            <w:tcW w:w="1814" w:type="dxa"/>
            <w:gridSpan w:val="2"/>
            <w:tcBorders>
              <w:top w:val="nil"/>
              <w:left w:val="nil"/>
              <w:bottom w:val="nil"/>
              <w:right w:val="nil"/>
            </w:tcBorders>
            <w:shd w:val="clear" w:color="auto" w:fill="auto"/>
            <w:noWrap/>
            <w:vAlign w:val="bottom"/>
            <w:hideMark/>
          </w:tcPr>
          <w:p w14:paraId="123BF4B6" w14:textId="77777777" w:rsidR="00B2396F" w:rsidRPr="00B12F3B" w:rsidRDefault="00B2396F" w:rsidP="00B12F3B">
            <w:pPr>
              <w:spacing w:line="480" w:lineRule="auto"/>
              <w:jc w:val="center"/>
              <w:rPr>
                <w:color w:val="000000"/>
              </w:rPr>
            </w:pPr>
            <w:r w:rsidRPr="00B12F3B">
              <w:rPr>
                <w:color w:val="000000"/>
              </w:rPr>
              <w:t>0.06 (.80)</w:t>
            </w:r>
          </w:p>
        </w:tc>
      </w:tr>
      <w:tr w:rsidR="00B2396F" w:rsidRPr="00B12F3B" w14:paraId="04B8409C" w14:textId="77777777" w:rsidTr="00696CFD">
        <w:trPr>
          <w:trHeight w:val="329"/>
        </w:trPr>
        <w:tc>
          <w:tcPr>
            <w:tcW w:w="1403" w:type="dxa"/>
            <w:tcBorders>
              <w:top w:val="nil"/>
              <w:left w:val="nil"/>
              <w:bottom w:val="nil"/>
              <w:right w:val="nil"/>
            </w:tcBorders>
            <w:shd w:val="clear" w:color="auto" w:fill="auto"/>
            <w:noWrap/>
            <w:vAlign w:val="bottom"/>
            <w:hideMark/>
          </w:tcPr>
          <w:p w14:paraId="0700EB77" w14:textId="77777777" w:rsidR="00B2396F" w:rsidRPr="00B12F3B" w:rsidRDefault="00B2396F" w:rsidP="00B12F3B">
            <w:pPr>
              <w:spacing w:line="480" w:lineRule="auto"/>
              <w:jc w:val="center"/>
              <w:rPr>
                <w:color w:val="000000"/>
              </w:rPr>
            </w:pPr>
            <w:r w:rsidRPr="00B12F3B">
              <w:rPr>
                <w:color w:val="000000"/>
              </w:rPr>
              <w:t>CBV</w:t>
            </w:r>
          </w:p>
        </w:tc>
        <w:tc>
          <w:tcPr>
            <w:tcW w:w="1745" w:type="dxa"/>
            <w:tcBorders>
              <w:top w:val="nil"/>
              <w:left w:val="nil"/>
              <w:bottom w:val="nil"/>
              <w:right w:val="nil"/>
            </w:tcBorders>
            <w:shd w:val="clear" w:color="auto" w:fill="auto"/>
            <w:noWrap/>
            <w:vAlign w:val="bottom"/>
            <w:hideMark/>
          </w:tcPr>
          <w:p w14:paraId="4955E54F" w14:textId="77777777" w:rsidR="00B2396F" w:rsidRPr="00B12F3B" w:rsidRDefault="00B2396F" w:rsidP="00B12F3B">
            <w:pPr>
              <w:spacing w:line="480" w:lineRule="auto"/>
              <w:jc w:val="center"/>
              <w:rPr>
                <w:color w:val="000000"/>
              </w:rPr>
            </w:pPr>
            <w:r w:rsidRPr="00B12F3B">
              <w:rPr>
                <w:color w:val="000000"/>
              </w:rPr>
              <w:t>0.18 (.42)</w:t>
            </w:r>
          </w:p>
        </w:tc>
        <w:tc>
          <w:tcPr>
            <w:tcW w:w="2056" w:type="dxa"/>
            <w:gridSpan w:val="2"/>
            <w:tcBorders>
              <w:top w:val="nil"/>
              <w:left w:val="nil"/>
              <w:bottom w:val="nil"/>
              <w:right w:val="nil"/>
            </w:tcBorders>
            <w:shd w:val="clear" w:color="auto" w:fill="auto"/>
            <w:noWrap/>
            <w:vAlign w:val="bottom"/>
            <w:hideMark/>
          </w:tcPr>
          <w:p w14:paraId="7F4AE090" w14:textId="77777777" w:rsidR="00B2396F" w:rsidRPr="00B12F3B" w:rsidRDefault="00B2396F" w:rsidP="00B12F3B">
            <w:pPr>
              <w:spacing w:line="480" w:lineRule="auto"/>
              <w:jc w:val="center"/>
              <w:rPr>
                <w:color w:val="000000"/>
              </w:rPr>
            </w:pPr>
            <w:r w:rsidRPr="00B12F3B">
              <w:rPr>
                <w:color w:val="000000"/>
              </w:rPr>
              <w:t>0.16 (.48)</w:t>
            </w:r>
          </w:p>
        </w:tc>
        <w:tc>
          <w:tcPr>
            <w:tcW w:w="1598" w:type="dxa"/>
            <w:tcBorders>
              <w:top w:val="nil"/>
              <w:left w:val="nil"/>
              <w:bottom w:val="nil"/>
              <w:right w:val="nil"/>
            </w:tcBorders>
            <w:shd w:val="clear" w:color="auto" w:fill="auto"/>
            <w:noWrap/>
            <w:vAlign w:val="bottom"/>
            <w:hideMark/>
          </w:tcPr>
          <w:p w14:paraId="7695DE7C" w14:textId="77777777" w:rsidR="00B2396F" w:rsidRPr="00B12F3B" w:rsidRDefault="00B2396F" w:rsidP="00B12F3B">
            <w:pPr>
              <w:spacing w:line="480" w:lineRule="auto"/>
              <w:jc w:val="center"/>
              <w:rPr>
                <w:color w:val="000000"/>
              </w:rPr>
            </w:pPr>
            <w:r w:rsidRPr="00B12F3B">
              <w:rPr>
                <w:color w:val="000000"/>
              </w:rPr>
              <w:t>-0.01 (.97)</w:t>
            </w:r>
          </w:p>
        </w:tc>
        <w:tc>
          <w:tcPr>
            <w:tcW w:w="1814" w:type="dxa"/>
            <w:gridSpan w:val="2"/>
            <w:tcBorders>
              <w:top w:val="nil"/>
              <w:left w:val="nil"/>
              <w:bottom w:val="nil"/>
              <w:right w:val="nil"/>
            </w:tcBorders>
            <w:shd w:val="clear" w:color="auto" w:fill="auto"/>
            <w:noWrap/>
            <w:vAlign w:val="bottom"/>
            <w:hideMark/>
          </w:tcPr>
          <w:p w14:paraId="6E8523B8" w14:textId="77777777" w:rsidR="00B2396F" w:rsidRPr="00B12F3B" w:rsidRDefault="00B2396F" w:rsidP="00B12F3B">
            <w:pPr>
              <w:spacing w:line="480" w:lineRule="auto"/>
              <w:jc w:val="center"/>
              <w:rPr>
                <w:color w:val="000000"/>
              </w:rPr>
            </w:pPr>
            <w:r w:rsidRPr="00B12F3B">
              <w:rPr>
                <w:color w:val="000000"/>
              </w:rPr>
              <w:t>-0.06 (.78)</w:t>
            </w:r>
          </w:p>
        </w:tc>
      </w:tr>
      <w:tr w:rsidR="00B2396F" w:rsidRPr="00B12F3B" w14:paraId="1A67B2DD" w14:textId="77777777" w:rsidTr="00696CFD">
        <w:trPr>
          <w:trHeight w:val="329"/>
        </w:trPr>
        <w:tc>
          <w:tcPr>
            <w:tcW w:w="1403" w:type="dxa"/>
            <w:tcBorders>
              <w:top w:val="nil"/>
              <w:left w:val="nil"/>
              <w:bottom w:val="nil"/>
              <w:right w:val="nil"/>
            </w:tcBorders>
            <w:shd w:val="clear" w:color="auto" w:fill="auto"/>
            <w:noWrap/>
            <w:vAlign w:val="bottom"/>
            <w:hideMark/>
          </w:tcPr>
          <w:p w14:paraId="2B935067" w14:textId="77777777" w:rsidR="00B2396F" w:rsidRPr="00B12F3B" w:rsidRDefault="00B2396F" w:rsidP="00B12F3B">
            <w:pPr>
              <w:spacing w:line="480" w:lineRule="auto"/>
              <w:jc w:val="center"/>
              <w:rPr>
                <w:color w:val="000000"/>
              </w:rPr>
            </w:pPr>
            <w:r w:rsidRPr="00B12F3B">
              <w:rPr>
                <w:color w:val="000000"/>
              </w:rPr>
              <w:t>MTT</w:t>
            </w:r>
          </w:p>
        </w:tc>
        <w:tc>
          <w:tcPr>
            <w:tcW w:w="1745" w:type="dxa"/>
            <w:tcBorders>
              <w:top w:val="nil"/>
              <w:left w:val="nil"/>
              <w:bottom w:val="nil"/>
              <w:right w:val="nil"/>
            </w:tcBorders>
            <w:shd w:val="clear" w:color="auto" w:fill="auto"/>
            <w:noWrap/>
            <w:vAlign w:val="bottom"/>
            <w:hideMark/>
          </w:tcPr>
          <w:p w14:paraId="4D804DF1" w14:textId="77777777" w:rsidR="00B2396F" w:rsidRPr="00B12F3B" w:rsidRDefault="00B2396F" w:rsidP="00B12F3B">
            <w:pPr>
              <w:spacing w:line="480" w:lineRule="auto"/>
              <w:jc w:val="center"/>
              <w:rPr>
                <w:color w:val="000000"/>
              </w:rPr>
            </w:pPr>
            <w:r w:rsidRPr="00B12F3B">
              <w:rPr>
                <w:color w:val="000000"/>
              </w:rPr>
              <w:t>-0.43 (.04*)</w:t>
            </w:r>
          </w:p>
        </w:tc>
        <w:tc>
          <w:tcPr>
            <w:tcW w:w="2056" w:type="dxa"/>
            <w:gridSpan w:val="2"/>
            <w:tcBorders>
              <w:top w:val="nil"/>
              <w:left w:val="nil"/>
              <w:bottom w:val="nil"/>
              <w:right w:val="nil"/>
            </w:tcBorders>
            <w:shd w:val="clear" w:color="auto" w:fill="auto"/>
            <w:noWrap/>
            <w:vAlign w:val="bottom"/>
            <w:hideMark/>
          </w:tcPr>
          <w:p w14:paraId="4E3AFE2D" w14:textId="77777777" w:rsidR="00B2396F" w:rsidRPr="00B12F3B" w:rsidRDefault="00B2396F" w:rsidP="00B12F3B">
            <w:pPr>
              <w:spacing w:line="480" w:lineRule="auto"/>
              <w:jc w:val="center"/>
              <w:rPr>
                <w:color w:val="000000"/>
              </w:rPr>
            </w:pPr>
            <w:r w:rsidRPr="00B12F3B">
              <w:rPr>
                <w:color w:val="000000"/>
              </w:rPr>
              <w:t>-0.42 (.048*)</w:t>
            </w:r>
          </w:p>
        </w:tc>
        <w:tc>
          <w:tcPr>
            <w:tcW w:w="1598" w:type="dxa"/>
            <w:tcBorders>
              <w:top w:val="nil"/>
              <w:left w:val="nil"/>
              <w:bottom w:val="nil"/>
              <w:right w:val="nil"/>
            </w:tcBorders>
            <w:shd w:val="clear" w:color="auto" w:fill="auto"/>
            <w:noWrap/>
            <w:vAlign w:val="bottom"/>
            <w:hideMark/>
          </w:tcPr>
          <w:p w14:paraId="4835E634" w14:textId="77777777" w:rsidR="00B2396F" w:rsidRPr="00B12F3B" w:rsidRDefault="00B2396F" w:rsidP="00B12F3B">
            <w:pPr>
              <w:spacing w:line="480" w:lineRule="auto"/>
              <w:jc w:val="center"/>
              <w:rPr>
                <w:color w:val="000000"/>
              </w:rPr>
            </w:pPr>
            <w:r w:rsidRPr="00B12F3B">
              <w:rPr>
                <w:color w:val="000000"/>
              </w:rPr>
              <w:t>-0.20 (.36)</w:t>
            </w:r>
          </w:p>
        </w:tc>
        <w:tc>
          <w:tcPr>
            <w:tcW w:w="1814" w:type="dxa"/>
            <w:gridSpan w:val="2"/>
            <w:tcBorders>
              <w:top w:val="nil"/>
              <w:left w:val="nil"/>
              <w:bottom w:val="nil"/>
              <w:right w:val="nil"/>
            </w:tcBorders>
            <w:shd w:val="clear" w:color="auto" w:fill="auto"/>
            <w:noWrap/>
            <w:vAlign w:val="bottom"/>
            <w:hideMark/>
          </w:tcPr>
          <w:p w14:paraId="56CD3B45" w14:textId="77777777" w:rsidR="00B2396F" w:rsidRPr="00B12F3B" w:rsidRDefault="00B2396F" w:rsidP="00B12F3B">
            <w:pPr>
              <w:spacing w:line="480" w:lineRule="auto"/>
              <w:jc w:val="center"/>
              <w:rPr>
                <w:color w:val="000000"/>
              </w:rPr>
            </w:pPr>
            <w:r w:rsidRPr="00B12F3B">
              <w:rPr>
                <w:color w:val="000000"/>
              </w:rPr>
              <w:t>-0.12 (.59)</w:t>
            </w:r>
          </w:p>
        </w:tc>
      </w:tr>
      <w:tr w:rsidR="00B2396F" w:rsidRPr="00B12F3B" w14:paraId="08E80CFC" w14:textId="77777777" w:rsidTr="00696CFD">
        <w:trPr>
          <w:trHeight w:val="329"/>
        </w:trPr>
        <w:tc>
          <w:tcPr>
            <w:tcW w:w="1403" w:type="dxa"/>
            <w:tcBorders>
              <w:top w:val="nil"/>
              <w:left w:val="nil"/>
              <w:bottom w:val="nil"/>
              <w:right w:val="nil"/>
            </w:tcBorders>
            <w:shd w:val="clear" w:color="auto" w:fill="auto"/>
            <w:noWrap/>
            <w:vAlign w:val="bottom"/>
            <w:hideMark/>
          </w:tcPr>
          <w:p w14:paraId="1745983D" w14:textId="77777777" w:rsidR="00B2396F" w:rsidRPr="00B12F3B" w:rsidRDefault="00B2396F" w:rsidP="00B12F3B">
            <w:pPr>
              <w:spacing w:line="480" w:lineRule="auto"/>
              <w:jc w:val="center"/>
              <w:rPr>
                <w:color w:val="000000"/>
              </w:rPr>
            </w:pPr>
            <w:r w:rsidRPr="00B12F3B">
              <w:rPr>
                <w:color w:val="000000"/>
              </w:rPr>
              <w:t>OEF</w:t>
            </w:r>
          </w:p>
        </w:tc>
        <w:tc>
          <w:tcPr>
            <w:tcW w:w="1745" w:type="dxa"/>
            <w:tcBorders>
              <w:top w:val="nil"/>
              <w:left w:val="nil"/>
              <w:bottom w:val="nil"/>
              <w:right w:val="nil"/>
            </w:tcBorders>
            <w:shd w:val="clear" w:color="auto" w:fill="auto"/>
            <w:noWrap/>
            <w:vAlign w:val="bottom"/>
            <w:hideMark/>
          </w:tcPr>
          <w:p w14:paraId="63EE085E" w14:textId="77777777" w:rsidR="00B2396F" w:rsidRPr="00B12F3B" w:rsidRDefault="00B2396F" w:rsidP="00B12F3B">
            <w:pPr>
              <w:spacing w:line="480" w:lineRule="auto"/>
              <w:jc w:val="center"/>
              <w:rPr>
                <w:color w:val="000000"/>
              </w:rPr>
            </w:pPr>
            <w:r w:rsidRPr="00B12F3B">
              <w:rPr>
                <w:color w:val="000000"/>
              </w:rPr>
              <w:t>-0.63 (.001*)</w:t>
            </w:r>
          </w:p>
        </w:tc>
        <w:tc>
          <w:tcPr>
            <w:tcW w:w="2056" w:type="dxa"/>
            <w:gridSpan w:val="2"/>
            <w:tcBorders>
              <w:top w:val="nil"/>
              <w:left w:val="nil"/>
              <w:bottom w:val="nil"/>
              <w:right w:val="nil"/>
            </w:tcBorders>
            <w:shd w:val="clear" w:color="auto" w:fill="auto"/>
            <w:noWrap/>
            <w:vAlign w:val="bottom"/>
            <w:hideMark/>
          </w:tcPr>
          <w:p w14:paraId="3DC3DE6F" w14:textId="77777777" w:rsidR="00B2396F" w:rsidRPr="00B12F3B" w:rsidRDefault="00B2396F" w:rsidP="00B12F3B">
            <w:pPr>
              <w:spacing w:line="480" w:lineRule="auto"/>
              <w:jc w:val="center"/>
              <w:rPr>
                <w:color w:val="000000"/>
              </w:rPr>
            </w:pPr>
            <w:r w:rsidRPr="00B12F3B">
              <w:rPr>
                <w:color w:val="000000"/>
              </w:rPr>
              <w:t>-0.65 (&lt;.001*)</w:t>
            </w:r>
          </w:p>
        </w:tc>
        <w:tc>
          <w:tcPr>
            <w:tcW w:w="1598" w:type="dxa"/>
            <w:tcBorders>
              <w:top w:val="nil"/>
              <w:left w:val="nil"/>
              <w:bottom w:val="nil"/>
              <w:right w:val="nil"/>
            </w:tcBorders>
            <w:shd w:val="clear" w:color="auto" w:fill="auto"/>
            <w:noWrap/>
            <w:vAlign w:val="bottom"/>
            <w:hideMark/>
          </w:tcPr>
          <w:p w14:paraId="1E390B76" w14:textId="77777777" w:rsidR="00B2396F" w:rsidRPr="00B12F3B" w:rsidRDefault="00B2396F" w:rsidP="00B12F3B">
            <w:pPr>
              <w:spacing w:line="480" w:lineRule="auto"/>
              <w:jc w:val="center"/>
              <w:rPr>
                <w:color w:val="000000"/>
              </w:rPr>
            </w:pPr>
            <w:r w:rsidRPr="00B12F3B">
              <w:rPr>
                <w:color w:val="000000"/>
              </w:rPr>
              <w:t>-0.04 (.86)</w:t>
            </w:r>
          </w:p>
        </w:tc>
        <w:tc>
          <w:tcPr>
            <w:tcW w:w="1814" w:type="dxa"/>
            <w:gridSpan w:val="2"/>
            <w:tcBorders>
              <w:top w:val="nil"/>
              <w:left w:val="nil"/>
              <w:bottom w:val="nil"/>
              <w:right w:val="nil"/>
            </w:tcBorders>
            <w:shd w:val="clear" w:color="auto" w:fill="auto"/>
            <w:noWrap/>
            <w:vAlign w:val="bottom"/>
            <w:hideMark/>
          </w:tcPr>
          <w:p w14:paraId="0D797E1E" w14:textId="77777777" w:rsidR="00B2396F" w:rsidRPr="00B12F3B" w:rsidRDefault="00B2396F" w:rsidP="00B12F3B">
            <w:pPr>
              <w:spacing w:line="480" w:lineRule="auto"/>
              <w:jc w:val="center"/>
              <w:rPr>
                <w:color w:val="000000"/>
              </w:rPr>
            </w:pPr>
            <w:r w:rsidRPr="00B12F3B">
              <w:rPr>
                <w:color w:val="000000"/>
              </w:rPr>
              <w:t>0.10 (.64)</w:t>
            </w:r>
          </w:p>
        </w:tc>
      </w:tr>
      <w:tr w:rsidR="00B2396F" w:rsidRPr="00B12F3B" w14:paraId="457873D6" w14:textId="77777777" w:rsidTr="00696CFD">
        <w:trPr>
          <w:trHeight w:val="329"/>
        </w:trPr>
        <w:tc>
          <w:tcPr>
            <w:tcW w:w="1403" w:type="dxa"/>
            <w:tcBorders>
              <w:top w:val="nil"/>
              <w:left w:val="nil"/>
              <w:bottom w:val="single" w:sz="4" w:space="0" w:color="auto"/>
              <w:right w:val="nil"/>
            </w:tcBorders>
            <w:shd w:val="clear" w:color="auto" w:fill="auto"/>
            <w:noWrap/>
            <w:vAlign w:val="bottom"/>
            <w:hideMark/>
          </w:tcPr>
          <w:p w14:paraId="4946C8FB" w14:textId="77777777" w:rsidR="00B2396F" w:rsidRPr="00B12F3B" w:rsidRDefault="00B2396F" w:rsidP="00B12F3B">
            <w:pPr>
              <w:spacing w:line="480" w:lineRule="auto"/>
              <w:jc w:val="center"/>
              <w:rPr>
                <w:color w:val="000000"/>
              </w:rPr>
            </w:pPr>
            <w:r w:rsidRPr="00B12F3B">
              <w:rPr>
                <w:color w:val="000000"/>
              </w:rPr>
              <w:t>CMRO</w:t>
            </w:r>
            <w:r w:rsidRPr="00B12F3B">
              <w:rPr>
                <w:color w:val="000000"/>
                <w:vertAlign w:val="subscript"/>
              </w:rPr>
              <w:t>2</w:t>
            </w:r>
          </w:p>
        </w:tc>
        <w:tc>
          <w:tcPr>
            <w:tcW w:w="1745" w:type="dxa"/>
            <w:tcBorders>
              <w:top w:val="nil"/>
              <w:left w:val="nil"/>
              <w:bottom w:val="single" w:sz="4" w:space="0" w:color="auto"/>
              <w:right w:val="nil"/>
            </w:tcBorders>
            <w:shd w:val="clear" w:color="auto" w:fill="auto"/>
            <w:noWrap/>
            <w:vAlign w:val="bottom"/>
            <w:hideMark/>
          </w:tcPr>
          <w:p w14:paraId="3B99302F" w14:textId="77777777" w:rsidR="00B2396F" w:rsidRPr="00B12F3B" w:rsidRDefault="00B2396F" w:rsidP="00B12F3B">
            <w:pPr>
              <w:spacing w:line="480" w:lineRule="auto"/>
              <w:jc w:val="center"/>
              <w:rPr>
                <w:color w:val="000000"/>
              </w:rPr>
            </w:pPr>
            <w:r w:rsidRPr="00B12F3B">
              <w:rPr>
                <w:color w:val="000000"/>
              </w:rPr>
              <w:t>0.29 (.19)</w:t>
            </w:r>
          </w:p>
        </w:tc>
        <w:tc>
          <w:tcPr>
            <w:tcW w:w="2056" w:type="dxa"/>
            <w:gridSpan w:val="2"/>
            <w:tcBorders>
              <w:top w:val="nil"/>
              <w:left w:val="nil"/>
              <w:bottom w:val="single" w:sz="4" w:space="0" w:color="auto"/>
              <w:right w:val="nil"/>
            </w:tcBorders>
            <w:shd w:val="clear" w:color="auto" w:fill="auto"/>
            <w:noWrap/>
            <w:vAlign w:val="bottom"/>
            <w:hideMark/>
          </w:tcPr>
          <w:p w14:paraId="7EDA3D3B" w14:textId="77777777" w:rsidR="00B2396F" w:rsidRPr="00B12F3B" w:rsidRDefault="00B2396F" w:rsidP="00B12F3B">
            <w:pPr>
              <w:spacing w:line="480" w:lineRule="auto"/>
              <w:jc w:val="center"/>
              <w:rPr>
                <w:color w:val="000000"/>
              </w:rPr>
            </w:pPr>
            <w:r w:rsidRPr="00B12F3B">
              <w:rPr>
                <w:color w:val="000000"/>
              </w:rPr>
              <w:t>0.09 (.70)</w:t>
            </w:r>
          </w:p>
        </w:tc>
        <w:tc>
          <w:tcPr>
            <w:tcW w:w="1598" w:type="dxa"/>
            <w:tcBorders>
              <w:top w:val="nil"/>
              <w:left w:val="nil"/>
              <w:bottom w:val="single" w:sz="4" w:space="0" w:color="auto"/>
              <w:right w:val="nil"/>
            </w:tcBorders>
            <w:shd w:val="clear" w:color="auto" w:fill="auto"/>
            <w:noWrap/>
            <w:vAlign w:val="bottom"/>
            <w:hideMark/>
          </w:tcPr>
          <w:p w14:paraId="156C0F8D" w14:textId="77777777" w:rsidR="00B2396F" w:rsidRPr="00B12F3B" w:rsidRDefault="00B2396F" w:rsidP="00B12F3B">
            <w:pPr>
              <w:spacing w:line="480" w:lineRule="auto"/>
              <w:jc w:val="center"/>
              <w:rPr>
                <w:color w:val="000000"/>
              </w:rPr>
            </w:pPr>
            <w:r w:rsidRPr="00B12F3B">
              <w:rPr>
                <w:color w:val="000000"/>
              </w:rPr>
              <w:t>0.25 (.25)</w:t>
            </w:r>
          </w:p>
        </w:tc>
        <w:tc>
          <w:tcPr>
            <w:tcW w:w="1814" w:type="dxa"/>
            <w:gridSpan w:val="2"/>
            <w:tcBorders>
              <w:top w:val="nil"/>
              <w:left w:val="nil"/>
              <w:bottom w:val="single" w:sz="4" w:space="0" w:color="auto"/>
              <w:right w:val="nil"/>
            </w:tcBorders>
            <w:shd w:val="clear" w:color="auto" w:fill="auto"/>
            <w:noWrap/>
            <w:vAlign w:val="bottom"/>
            <w:hideMark/>
          </w:tcPr>
          <w:p w14:paraId="6D9D454C" w14:textId="77777777" w:rsidR="00B2396F" w:rsidRPr="00B12F3B" w:rsidRDefault="00B2396F" w:rsidP="00B12F3B">
            <w:pPr>
              <w:spacing w:line="480" w:lineRule="auto"/>
              <w:jc w:val="center"/>
              <w:rPr>
                <w:color w:val="000000"/>
              </w:rPr>
            </w:pPr>
            <w:r w:rsidRPr="00B12F3B">
              <w:rPr>
                <w:color w:val="000000"/>
              </w:rPr>
              <w:t>0.15 (.51)</w:t>
            </w:r>
          </w:p>
        </w:tc>
      </w:tr>
    </w:tbl>
    <w:p w14:paraId="3900C311" w14:textId="77777777" w:rsidR="00B2396F" w:rsidRPr="00B12F3B" w:rsidRDefault="00B2396F" w:rsidP="00B12F3B">
      <w:pPr>
        <w:spacing w:line="480" w:lineRule="auto"/>
      </w:pPr>
      <w:r w:rsidRPr="00B12F3B">
        <w:rPr>
          <w:b/>
        </w:rPr>
        <w:t xml:space="preserve">Supplemental Table 2. Correlation between the left and right ALPS index values (at </w:t>
      </w:r>
      <w:r w:rsidRPr="00B12F3B">
        <w:rPr>
          <w:b/>
          <w:i/>
        </w:rPr>
        <w:t>b</w:t>
      </w:r>
      <w:r w:rsidRPr="00B12F3B">
        <w:rPr>
          <w:b/>
        </w:rPr>
        <w:t xml:space="preserve">=2850) and hemispheric hemodynamic parameters measured by </w:t>
      </w:r>
      <w:r w:rsidRPr="00B12F3B">
        <w:rPr>
          <w:b/>
          <w:vertAlign w:val="superscript"/>
        </w:rPr>
        <w:t>15</w:t>
      </w:r>
      <w:r w:rsidRPr="00B12F3B">
        <w:rPr>
          <w:b/>
        </w:rPr>
        <w:t>O-gas PET.</w:t>
      </w:r>
    </w:p>
    <w:p w14:paraId="6D483359" w14:textId="77777777" w:rsidR="00B2396F" w:rsidRPr="00B12F3B" w:rsidRDefault="00B2396F" w:rsidP="00B12F3B">
      <w:pPr>
        <w:spacing w:line="480" w:lineRule="auto"/>
      </w:pPr>
      <w:r w:rsidRPr="00B12F3B">
        <w:t>CBF, cerebral blood flow; CBV, cerebral blood volume; MTT, mean transit time; OEF, oxygen extraction fraction; CMRO</w:t>
      </w:r>
      <w:r w:rsidRPr="00B12F3B">
        <w:rPr>
          <w:vertAlign w:val="subscript"/>
        </w:rPr>
        <w:t>2</w:t>
      </w:r>
      <w:r w:rsidRPr="00B12F3B">
        <w:t>, cerebral metabolic rate of oxygen.</w:t>
      </w:r>
    </w:p>
    <w:p w14:paraId="05E6C4D0" w14:textId="77777777" w:rsidR="00B2396F" w:rsidRPr="00B12F3B" w:rsidRDefault="00B2396F" w:rsidP="00B12F3B">
      <w:pPr>
        <w:spacing w:line="480" w:lineRule="auto"/>
      </w:pPr>
      <w:r w:rsidRPr="00B12F3B">
        <w:t>*</w:t>
      </w:r>
      <w:r w:rsidRPr="00B12F3B">
        <w:rPr>
          <w:i/>
        </w:rPr>
        <w:t>P</w:t>
      </w:r>
      <w:r w:rsidRPr="00B12F3B">
        <w:t>&lt;.05 (Spearman's rank correlation coefficient).</w:t>
      </w:r>
    </w:p>
    <w:p w14:paraId="01190D33" w14:textId="77777777" w:rsidR="00B2396F" w:rsidRPr="00B12F3B" w:rsidRDefault="00B2396F" w:rsidP="00B12F3B">
      <w:pPr>
        <w:spacing w:line="480" w:lineRule="auto"/>
      </w:pPr>
      <w:r w:rsidRPr="00B12F3B">
        <w:br w:type="page"/>
      </w:r>
    </w:p>
    <w:p w14:paraId="391C0265" w14:textId="77777777" w:rsidR="00B2396F" w:rsidRPr="00B12F3B" w:rsidRDefault="00B2396F" w:rsidP="00B12F3B">
      <w:pPr>
        <w:spacing w:line="480" w:lineRule="auto"/>
      </w:pPr>
      <w:r w:rsidRPr="00B12F3B">
        <w:rPr>
          <w:noProof/>
        </w:rPr>
        <w:lastRenderedPageBreak/>
        <w:drawing>
          <wp:inline distT="0" distB="0" distL="0" distR="0" wp14:anchorId="68AE5491" wp14:editId="02EF2123">
            <wp:extent cx="3587262" cy="3832860"/>
            <wp:effectExtent l="0" t="0" r="0" b="2540"/>
            <wp:docPr id="76022174" name="図 76022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srcRect l="23157" t="10761" r="14202"/>
                    <a:stretch>
                      <a:fillRect/>
                    </a:stretch>
                  </pic:blipFill>
                  <pic:spPr bwMode="auto">
                    <a:xfrm>
                      <a:off x="0" y="0"/>
                      <a:ext cx="3587896" cy="3833537"/>
                    </a:xfrm>
                    <a:prstGeom prst="rect">
                      <a:avLst/>
                    </a:prstGeom>
                    <a:ln>
                      <a:noFill/>
                    </a:ln>
                    <a:extLst>
                      <a:ext uri="{53640926-AAD7-44D8-BBD7-CCE9431645EC}">
                        <a14:shadowObscured xmlns:a14="http://schemas.microsoft.com/office/drawing/2010/main"/>
                      </a:ext>
                    </a:extLst>
                  </pic:spPr>
                </pic:pic>
              </a:graphicData>
            </a:graphic>
          </wp:inline>
        </w:drawing>
      </w:r>
    </w:p>
    <w:p w14:paraId="02949E42" w14:textId="77777777" w:rsidR="00B2396F" w:rsidRPr="00B12F3B" w:rsidRDefault="00B2396F" w:rsidP="00B12F3B">
      <w:pPr>
        <w:spacing w:line="480" w:lineRule="auto"/>
      </w:pPr>
      <w:r w:rsidRPr="00B12F3B">
        <w:rPr>
          <w:b/>
        </w:rPr>
        <w:t>Supplemental Figure 3. Correlation between the left and right ALPS index values and scores on the TMT.</w:t>
      </w:r>
      <w:r w:rsidRPr="00B12F3B">
        <w:t xml:space="preserve"> No significant correlation was observed between ALPS index and TMT. *</w:t>
      </w:r>
      <w:r w:rsidRPr="00B12F3B">
        <w:rPr>
          <w:i/>
        </w:rPr>
        <w:t>P</w:t>
      </w:r>
      <w:r w:rsidRPr="00B12F3B">
        <w:t>&lt;.05 (Spearman's rank correlation coefficient).</w:t>
      </w:r>
    </w:p>
    <w:p w14:paraId="1A880672" w14:textId="77777777" w:rsidR="00B2396F" w:rsidRPr="00B12F3B" w:rsidRDefault="00B2396F" w:rsidP="00B12F3B">
      <w:pPr>
        <w:spacing w:line="480" w:lineRule="auto"/>
        <w:rPr>
          <w:b/>
        </w:rPr>
      </w:pPr>
    </w:p>
    <w:p w14:paraId="3C732628" w14:textId="026D7494" w:rsidR="00B2396F" w:rsidRPr="00B12F3B" w:rsidRDefault="00B2396F" w:rsidP="00B12F3B">
      <w:pPr>
        <w:spacing w:line="480" w:lineRule="auto"/>
        <w:rPr>
          <w:rFonts w:eastAsia="ＭＳ 明朝"/>
        </w:rPr>
      </w:pPr>
      <w:r w:rsidRPr="00B12F3B">
        <w:rPr>
          <w:rFonts w:eastAsia="ＭＳ 明朝"/>
        </w:rPr>
        <w:br w:type="page"/>
      </w:r>
    </w:p>
    <w:p w14:paraId="21DF52A6" w14:textId="65235A0D" w:rsidR="00311552" w:rsidRPr="00B12F3B" w:rsidRDefault="00311552" w:rsidP="00B12F3B">
      <w:pPr>
        <w:spacing w:line="480" w:lineRule="auto"/>
        <w:rPr>
          <w:rFonts w:eastAsia="ＭＳ 明朝"/>
          <w:b/>
          <w:bCs/>
        </w:rPr>
      </w:pPr>
      <w:r w:rsidRPr="00B12F3B">
        <w:rPr>
          <w:rFonts w:eastAsia="ＭＳ 明朝"/>
          <w:b/>
          <w:bCs/>
        </w:rPr>
        <w:lastRenderedPageBreak/>
        <w:t>Supplemental References</w:t>
      </w:r>
    </w:p>
    <w:p w14:paraId="0F727B75" w14:textId="77777777" w:rsidR="00311552" w:rsidRPr="00B12F3B" w:rsidRDefault="00311552" w:rsidP="00B12F3B">
      <w:pPr>
        <w:spacing w:line="480" w:lineRule="auto"/>
        <w:rPr>
          <w:rFonts w:eastAsia="ＭＳ 明朝"/>
        </w:rPr>
      </w:pPr>
      <w:r w:rsidRPr="00B12F3B">
        <w:rPr>
          <w:rFonts w:eastAsia="ＭＳ 明朝"/>
        </w:rPr>
        <w:t xml:space="preserve">1. Hara S, Hori M, Ueda R, Hayashi S, </w:t>
      </w:r>
      <w:proofErr w:type="spellStart"/>
      <w:r w:rsidRPr="00B12F3B">
        <w:rPr>
          <w:rFonts w:eastAsia="ＭＳ 明朝"/>
        </w:rPr>
        <w:t>Inaji</w:t>
      </w:r>
      <w:proofErr w:type="spellEnd"/>
      <w:r w:rsidRPr="00B12F3B">
        <w:rPr>
          <w:rFonts w:eastAsia="ＭＳ 明朝"/>
        </w:rPr>
        <w:t xml:space="preserve"> M, Tanaka Y, Maehara T, Ishii K, Aoki S, </w:t>
      </w:r>
      <w:proofErr w:type="spellStart"/>
      <w:r w:rsidRPr="00B12F3B">
        <w:rPr>
          <w:rFonts w:eastAsia="ＭＳ 明朝"/>
        </w:rPr>
        <w:t>Nariai</w:t>
      </w:r>
      <w:proofErr w:type="spellEnd"/>
      <w:r w:rsidRPr="00B12F3B">
        <w:rPr>
          <w:rFonts w:eastAsia="ＭＳ 明朝"/>
        </w:rPr>
        <w:t xml:space="preserve"> T. Unraveling Specific Brain Microstructural Damage in </w:t>
      </w:r>
      <w:proofErr w:type="spellStart"/>
      <w:r w:rsidRPr="00B12F3B">
        <w:rPr>
          <w:rFonts w:eastAsia="ＭＳ 明朝"/>
        </w:rPr>
        <w:t>Moyamoya</w:t>
      </w:r>
      <w:proofErr w:type="spellEnd"/>
      <w:r w:rsidRPr="00B12F3B">
        <w:rPr>
          <w:rFonts w:eastAsia="ＭＳ 明朝"/>
        </w:rPr>
        <w:t xml:space="preserve"> Disease Using Diffusion Magnetic Resonance Imaging and Positron Emission Tomography. Journal of Stroke and Cerebrovascular Diseases 2019;28(4):1113-1125. </w:t>
      </w:r>
      <w:proofErr w:type="spellStart"/>
      <w:r w:rsidRPr="00B12F3B">
        <w:rPr>
          <w:rFonts w:eastAsia="ＭＳ 明朝"/>
        </w:rPr>
        <w:t>doi</w:t>
      </w:r>
      <w:proofErr w:type="spellEnd"/>
      <w:r w:rsidRPr="00B12F3B">
        <w:rPr>
          <w:rFonts w:eastAsia="ＭＳ 明朝"/>
        </w:rPr>
        <w:t>: https://doi.org/10.1016/j.jstrokecerebrovasdis.2018.12.038</w:t>
      </w:r>
    </w:p>
    <w:p w14:paraId="35F6E01E" w14:textId="77777777" w:rsidR="00311552" w:rsidRPr="00B12F3B" w:rsidRDefault="00311552" w:rsidP="00B12F3B">
      <w:pPr>
        <w:spacing w:line="480" w:lineRule="auto"/>
        <w:rPr>
          <w:rFonts w:eastAsia="ＭＳ 明朝"/>
        </w:rPr>
      </w:pPr>
      <w:r w:rsidRPr="00B12F3B">
        <w:rPr>
          <w:rFonts w:eastAsia="ＭＳ 明朝"/>
        </w:rPr>
        <w:t xml:space="preserve">2. </w:t>
      </w:r>
      <w:proofErr w:type="spellStart"/>
      <w:r w:rsidRPr="00B12F3B">
        <w:rPr>
          <w:rFonts w:eastAsia="ＭＳ 明朝"/>
        </w:rPr>
        <w:t>Shidahara</w:t>
      </w:r>
      <w:proofErr w:type="spellEnd"/>
      <w:r w:rsidRPr="00B12F3B">
        <w:rPr>
          <w:rFonts w:eastAsia="ＭＳ 明朝"/>
        </w:rPr>
        <w:t xml:space="preserve"> M, Watabe H, Kim KM, </w:t>
      </w:r>
      <w:proofErr w:type="spellStart"/>
      <w:r w:rsidRPr="00B12F3B">
        <w:rPr>
          <w:rFonts w:eastAsia="ＭＳ 明朝"/>
        </w:rPr>
        <w:t>Kudomi</w:t>
      </w:r>
      <w:proofErr w:type="spellEnd"/>
      <w:r w:rsidRPr="00B12F3B">
        <w:rPr>
          <w:rFonts w:eastAsia="ＭＳ 明朝"/>
        </w:rPr>
        <w:t xml:space="preserve"> N, Ito H, Iida H. Optimal scan time of oxygen-15-labeled gas inhalation autoradiographic method for measurement of cerebral oxygen extraction fraction and cerebral oxygen metabolic rate. Annals of nuclear medicine 2008;22(8):667-675. </w:t>
      </w:r>
      <w:proofErr w:type="spellStart"/>
      <w:r w:rsidRPr="00B12F3B">
        <w:rPr>
          <w:rFonts w:eastAsia="ＭＳ 明朝"/>
        </w:rPr>
        <w:t>doi</w:t>
      </w:r>
      <w:proofErr w:type="spellEnd"/>
      <w:r w:rsidRPr="00B12F3B">
        <w:rPr>
          <w:rFonts w:eastAsia="ＭＳ 明朝"/>
        </w:rPr>
        <w:t>: 10.1007/s12149-008-0157-9</w:t>
      </w:r>
    </w:p>
    <w:p w14:paraId="5B00A39B" w14:textId="77777777" w:rsidR="00311552" w:rsidRPr="00B12F3B" w:rsidRDefault="00311552" w:rsidP="00B12F3B">
      <w:pPr>
        <w:spacing w:line="480" w:lineRule="auto"/>
        <w:rPr>
          <w:rFonts w:eastAsia="ＭＳ 明朝"/>
        </w:rPr>
      </w:pPr>
      <w:r w:rsidRPr="00B12F3B">
        <w:rPr>
          <w:rFonts w:eastAsia="ＭＳ 明朝"/>
        </w:rPr>
        <w:t xml:space="preserve">3. </w:t>
      </w:r>
      <w:proofErr w:type="spellStart"/>
      <w:r w:rsidRPr="00B12F3B">
        <w:rPr>
          <w:rFonts w:eastAsia="ＭＳ 明朝"/>
        </w:rPr>
        <w:t>Kudomi</w:t>
      </w:r>
      <w:proofErr w:type="spellEnd"/>
      <w:r w:rsidRPr="00B12F3B">
        <w:rPr>
          <w:rFonts w:eastAsia="ＭＳ 明朝"/>
        </w:rPr>
        <w:t xml:space="preserve"> N, Choi E, Yamamoto S, Watabe H, Kim KM, </w:t>
      </w:r>
      <w:proofErr w:type="spellStart"/>
      <w:r w:rsidRPr="00B12F3B">
        <w:rPr>
          <w:rFonts w:eastAsia="ＭＳ 明朝"/>
        </w:rPr>
        <w:t>Shidahara</w:t>
      </w:r>
      <w:proofErr w:type="spellEnd"/>
      <w:r w:rsidRPr="00B12F3B">
        <w:rPr>
          <w:rFonts w:eastAsia="ＭＳ 明朝"/>
        </w:rPr>
        <w:t xml:space="preserve"> M, Ogawa M, Teramoto N, Sakamoto E, Iida H. Development of a GSO detector assembly for a continuous blood sampling system. </w:t>
      </w:r>
      <w:proofErr w:type="spellStart"/>
      <w:r w:rsidRPr="00B12F3B">
        <w:rPr>
          <w:rFonts w:eastAsia="ＭＳ 明朝"/>
        </w:rPr>
        <w:t>Ieee</w:t>
      </w:r>
      <w:proofErr w:type="spellEnd"/>
      <w:r w:rsidRPr="00B12F3B">
        <w:rPr>
          <w:rFonts w:eastAsia="ＭＳ 明朝"/>
        </w:rPr>
        <w:t xml:space="preserve"> Transactions on Nuclear Science 2003;50(1):70-73. </w:t>
      </w:r>
      <w:proofErr w:type="spellStart"/>
      <w:r w:rsidRPr="00B12F3B">
        <w:rPr>
          <w:rFonts w:eastAsia="ＭＳ 明朝"/>
        </w:rPr>
        <w:t>doi</w:t>
      </w:r>
      <w:proofErr w:type="spellEnd"/>
      <w:r w:rsidRPr="00B12F3B">
        <w:rPr>
          <w:rFonts w:eastAsia="ＭＳ 明朝"/>
        </w:rPr>
        <w:t>: 10.1109/Tns.2002.807869</w:t>
      </w:r>
    </w:p>
    <w:p w14:paraId="429160CD" w14:textId="77777777" w:rsidR="00311552" w:rsidRPr="00B12F3B" w:rsidRDefault="00311552" w:rsidP="00B12F3B">
      <w:pPr>
        <w:spacing w:line="480" w:lineRule="auto"/>
        <w:rPr>
          <w:rFonts w:eastAsia="ＭＳ 明朝"/>
        </w:rPr>
      </w:pPr>
      <w:r w:rsidRPr="00B12F3B">
        <w:rPr>
          <w:rFonts w:eastAsia="ＭＳ 明朝"/>
        </w:rPr>
        <w:t xml:space="preserve">4. Miwa K, Umeda T, Murata T, Wagatsuma K, Miyaji N, Terauchi T, Koizumi M, Sasaki M. Evaluation of scatter limitation correction: a new method of correcting </w:t>
      </w:r>
      <w:proofErr w:type="spellStart"/>
      <w:r w:rsidRPr="00B12F3B">
        <w:rPr>
          <w:rFonts w:eastAsia="ＭＳ 明朝"/>
        </w:rPr>
        <w:t>photopenic</w:t>
      </w:r>
      <w:proofErr w:type="spellEnd"/>
      <w:r w:rsidRPr="00B12F3B">
        <w:rPr>
          <w:rFonts w:eastAsia="ＭＳ 明朝"/>
        </w:rPr>
        <w:t xml:space="preserve"> artifacts caused by patient motion during whole-body PET/CT imaging. Nuclear medicine communications 2016;37(2):147-154. </w:t>
      </w:r>
      <w:proofErr w:type="spellStart"/>
      <w:r w:rsidRPr="00B12F3B">
        <w:rPr>
          <w:rFonts w:eastAsia="ＭＳ 明朝"/>
        </w:rPr>
        <w:t>doi</w:t>
      </w:r>
      <w:proofErr w:type="spellEnd"/>
      <w:r w:rsidRPr="00B12F3B">
        <w:rPr>
          <w:rFonts w:eastAsia="ＭＳ 明朝"/>
        </w:rPr>
        <w:t>: 10.1097/mnm.0000000000000403</w:t>
      </w:r>
    </w:p>
    <w:p w14:paraId="5E3B7D1A" w14:textId="77777777" w:rsidR="00311552" w:rsidRPr="00B12F3B" w:rsidRDefault="00311552" w:rsidP="00B12F3B">
      <w:pPr>
        <w:spacing w:line="480" w:lineRule="auto"/>
        <w:rPr>
          <w:rFonts w:eastAsia="ＭＳ 明朝"/>
        </w:rPr>
      </w:pPr>
      <w:r w:rsidRPr="00B12F3B">
        <w:rPr>
          <w:rFonts w:eastAsia="ＭＳ 明朝"/>
        </w:rPr>
        <w:t xml:space="preserve">5. </w:t>
      </w:r>
      <w:proofErr w:type="spellStart"/>
      <w:r w:rsidRPr="00B12F3B">
        <w:rPr>
          <w:rFonts w:eastAsia="ＭＳ 明朝"/>
        </w:rPr>
        <w:t>Shidahara</w:t>
      </w:r>
      <w:proofErr w:type="spellEnd"/>
      <w:r w:rsidRPr="00B12F3B">
        <w:rPr>
          <w:rFonts w:eastAsia="ＭＳ 明朝"/>
        </w:rPr>
        <w:t xml:space="preserve"> M, Watabe H, Kim KM, Oka H, Sago M, Hayashi T, Miyake Y, Ishida Y, Hayashida K, Nakamura T, Iida H. Evaluation of a commercial PET tomograph-based system for the quantitative assessment of </w:t>
      </w:r>
      <w:proofErr w:type="spellStart"/>
      <w:r w:rsidRPr="00B12F3B">
        <w:rPr>
          <w:rFonts w:eastAsia="ＭＳ 明朝"/>
        </w:rPr>
        <w:t>rCBF</w:t>
      </w:r>
      <w:proofErr w:type="spellEnd"/>
      <w:r w:rsidRPr="00B12F3B">
        <w:rPr>
          <w:rFonts w:eastAsia="ＭＳ 明朝"/>
        </w:rPr>
        <w:t xml:space="preserve">, </w:t>
      </w:r>
      <w:proofErr w:type="spellStart"/>
      <w:r w:rsidRPr="00B12F3B">
        <w:rPr>
          <w:rFonts w:eastAsia="ＭＳ 明朝"/>
        </w:rPr>
        <w:t>rOEF</w:t>
      </w:r>
      <w:proofErr w:type="spellEnd"/>
      <w:r w:rsidRPr="00B12F3B">
        <w:rPr>
          <w:rFonts w:eastAsia="ＭＳ 明朝"/>
        </w:rPr>
        <w:t xml:space="preserve"> and rCMRO2 by using sequential administration of 15O-labeled compounds. Annals of nuclear medicine 2002;16(5):317-327. </w:t>
      </w:r>
      <w:proofErr w:type="spellStart"/>
      <w:r w:rsidRPr="00B12F3B">
        <w:rPr>
          <w:rFonts w:eastAsia="ＭＳ 明朝"/>
        </w:rPr>
        <w:t>doi</w:t>
      </w:r>
      <w:proofErr w:type="spellEnd"/>
      <w:r w:rsidRPr="00B12F3B">
        <w:rPr>
          <w:rFonts w:eastAsia="ＭＳ 明朝"/>
        </w:rPr>
        <w:t>: 10.1016/j.neuroimage.2011.09.015.</w:t>
      </w:r>
    </w:p>
    <w:p w14:paraId="2B3B261D" w14:textId="77777777" w:rsidR="00311552" w:rsidRPr="00B12F3B" w:rsidRDefault="00311552" w:rsidP="00B12F3B">
      <w:pPr>
        <w:spacing w:line="480" w:lineRule="auto"/>
        <w:rPr>
          <w:rFonts w:eastAsia="ＭＳ 明朝"/>
        </w:rPr>
      </w:pPr>
      <w:r w:rsidRPr="00B12F3B">
        <w:rPr>
          <w:rFonts w:eastAsia="ＭＳ 明朝"/>
        </w:rPr>
        <w:t xml:space="preserve">6. </w:t>
      </w:r>
      <w:proofErr w:type="spellStart"/>
      <w:r w:rsidRPr="00B12F3B">
        <w:rPr>
          <w:rFonts w:eastAsia="ＭＳ 明朝"/>
        </w:rPr>
        <w:t>Kamagata</w:t>
      </w:r>
      <w:proofErr w:type="spellEnd"/>
      <w:r w:rsidRPr="00B12F3B">
        <w:rPr>
          <w:rFonts w:eastAsia="ＭＳ 明朝"/>
        </w:rPr>
        <w:t xml:space="preserve"> K, </w:t>
      </w:r>
      <w:proofErr w:type="spellStart"/>
      <w:r w:rsidRPr="00B12F3B">
        <w:rPr>
          <w:rFonts w:eastAsia="ＭＳ 明朝"/>
        </w:rPr>
        <w:t>Andica</w:t>
      </w:r>
      <w:proofErr w:type="spellEnd"/>
      <w:r w:rsidRPr="00B12F3B">
        <w:rPr>
          <w:rFonts w:eastAsia="ＭＳ 明朝"/>
        </w:rPr>
        <w:t xml:space="preserve"> C, Takabayashi K, Saito Y, Taoka T, Nozaki H, Kikuta J, Fujita S, Hagiwara A, Kamiya K, Wada A, Akashi T, Sano K, Nishizawa M, Hori M, </w:t>
      </w:r>
      <w:proofErr w:type="spellStart"/>
      <w:r w:rsidRPr="00B12F3B">
        <w:rPr>
          <w:rFonts w:eastAsia="ＭＳ 明朝"/>
        </w:rPr>
        <w:t>Naganawa</w:t>
      </w:r>
      <w:proofErr w:type="spellEnd"/>
      <w:r w:rsidRPr="00B12F3B">
        <w:rPr>
          <w:rFonts w:eastAsia="ＭＳ 明朝"/>
        </w:rPr>
        <w:t xml:space="preserve"> S, </w:t>
      </w:r>
      <w:r w:rsidRPr="00B12F3B">
        <w:rPr>
          <w:rFonts w:eastAsia="ＭＳ 明朝"/>
        </w:rPr>
        <w:lastRenderedPageBreak/>
        <w:t xml:space="preserve">Aoki S. Association of MRI Indices of Glymphatic System </w:t>
      </w:r>
      <w:proofErr w:type="gramStart"/>
      <w:r w:rsidRPr="00B12F3B">
        <w:rPr>
          <w:rFonts w:eastAsia="ＭＳ 明朝"/>
        </w:rPr>
        <w:t>With</w:t>
      </w:r>
      <w:proofErr w:type="gramEnd"/>
      <w:r w:rsidRPr="00B12F3B">
        <w:rPr>
          <w:rFonts w:eastAsia="ＭＳ 明朝"/>
        </w:rPr>
        <w:t xml:space="preserve"> Amyloid Deposition and Cognition in Mild Cognitive Impairment and Alzheimer Disease. Neurology 2022:10.1212/WNL.0000000000201300. </w:t>
      </w:r>
      <w:proofErr w:type="spellStart"/>
      <w:r w:rsidRPr="00B12F3B">
        <w:rPr>
          <w:rFonts w:eastAsia="ＭＳ 明朝"/>
        </w:rPr>
        <w:t>doi</w:t>
      </w:r>
      <w:proofErr w:type="spellEnd"/>
      <w:r w:rsidRPr="00B12F3B">
        <w:rPr>
          <w:rFonts w:eastAsia="ＭＳ 明朝"/>
        </w:rPr>
        <w:t>: 10.1212/wnl.0000000000201300</w:t>
      </w:r>
    </w:p>
    <w:p w14:paraId="1731EDF2" w14:textId="77777777" w:rsidR="00311552" w:rsidRPr="00B12F3B" w:rsidRDefault="00311552" w:rsidP="00B12F3B">
      <w:pPr>
        <w:spacing w:line="480" w:lineRule="auto"/>
        <w:rPr>
          <w:rFonts w:eastAsia="ＭＳ 明朝"/>
        </w:rPr>
      </w:pPr>
      <w:r w:rsidRPr="00B12F3B">
        <w:rPr>
          <w:rFonts w:eastAsia="ＭＳ 明朝"/>
        </w:rPr>
        <w:t xml:space="preserve">7. Andersson JL, Skare S, Ashburner J. How to correct susceptibility distortions in spin-echo echo-planar images: application to diffusion tensor imaging. Neuroimage 2003;20(2):870-888. </w:t>
      </w:r>
      <w:proofErr w:type="spellStart"/>
      <w:r w:rsidRPr="00B12F3B">
        <w:rPr>
          <w:rFonts w:eastAsia="ＭＳ 明朝"/>
        </w:rPr>
        <w:t>doi</w:t>
      </w:r>
      <w:proofErr w:type="spellEnd"/>
      <w:r w:rsidRPr="00B12F3B">
        <w:rPr>
          <w:rFonts w:eastAsia="ＭＳ 明朝"/>
        </w:rPr>
        <w:t>: 10.1016/s1053-8119(03)00336-7</w:t>
      </w:r>
    </w:p>
    <w:p w14:paraId="7182145C" w14:textId="77777777" w:rsidR="00311552" w:rsidRPr="00B12F3B" w:rsidRDefault="00311552" w:rsidP="00B12F3B">
      <w:pPr>
        <w:spacing w:line="480" w:lineRule="auto"/>
        <w:rPr>
          <w:rFonts w:eastAsia="ＭＳ 明朝"/>
        </w:rPr>
      </w:pPr>
      <w:r w:rsidRPr="00B12F3B">
        <w:rPr>
          <w:rFonts w:eastAsia="ＭＳ 明朝"/>
        </w:rPr>
        <w:t xml:space="preserve">8. Andersson JLR, Sotiropoulos SN. An integrated approach to correction for off-resonance effects and subject movement in diffusion MR imaging. Neuroimage </w:t>
      </w:r>
      <w:proofErr w:type="gramStart"/>
      <w:r w:rsidRPr="00B12F3B">
        <w:rPr>
          <w:rFonts w:eastAsia="ＭＳ 明朝"/>
        </w:rPr>
        <w:t>2016;125:1063</w:t>
      </w:r>
      <w:proofErr w:type="gramEnd"/>
      <w:r w:rsidRPr="00B12F3B">
        <w:rPr>
          <w:rFonts w:eastAsia="ＭＳ 明朝"/>
        </w:rPr>
        <w:t xml:space="preserve">-1078. </w:t>
      </w:r>
      <w:proofErr w:type="spellStart"/>
      <w:r w:rsidRPr="00B12F3B">
        <w:rPr>
          <w:rFonts w:eastAsia="ＭＳ 明朝"/>
        </w:rPr>
        <w:t>doi</w:t>
      </w:r>
      <w:proofErr w:type="spellEnd"/>
      <w:r w:rsidRPr="00B12F3B">
        <w:rPr>
          <w:rFonts w:eastAsia="ＭＳ 明朝"/>
        </w:rPr>
        <w:t>: 10.1016/j.neuroimage.2015.10.019</w:t>
      </w:r>
    </w:p>
    <w:p w14:paraId="2653F726" w14:textId="77777777" w:rsidR="00311552" w:rsidRPr="00B12F3B" w:rsidRDefault="00311552" w:rsidP="00B12F3B">
      <w:pPr>
        <w:spacing w:line="480" w:lineRule="auto"/>
        <w:rPr>
          <w:rFonts w:eastAsia="ＭＳ 明朝"/>
        </w:rPr>
      </w:pPr>
      <w:r w:rsidRPr="00B12F3B">
        <w:rPr>
          <w:rFonts w:eastAsia="ＭＳ 明朝"/>
        </w:rPr>
        <w:t xml:space="preserve">9. </w:t>
      </w:r>
      <w:proofErr w:type="spellStart"/>
      <w:r w:rsidRPr="00B12F3B">
        <w:rPr>
          <w:rFonts w:eastAsia="ＭＳ 明朝"/>
        </w:rPr>
        <w:t>Daducci</w:t>
      </w:r>
      <w:proofErr w:type="spellEnd"/>
      <w:r w:rsidRPr="00B12F3B">
        <w:rPr>
          <w:rFonts w:eastAsia="ＭＳ 明朝"/>
        </w:rPr>
        <w:t xml:space="preserve"> A, Canales-Rodríguez EJ, Zhang H, Dyrby TB, Alexander DC, </w:t>
      </w:r>
      <w:proofErr w:type="spellStart"/>
      <w:r w:rsidRPr="00B12F3B">
        <w:rPr>
          <w:rFonts w:eastAsia="ＭＳ 明朝"/>
        </w:rPr>
        <w:t>Thiran</w:t>
      </w:r>
      <w:proofErr w:type="spellEnd"/>
      <w:r w:rsidRPr="00B12F3B">
        <w:rPr>
          <w:rFonts w:eastAsia="ＭＳ 明朝"/>
        </w:rPr>
        <w:t xml:space="preserve"> JP. Accelerated Microstructure Imaging via Convex Optimization (AMICO) from diffusion MRI data. Neuroimage </w:t>
      </w:r>
      <w:proofErr w:type="gramStart"/>
      <w:r w:rsidRPr="00B12F3B">
        <w:rPr>
          <w:rFonts w:eastAsia="ＭＳ 明朝"/>
        </w:rPr>
        <w:t>2015;105:32</w:t>
      </w:r>
      <w:proofErr w:type="gramEnd"/>
      <w:r w:rsidRPr="00B12F3B">
        <w:rPr>
          <w:rFonts w:eastAsia="ＭＳ 明朝"/>
        </w:rPr>
        <w:t xml:space="preserve">-44. </w:t>
      </w:r>
      <w:proofErr w:type="spellStart"/>
      <w:r w:rsidRPr="00B12F3B">
        <w:rPr>
          <w:rFonts w:eastAsia="ＭＳ 明朝"/>
        </w:rPr>
        <w:t>doi</w:t>
      </w:r>
      <w:proofErr w:type="spellEnd"/>
      <w:r w:rsidRPr="00B12F3B">
        <w:rPr>
          <w:rFonts w:eastAsia="ＭＳ 明朝"/>
        </w:rPr>
        <w:t>: 10.1016/j.neuroimage.2014.10.026</w:t>
      </w:r>
    </w:p>
    <w:p w14:paraId="7E3D2BAB" w14:textId="77777777" w:rsidR="00311552" w:rsidRPr="00B12F3B" w:rsidRDefault="00311552" w:rsidP="00B12F3B">
      <w:pPr>
        <w:spacing w:line="480" w:lineRule="auto"/>
        <w:rPr>
          <w:rFonts w:eastAsia="ＭＳ 明朝"/>
        </w:rPr>
      </w:pPr>
      <w:r w:rsidRPr="00B12F3B">
        <w:rPr>
          <w:rFonts w:eastAsia="ＭＳ 明朝"/>
        </w:rPr>
        <w:t xml:space="preserve">10. </w:t>
      </w:r>
      <w:proofErr w:type="spellStart"/>
      <w:r w:rsidRPr="00B12F3B">
        <w:rPr>
          <w:rFonts w:eastAsia="ＭＳ 明朝"/>
        </w:rPr>
        <w:t>Iima</w:t>
      </w:r>
      <w:proofErr w:type="spellEnd"/>
      <w:r w:rsidRPr="00B12F3B">
        <w:rPr>
          <w:rFonts w:eastAsia="ＭＳ 明朝"/>
        </w:rPr>
        <w:t xml:space="preserve"> M, Bihan DL. Clinical Intravoxel Incoherent Motion and Diffusion MR Imaging: Past, Present, and Future. Radiology 2016;278(1):13-32. </w:t>
      </w:r>
      <w:proofErr w:type="spellStart"/>
      <w:r w:rsidRPr="00B12F3B">
        <w:rPr>
          <w:rFonts w:eastAsia="ＭＳ 明朝"/>
        </w:rPr>
        <w:t>doi</w:t>
      </w:r>
      <w:proofErr w:type="spellEnd"/>
      <w:r w:rsidRPr="00B12F3B">
        <w:rPr>
          <w:rFonts w:eastAsia="ＭＳ 明朝"/>
        </w:rPr>
        <w:t>: 10.1148/radiol.2015150244</w:t>
      </w:r>
    </w:p>
    <w:p w14:paraId="0BC1282D" w14:textId="77777777" w:rsidR="00311552" w:rsidRPr="00B12F3B" w:rsidRDefault="00311552" w:rsidP="00B12F3B">
      <w:pPr>
        <w:spacing w:line="480" w:lineRule="auto"/>
        <w:rPr>
          <w:rFonts w:eastAsia="ＭＳ 明朝"/>
        </w:rPr>
      </w:pPr>
      <w:r w:rsidRPr="00B12F3B">
        <w:rPr>
          <w:rFonts w:eastAsia="ＭＳ 明朝"/>
        </w:rPr>
        <w:t xml:space="preserve">11. Hagiwara A, Hori M, </w:t>
      </w:r>
      <w:proofErr w:type="spellStart"/>
      <w:r w:rsidRPr="00B12F3B">
        <w:rPr>
          <w:rFonts w:eastAsia="ＭＳ 明朝"/>
        </w:rPr>
        <w:t>Kamagata</w:t>
      </w:r>
      <w:proofErr w:type="spellEnd"/>
      <w:r w:rsidRPr="00B12F3B">
        <w:rPr>
          <w:rFonts w:eastAsia="ＭＳ 明朝"/>
        </w:rPr>
        <w:t xml:space="preserve"> K, </w:t>
      </w:r>
      <w:proofErr w:type="spellStart"/>
      <w:r w:rsidRPr="00B12F3B">
        <w:rPr>
          <w:rFonts w:eastAsia="ＭＳ 明朝"/>
        </w:rPr>
        <w:t>Warntjes</w:t>
      </w:r>
      <w:proofErr w:type="spellEnd"/>
      <w:r w:rsidRPr="00B12F3B">
        <w:rPr>
          <w:rFonts w:eastAsia="ＭＳ 明朝"/>
        </w:rPr>
        <w:t xml:space="preserve"> M, </w:t>
      </w:r>
      <w:proofErr w:type="spellStart"/>
      <w:r w:rsidRPr="00B12F3B">
        <w:rPr>
          <w:rFonts w:eastAsia="ＭＳ 明朝"/>
        </w:rPr>
        <w:t>Matsuyoshi</w:t>
      </w:r>
      <w:proofErr w:type="spellEnd"/>
      <w:r w:rsidRPr="00B12F3B">
        <w:rPr>
          <w:rFonts w:eastAsia="ＭＳ 明朝"/>
        </w:rPr>
        <w:t xml:space="preserve"> D, Nakazawa M, Ueda R, </w:t>
      </w:r>
      <w:proofErr w:type="spellStart"/>
      <w:r w:rsidRPr="00B12F3B">
        <w:rPr>
          <w:rFonts w:eastAsia="ＭＳ 明朝"/>
        </w:rPr>
        <w:t>Andica</w:t>
      </w:r>
      <w:proofErr w:type="spellEnd"/>
      <w:r w:rsidRPr="00B12F3B">
        <w:rPr>
          <w:rFonts w:eastAsia="ＭＳ 明朝"/>
        </w:rPr>
        <w:t xml:space="preserve"> C, Koshino S, Maekawa T, Irie R, Takamura T, </w:t>
      </w:r>
      <w:proofErr w:type="spellStart"/>
      <w:r w:rsidRPr="00B12F3B">
        <w:rPr>
          <w:rFonts w:eastAsia="ＭＳ 明朝"/>
        </w:rPr>
        <w:t>Kumamaru</w:t>
      </w:r>
      <w:proofErr w:type="spellEnd"/>
      <w:r w:rsidRPr="00B12F3B">
        <w:rPr>
          <w:rFonts w:eastAsia="ＭＳ 明朝"/>
        </w:rPr>
        <w:t xml:space="preserve"> KK, Abe O, Aoki S. Myelin Measurement: Comparison Between Simultaneous Tissue Relaxometry, Magnetization Transfer Saturation Index, and T1w/T2w Ratio Methods. Scientific Reports 2018;8(1):10554. </w:t>
      </w:r>
      <w:proofErr w:type="spellStart"/>
      <w:r w:rsidRPr="00B12F3B">
        <w:rPr>
          <w:rFonts w:eastAsia="ＭＳ 明朝"/>
        </w:rPr>
        <w:t>doi</w:t>
      </w:r>
      <w:proofErr w:type="spellEnd"/>
      <w:r w:rsidRPr="00B12F3B">
        <w:rPr>
          <w:rFonts w:eastAsia="ＭＳ 明朝"/>
        </w:rPr>
        <w:t>: 10.1038/s41598-018-28852-6</w:t>
      </w:r>
    </w:p>
    <w:p w14:paraId="131D0377" w14:textId="2C0E04E7" w:rsidR="00DE4AFE" w:rsidRPr="00B12F3B" w:rsidRDefault="00DE4AFE" w:rsidP="00DE4AFE">
      <w:pPr>
        <w:rPr>
          <w:rFonts w:eastAsia="ＭＳ 明朝"/>
        </w:rPr>
      </w:pPr>
    </w:p>
    <w:sectPr w:rsidR="00DE4AFE" w:rsidRPr="00B12F3B" w:rsidSect="00980281">
      <w:footerReference w:type="even" r:id="rId11"/>
      <w:footerReference w:type="default" r:id="rId12"/>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B1D26" w14:textId="77777777" w:rsidR="00696CFD" w:rsidRDefault="00696CFD" w:rsidP="001860E7">
      <w:r>
        <w:separator/>
      </w:r>
    </w:p>
  </w:endnote>
  <w:endnote w:type="continuationSeparator" w:id="0">
    <w:p w14:paraId="187C5F99" w14:textId="77777777" w:rsidR="00696CFD" w:rsidRDefault="00696CFD" w:rsidP="001860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
      </w:rPr>
      <w:id w:val="967250937"/>
      <w:docPartObj>
        <w:docPartGallery w:val="Page Numbers (Bottom of Page)"/>
        <w:docPartUnique/>
      </w:docPartObj>
    </w:sdtPr>
    <w:sdtEndPr>
      <w:rPr>
        <w:rStyle w:val="af"/>
      </w:rPr>
    </w:sdtEndPr>
    <w:sdtContent>
      <w:p w14:paraId="6E48DBD9" w14:textId="405A9A02" w:rsidR="00696CFD" w:rsidRDefault="00696CFD" w:rsidP="00D37D13">
        <w:pPr>
          <w:pStyle w:val="ad"/>
          <w:framePr w:wrap="none" w:vAnchor="text" w:hAnchor="margin" w:xAlign="right" w:y="1"/>
          <w:rPr>
            <w:rStyle w:val="af"/>
          </w:rPr>
        </w:pPr>
        <w:r>
          <w:rPr>
            <w:rStyle w:val="af"/>
          </w:rPr>
          <w:fldChar w:fldCharType="begin"/>
        </w:r>
        <w:r>
          <w:rPr>
            <w:rStyle w:val="af"/>
          </w:rPr>
          <w:instrText xml:space="preserve"> PAGE </w:instrText>
        </w:r>
        <w:r>
          <w:rPr>
            <w:rStyle w:val="af"/>
          </w:rPr>
          <w:fldChar w:fldCharType="separate"/>
        </w:r>
        <w:r>
          <w:rPr>
            <w:rStyle w:val="af"/>
            <w:noProof/>
          </w:rPr>
          <w:t>17</w:t>
        </w:r>
        <w:r>
          <w:rPr>
            <w:rStyle w:val="af"/>
          </w:rPr>
          <w:fldChar w:fldCharType="end"/>
        </w:r>
      </w:p>
    </w:sdtContent>
  </w:sdt>
  <w:p w14:paraId="27FB3D52" w14:textId="77777777" w:rsidR="00696CFD" w:rsidRDefault="00696CFD" w:rsidP="00980281">
    <w:pPr>
      <w:pStyle w:val="a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79597" w14:textId="77777777" w:rsidR="00696CFD" w:rsidRDefault="00696CFD" w:rsidP="00980281">
    <w:pPr>
      <w:pStyle w:val="a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AB283" w14:textId="77777777" w:rsidR="00696CFD" w:rsidRDefault="00696CFD" w:rsidP="001860E7">
      <w:r>
        <w:separator/>
      </w:r>
    </w:p>
  </w:footnote>
  <w:footnote w:type="continuationSeparator" w:id="0">
    <w:p w14:paraId="58E75D52" w14:textId="77777777" w:rsidR="00696CFD" w:rsidRDefault="00696CFD" w:rsidP="001860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E53E11"/>
    <w:multiLevelType w:val="hybridMultilevel"/>
    <w:tmpl w:val="4B1A7D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383E97"/>
    <w:multiLevelType w:val="multilevel"/>
    <w:tmpl w:val="DE7AA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8469066">
    <w:abstractNumId w:val="0"/>
  </w:num>
  <w:num w:numId="2" w16cid:durableId="15535432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Radiolog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00xdzt0jtattjed02o52pplrdztzaex9prx&quot;&gt;My EndNote Library&lt;record-ids&gt;&lt;item&gt;596&lt;/item&gt;&lt;item&gt;777&lt;/item&gt;&lt;item&gt;783&lt;/item&gt;&lt;item&gt;863&lt;/item&gt;&lt;item&gt;909&lt;/item&gt;&lt;item&gt;1207&lt;/item&gt;&lt;item&gt;1392&lt;/item&gt;&lt;item&gt;1467&lt;/item&gt;&lt;item&gt;1468&lt;/item&gt;&lt;item&gt;1683&lt;/item&gt;&lt;item&gt;1690&lt;/item&gt;&lt;item&gt;2020&lt;/item&gt;&lt;item&gt;2030&lt;/item&gt;&lt;item&gt;2213&lt;/item&gt;&lt;item&gt;2235&lt;/item&gt;&lt;item&gt;2254&lt;/item&gt;&lt;item&gt;2257&lt;/item&gt;&lt;item&gt;2273&lt;/item&gt;&lt;item&gt;2332&lt;/item&gt;&lt;item&gt;2335&lt;/item&gt;&lt;item&gt;2339&lt;/item&gt;&lt;item&gt;2461&lt;/item&gt;&lt;item&gt;2466&lt;/item&gt;&lt;item&gt;2467&lt;/item&gt;&lt;item&gt;2469&lt;/item&gt;&lt;item&gt;2470&lt;/item&gt;&lt;item&gt;2474&lt;/item&gt;&lt;item&gt;2584&lt;/item&gt;&lt;item&gt;2720&lt;/item&gt;&lt;item&gt;2853&lt;/item&gt;&lt;item&gt;2939&lt;/item&gt;&lt;item&gt;2941&lt;/item&gt;&lt;item&gt;2942&lt;/item&gt;&lt;/record-ids&gt;&lt;/item&gt;&lt;/Libraries&gt;"/>
  </w:docVars>
  <w:rsids>
    <w:rsidRoot w:val="00CF3E32"/>
    <w:rsid w:val="0000047A"/>
    <w:rsid w:val="000009BC"/>
    <w:rsid w:val="000017C8"/>
    <w:rsid w:val="00002991"/>
    <w:rsid w:val="00002EB0"/>
    <w:rsid w:val="00005E24"/>
    <w:rsid w:val="00007059"/>
    <w:rsid w:val="00007BD4"/>
    <w:rsid w:val="000118BE"/>
    <w:rsid w:val="00013511"/>
    <w:rsid w:val="00013FA6"/>
    <w:rsid w:val="00015D52"/>
    <w:rsid w:val="00015FED"/>
    <w:rsid w:val="00016174"/>
    <w:rsid w:val="00020703"/>
    <w:rsid w:val="00021EBB"/>
    <w:rsid w:val="000235AD"/>
    <w:rsid w:val="00024E96"/>
    <w:rsid w:val="0003083E"/>
    <w:rsid w:val="00032071"/>
    <w:rsid w:val="000324D0"/>
    <w:rsid w:val="00036316"/>
    <w:rsid w:val="000364FA"/>
    <w:rsid w:val="00037360"/>
    <w:rsid w:val="00037974"/>
    <w:rsid w:val="000476A4"/>
    <w:rsid w:val="00047F61"/>
    <w:rsid w:val="00051E88"/>
    <w:rsid w:val="00052957"/>
    <w:rsid w:val="00053A86"/>
    <w:rsid w:val="00053DC8"/>
    <w:rsid w:val="0005540B"/>
    <w:rsid w:val="0005648A"/>
    <w:rsid w:val="000571BD"/>
    <w:rsid w:val="00061DE0"/>
    <w:rsid w:val="000623C7"/>
    <w:rsid w:val="000626D7"/>
    <w:rsid w:val="00062E44"/>
    <w:rsid w:val="000661CC"/>
    <w:rsid w:val="000675FE"/>
    <w:rsid w:val="00070805"/>
    <w:rsid w:val="00071726"/>
    <w:rsid w:val="00072F2D"/>
    <w:rsid w:val="00075FFC"/>
    <w:rsid w:val="00077B4C"/>
    <w:rsid w:val="0008002C"/>
    <w:rsid w:val="00081353"/>
    <w:rsid w:val="00083F7F"/>
    <w:rsid w:val="000855AB"/>
    <w:rsid w:val="00090939"/>
    <w:rsid w:val="000953BF"/>
    <w:rsid w:val="00096150"/>
    <w:rsid w:val="000A296A"/>
    <w:rsid w:val="000A46D9"/>
    <w:rsid w:val="000A4FC3"/>
    <w:rsid w:val="000A5E9D"/>
    <w:rsid w:val="000B0194"/>
    <w:rsid w:val="000B0EE8"/>
    <w:rsid w:val="000B1305"/>
    <w:rsid w:val="000B379B"/>
    <w:rsid w:val="000C044F"/>
    <w:rsid w:val="000C1680"/>
    <w:rsid w:val="000C23C6"/>
    <w:rsid w:val="000C40BA"/>
    <w:rsid w:val="000C4D04"/>
    <w:rsid w:val="000C767B"/>
    <w:rsid w:val="000D045F"/>
    <w:rsid w:val="000D28E8"/>
    <w:rsid w:val="000D6699"/>
    <w:rsid w:val="000D6829"/>
    <w:rsid w:val="000D6CA2"/>
    <w:rsid w:val="000D75AD"/>
    <w:rsid w:val="000E14EE"/>
    <w:rsid w:val="000E195E"/>
    <w:rsid w:val="000E44C8"/>
    <w:rsid w:val="000E44FC"/>
    <w:rsid w:val="000E4DD3"/>
    <w:rsid w:val="000E646E"/>
    <w:rsid w:val="000E75A9"/>
    <w:rsid w:val="000F10B7"/>
    <w:rsid w:val="000F3E34"/>
    <w:rsid w:val="000F47C3"/>
    <w:rsid w:val="000F5286"/>
    <w:rsid w:val="000F7F40"/>
    <w:rsid w:val="001010D3"/>
    <w:rsid w:val="001028C0"/>
    <w:rsid w:val="00102EA5"/>
    <w:rsid w:val="00102EF1"/>
    <w:rsid w:val="00103245"/>
    <w:rsid w:val="001034B1"/>
    <w:rsid w:val="001052BD"/>
    <w:rsid w:val="00105D45"/>
    <w:rsid w:val="0010684F"/>
    <w:rsid w:val="001079B9"/>
    <w:rsid w:val="0011146B"/>
    <w:rsid w:val="001135C6"/>
    <w:rsid w:val="001136E5"/>
    <w:rsid w:val="00114EC7"/>
    <w:rsid w:val="001151E7"/>
    <w:rsid w:val="00116A92"/>
    <w:rsid w:val="00123880"/>
    <w:rsid w:val="001256FD"/>
    <w:rsid w:val="001267F7"/>
    <w:rsid w:val="00126A04"/>
    <w:rsid w:val="001311F4"/>
    <w:rsid w:val="00131D6C"/>
    <w:rsid w:val="00141EC7"/>
    <w:rsid w:val="00143099"/>
    <w:rsid w:val="0014360B"/>
    <w:rsid w:val="00145958"/>
    <w:rsid w:val="001461B8"/>
    <w:rsid w:val="0014777D"/>
    <w:rsid w:val="00151CC1"/>
    <w:rsid w:val="00152045"/>
    <w:rsid w:val="001541B5"/>
    <w:rsid w:val="001546E0"/>
    <w:rsid w:val="00157BB9"/>
    <w:rsid w:val="00160E26"/>
    <w:rsid w:val="00162663"/>
    <w:rsid w:val="00162C82"/>
    <w:rsid w:val="001630B5"/>
    <w:rsid w:val="00163120"/>
    <w:rsid w:val="0016324D"/>
    <w:rsid w:val="00164E8C"/>
    <w:rsid w:val="001710DD"/>
    <w:rsid w:val="001711E1"/>
    <w:rsid w:val="001723D9"/>
    <w:rsid w:val="00173E3E"/>
    <w:rsid w:val="0017738E"/>
    <w:rsid w:val="00180300"/>
    <w:rsid w:val="001811F9"/>
    <w:rsid w:val="00181DD4"/>
    <w:rsid w:val="00185220"/>
    <w:rsid w:val="0018571C"/>
    <w:rsid w:val="001860E7"/>
    <w:rsid w:val="001863D0"/>
    <w:rsid w:val="00190540"/>
    <w:rsid w:val="00191C04"/>
    <w:rsid w:val="00192616"/>
    <w:rsid w:val="001A0DFD"/>
    <w:rsid w:val="001A0E24"/>
    <w:rsid w:val="001A1CC2"/>
    <w:rsid w:val="001A1D91"/>
    <w:rsid w:val="001A3612"/>
    <w:rsid w:val="001A3685"/>
    <w:rsid w:val="001B26EE"/>
    <w:rsid w:val="001B52A2"/>
    <w:rsid w:val="001B5605"/>
    <w:rsid w:val="001C1959"/>
    <w:rsid w:val="001C1F38"/>
    <w:rsid w:val="001C4D61"/>
    <w:rsid w:val="001C732B"/>
    <w:rsid w:val="001D1C64"/>
    <w:rsid w:val="001D32DC"/>
    <w:rsid w:val="001D42C2"/>
    <w:rsid w:val="001D4F46"/>
    <w:rsid w:val="001D5D1A"/>
    <w:rsid w:val="001D6878"/>
    <w:rsid w:val="001E31B9"/>
    <w:rsid w:val="001E4CEA"/>
    <w:rsid w:val="001E4DBA"/>
    <w:rsid w:val="001E5701"/>
    <w:rsid w:val="001E61FE"/>
    <w:rsid w:val="001F19CB"/>
    <w:rsid w:val="001F1EEB"/>
    <w:rsid w:val="001F47DE"/>
    <w:rsid w:val="001F71AE"/>
    <w:rsid w:val="001F73BE"/>
    <w:rsid w:val="002006BF"/>
    <w:rsid w:val="00200C16"/>
    <w:rsid w:val="0020335F"/>
    <w:rsid w:val="00205100"/>
    <w:rsid w:val="00206BA9"/>
    <w:rsid w:val="002100DD"/>
    <w:rsid w:val="00213FEA"/>
    <w:rsid w:val="00214073"/>
    <w:rsid w:val="0021533B"/>
    <w:rsid w:val="002166C4"/>
    <w:rsid w:val="00217CC6"/>
    <w:rsid w:val="00217EE1"/>
    <w:rsid w:val="00223AD5"/>
    <w:rsid w:val="002260D5"/>
    <w:rsid w:val="00227DB0"/>
    <w:rsid w:val="00230A5E"/>
    <w:rsid w:val="00230DBC"/>
    <w:rsid w:val="00230EA4"/>
    <w:rsid w:val="00232715"/>
    <w:rsid w:val="00233525"/>
    <w:rsid w:val="00233EB9"/>
    <w:rsid w:val="00234F44"/>
    <w:rsid w:val="00237366"/>
    <w:rsid w:val="00237603"/>
    <w:rsid w:val="00237AF3"/>
    <w:rsid w:val="00240F9C"/>
    <w:rsid w:val="002424DB"/>
    <w:rsid w:val="00242911"/>
    <w:rsid w:val="002442B9"/>
    <w:rsid w:val="002469F1"/>
    <w:rsid w:val="00250F0B"/>
    <w:rsid w:val="0025222B"/>
    <w:rsid w:val="0025504B"/>
    <w:rsid w:val="002565B7"/>
    <w:rsid w:val="0026048D"/>
    <w:rsid w:val="00261E57"/>
    <w:rsid w:val="002622B9"/>
    <w:rsid w:val="002629FB"/>
    <w:rsid w:val="0026353F"/>
    <w:rsid w:val="00264341"/>
    <w:rsid w:val="00271EC8"/>
    <w:rsid w:val="00272D91"/>
    <w:rsid w:val="00274C53"/>
    <w:rsid w:val="00276F67"/>
    <w:rsid w:val="00283D3E"/>
    <w:rsid w:val="00284244"/>
    <w:rsid w:val="0028569C"/>
    <w:rsid w:val="002861AC"/>
    <w:rsid w:val="00292597"/>
    <w:rsid w:val="00293BA3"/>
    <w:rsid w:val="00293EFF"/>
    <w:rsid w:val="002969B7"/>
    <w:rsid w:val="00297280"/>
    <w:rsid w:val="002A0C09"/>
    <w:rsid w:val="002A0E84"/>
    <w:rsid w:val="002A0F4A"/>
    <w:rsid w:val="002A105A"/>
    <w:rsid w:val="002A1621"/>
    <w:rsid w:val="002A1F36"/>
    <w:rsid w:val="002A561A"/>
    <w:rsid w:val="002A58BB"/>
    <w:rsid w:val="002A6306"/>
    <w:rsid w:val="002A77AC"/>
    <w:rsid w:val="002B01B7"/>
    <w:rsid w:val="002B12DA"/>
    <w:rsid w:val="002B1ABC"/>
    <w:rsid w:val="002B295F"/>
    <w:rsid w:val="002B35D8"/>
    <w:rsid w:val="002B4399"/>
    <w:rsid w:val="002B4B53"/>
    <w:rsid w:val="002B4B73"/>
    <w:rsid w:val="002B5F8C"/>
    <w:rsid w:val="002C1A65"/>
    <w:rsid w:val="002C5DDA"/>
    <w:rsid w:val="002C719C"/>
    <w:rsid w:val="002D474F"/>
    <w:rsid w:val="002E25D7"/>
    <w:rsid w:val="002E38AF"/>
    <w:rsid w:val="002E6535"/>
    <w:rsid w:val="002F03D9"/>
    <w:rsid w:val="002F14C7"/>
    <w:rsid w:val="002F3AC1"/>
    <w:rsid w:val="00300024"/>
    <w:rsid w:val="00300AD9"/>
    <w:rsid w:val="0030437D"/>
    <w:rsid w:val="003046FD"/>
    <w:rsid w:val="00305487"/>
    <w:rsid w:val="003059C1"/>
    <w:rsid w:val="00306C97"/>
    <w:rsid w:val="00311552"/>
    <w:rsid w:val="0031258B"/>
    <w:rsid w:val="0031452A"/>
    <w:rsid w:val="00315C40"/>
    <w:rsid w:val="00315D70"/>
    <w:rsid w:val="00315E5E"/>
    <w:rsid w:val="00316F68"/>
    <w:rsid w:val="00317215"/>
    <w:rsid w:val="00321976"/>
    <w:rsid w:val="003243A8"/>
    <w:rsid w:val="00324A5E"/>
    <w:rsid w:val="00324CBE"/>
    <w:rsid w:val="003270AF"/>
    <w:rsid w:val="003275D4"/>
    <w:rsid w:val="00331509"/>
    <w:rsid w:val="00331BBE"/>
    <w:rsid w:val="0033258C"/>
    <w:rsid w:val="00334286"/>
    <w:rsid w:val="003364FD"/>
    <w:rsid w:val="00336556"/>
    <w:rsid w:val="003379FD"/>
    <w:rsid w:val="00341711"/>
    <w:rsid w:val="00341C36"/>
    <w:rsid w:val="00342823"/>
    <w:rsid w:val="00343AB2"/>
    <w:rsid w:val="00343CC2"/>
    <w:rsid w:val="003455A4"/>
    <w:rsid w:val="00345A50"/>
    <w:rsid w:val="00350124"/>
    <w:rsid w:val="003512DE"/>
    <w:rsid w:val="00352776"/>
    <w:rsid w:val="00353732"/>
    <w:rsid w:val="00354BDC"/>
    <w:rsid w:val="003558EE"/>
    <w:rsid w:val="003560E7"/>
    <w:rsid w:val="0035720F"/>
    <w:rsid w:val="00361AD7"/>
    <w:rsid w:val="003637FF"/>
    <w:rsid w:val="00364C56"/>
    <w:rsid w:val="0036638D"/>
    <w:rsid w:val="0037076A"/>
    <w:rsid w:val="0037097B"/>
    <w:rsid w:val="003729FA"/>
    <w:rsid w:val="00373600"/>
    <w:rsid w:val="00373EB3"/>
    <w:rsid w:val="00377E31"/>
    <w:rsid w:val="00380415"/>
    <w:rsid w:val="00382C6D"/>
    <w:rsid w:val="00384281"/>
    <w:rsid w:val="0038721E"/>
    <w:rsid w:val="00392A73"/>
    <w:rsid w:val="00392B1B"/>
    <w:rsid w:val="00393454"/>
    <w:rsid w:val="00394661"/>
    <w:rsid w:val="003947C2"/>
    <w:rsid w:val="00396D16"/>
    <w:rsid w:val="003A02DD"/>
    <w:rsid w:val="003A0E95"/>
    <w:rsid w:val="003A0FD8"/>
    <w:rsid w:val="003A24F2"/>
    <w:rsid w:val="003A34AE"/>
    <w:rsid w:val="003A4893"/>
    <w:rsid w:val="003A516E"/>
    <w:rsid w:val="003B36F6"/>
    <w:rsid w:val="003B3BC0"/>
    <w:rsid w:val="003B4006"/>
    <w:rsid w:val="003B7405"/>
    <w:rsid w:val="003B79B1"/>
    <w:rsid w:val="003C262B"/>
    <w:rsid w:val="003C5B3E"/>
    <w:rsid w:val="003C64CA"/>
    <w:rsid w:val="003C752F"/>
    <w:rsid w:val="003D163D"/>
    <w:rsid w:val="003D7C83"/>
    <w:rsid w:val="003E00A5"/>
    <w:rsid w:val="003E0BC2"/>
    <w:rsid w:val="003E41BD"/>
    <w:rsid w:val="003E4E46"/>
    <w:rsid w:val="003F03A3"/>
    <w:rsid w:val="003F113F"/>
    <w:rsid w:val="003F1EFE"/>
    <w:rsid w:val="003F2C96"/>
    <w:rsid w:val="003F4BB1"/>
    <w:rsid w:val="003F5100"/>
    <w:rsid w:val="00401013"/>
    <w:rsid w:val="004011B7"/>
    <w:rsid w:val="00401F78"/>
    <w:rsid w:val="0040228B"/>
    <w:rsid w:val="00402911"/>
    <w:rsid w:val="004058D9"/>
    <w:rsid w:val="004069AE"/>
    <w:rsid w:val="00413265"/>
    <w:rsid w:val="0041360A"/>
    <w:rsid w:val="00416D8C"/>
    <w:rsid w:val="00417722"/>
    <w:rsid w:val="004229B8"/>
    <w:rsid w:val="004238E5"/>
    <w:rsid w:val="00431BAF"/>
    <w:rsid w:val="00431EF2"/>
    <w:rsid w:val="00432CB4"/>
    <w:rsid w:val="00433CA5"/>
    <w:rsid w:val="00434EE5"/>
    <w:rsid w:val="00435057"/>
    <w:rsid w:val="00435E4C"/>
    <w:rsid w:val="00435E9F"/>
    <w:rsid w:val="00440132"/>
    <w:rsid w:val="00441B96"/>
    <w:rsid w:val="0044381B"/>
    <w:rsid w:val="004439B7"/>
    <w:rsid w:val="004503F2"/>
    <w:rsid w:val="00452D12"/>
    <w:rsid w:val="00455FBC"/>
    <w:rsid w:val="004560DA"/>
    <w:rsid w:val="00457854"/>
    <w:rsid w:val="00460FE0"/>
    <w:rsid w:val="00461130"/>
    <w:rsid w:val="004624F7"/>
    <w:rsid w:val="00462B9F"/>
    <w:rsid w:val="004636A4"/>
    <w:rsid w:val="00464292"/>
    <w:rsid w:val="00466D0C"/>
    <w:rsid w:val="00470854"/>
    <w:rsid w:val="004730FF"/>
    <w:rsid w:val="0047588F"/>
    <w:rsid w:val="00475A28"/>
    <w:rsid w:val="00476B60"/>
    <w:rsid w:val="004813FE"/>
    <w:rsid w:val="00481E13"/>
    <w:rsid w:val="00483A8E"/>
    <w:rsid w:val="00483E98"/>
    <w:rsid w:val="00491728"/>
    <w:rsid w:val="00491BE8"/>
    <w:rsid w:val="0049252B"/>
    <w:rsid w:val="00492C23"/>
    <w:rsid w:val="00493A0F"/>
    <w:rsid w:val="00493BC5"/>
    <w:rsid w:val="00494225"/>
    <w:rsid w:val="004945CF"/>
    <w:rsid w:val="004969AA"/>
    <w:rsid w:val="00497BB0"/>
    <w:rsid w:val="00497FD5"/>
    <w:rsid w:val="004A090A"/>
    <w:rsid w:val="004A191D"/>
    <w:rsid w:val="004A34E6"/>
    <w:rsid w:val="004A39ED"/>
    <w:rsid w:val="004A7F65"/>
    <w:rsid w:val="004B0346"/>
    <w:rsid w:val="004B0A3B"/>
    <w:rsid w:val="004B1615"/>
    <w:rsid w:val="004B56C0"/>
    <w:rsid w:val="004C0366"/>
    <w:rsid w:val="004C38BB"/>
    <w:rsid w:val="004C3EA0"/>
    <w:rsid w:val="004C6409"/>
    <w:rsid w:val="004C70C0"/>
    <w:rsid w:val="004D01B6"/>
    <w:rsid w:val="004D0653"/>
    <w:rsid w:val="004D0EBE"/>
    <w:rsid w:val="004D2476"/>
    <w:rsid w:val="004D2813"/>
    <w:rsid w:val="004D4784"/>
    <w:rsid w:val="004D789A"/>
    <w:rsid w:val="004E16E8"/>
    <w:rsid w:val="004E2669"/>
    <w:rsid w:val="004E3589"/>
    <w:rsid w:val="004E3D9B"/>
    <w:rsid w:val="004E53F8"/>
    <w:rsid w:val="004E777E"/>
    <w:rsid w:val="004F0D41"/>
    <w:rsid w:val="004F1D31"/>
    <w:rsid w:val="004F3974"/>
    <w:rsid w:val="004F3ED6"/>
    <w:rsid w:val="004F48B8"/>
    <w:rsid w:val="004F4F21"/>
    <w:rsid w:val="004F5336"/>
    <w:rsid w:val="004F635F"/>
    <w:rsid w:val="00500B86"/>
    <w:rsid w:val="005017EB"/>
    <w:rsid w:val="00504471"/>
    <w:rsid w:val="0050637C"/>
    <w:rsid w:val="00506C87"/>
    <w:rsid w:val="00506F54"/>
    <w:rsid w:val="0050783A"/>
    <w:rsid w:val="005113D8"/>
    <w:rsid w:val="00512081"/>
    <w:rsid w:val="00512E3B"/>
    <w:rsid w:val="005135C5"/>
    <w:rsid w:val="00514DBA"/>
    <w:rsid w:val="0051770D"/>
    <w:rsid w:val="00517775"/>
    <w:rsid w:val="005200A2"/>
    <w:rsid w:val="00521A7B"/>
    <w:rsid w:val="00524D95"/>
    <w:rsid w:val="0052533C"/>
    <w:rsid w:val="005273FD"/>
    <w:rsid w:val="00527E3D"/>
    <w:rsid w:val="00537566"/>
    <w:rsid w:val="00540FF4"/>
    <w:rsid w:val="00544826"/>
    <w:rsid w:val="005460E5"/>
    <w:rsid w:val="00547994"/>
    <w:rsid w:val="0055386F"/>
    <w:rsid w:val="00557C44"/>
    <w:rsid w:val="00560C23"/>
    <w:rsid w:val="005619C5"/>
    <w:rsid w:val="005673A0"/>
    <w:rsid w:val="00567EB0"/>
    <w:rsid w:val="0057071A"/>
    <w:rsid w:val="00571542"/>
    <w:rsid w:val="0057333C"/>
    <w:rsid w:val="00574C55"/>
    <w:rsid w:val="00577C81"/>
    <w:rsid w:val="00580396"/>
    <w:rsid w:val="005818F9"/>
    <w:rsid w:val="00584D5C"/>
    <w:rsid w:val="00584E93"/>
    <w:rsid w:val="005856DC"/>
    <w:rsid w:val="005862A8"/>
    <w:rsid w:val="0058724D"/>
    <w:rsid w:val="005907C9"/>
    <w:rsid w:val="005923B9"/>
    <w:rsid w:val="00592E8B"/>
    <w:rsid w:val="0059470F"/>
    <w:rsid w:val="00595610"/>
    <w:rsid w:val="00595A86"/>
    <w:rsid w:val="005A0372"/>
    <w:rsid w:val="005A1376"/>
    <w:rsid w:val="005A1D07"/>
    <w:rsid w:val="005A23A3"/>
    <w:rsid w:val="005A33EC"/>
    <w:rsid w:val="005A5F93"/>
    <w:rsid w:val="005B14A0"/>
    <w:rsid w:val="005B2934"/>
    <w:rsid w:val="005B31BF"/>
    <w:rsid w:val="005C06E1"/>
    <w:rsid w:val="005C2478"/>
    <w:rsid w:val="005C2D9C"/>
    <w:rsid w:val="005C34E9"/>
    <w:rsid w:val="005C45CC"/>
    <w:rsid w:val="005C4C76"/>
    <w:rsid w:val="005C633F"/>
    <w:rsid w:val="005C6B2F"/>
    <w:rsid w:val="005D049C"/>
    <w:rsid w:val="005D0D0D"/>
    <w:rsid w:val="005D174F"/>
    <w:rsid w:val="005D199A"/>
    <w:rsid w:val="005D1F62"/>
    <w:rsid w:val="005D7664"/>
    <w:rsid w:val="005E03E4"/>
    <w:rsid w:val="005E1C7D"/>
    <w:rsid w:val="005E2FEE"/>
    <w:rsid w:val="005E329B"/>
    <w:rsid w:val="005E4F14"/>
    <w:rsid w:val="005E6720"/>
    <w:rsid w:val="005E68ED"/>
    <w:rsid w:val="005E6E49"/>
    <w:rsid w:val="005F0E37"/>
    <w:rsid w:val="005F238E"/>
    <w:rsid w:val="005F276A"/>
    <w:rsid w:val="005F3904"/>
    <w:rsid w:val="005F4785"/>
    <w:rsid w:val="005F6B0A"/>
    <w:rsid w:val="005F6C5A"/>
    <w:rsid w:val="005F753A"/>
    <w:rsid w:val="005F796F"/>
    <w:rsid w:val="0060116D"/>
    <w:rsid w:val="0060274D"/>
    <w:rsid w:val="00602815"/>
    <w:rsid w:val="006061A2"/>
    <w:rsid w:val="00607D1D"/>
    <w:rsid w:val="006105D6"/>
    <w:rsid w:val="006120C4"/>
    <w:rsid w:val="00613EC1"/>
    <w:rsid w:val="00615922"/>
    <w:rsid w:val="00617214"/>
    <w:rsid w:val="00621595"/>
    <w:rsid w:val="006254DC"/>
    <w:rsid w:val="006272C6"/>
    <w:rsid w:val="0062793C"/>
    <w:rsid w:val="00632A83"/>
    <w:rsid w:val="006337A4"/>
    <w:rsid w:val="006342D7"/>
    <w:rsid w:val="006405C6"/>
    <w:rsid w:val="00640A5D"/>
    <w:rsid w:val="00641719"/>
    <w:rsid w:val="006419FE"/>
    <w:rsid w:val="006420E5"/>
    <w:rsid w:val="00644B5B"/>
    <w:rsid w:val="00644D6C"/>
    <w:rsid w:val="00645466"/>
    <w:rsid w:val="00646300"/>
    <w:rsid w:val="006467CA"/>
    <w:rsid w:val="00647DEC"/>
    <w:rsid w:val="00651DB7"/>
    <w:rsid w:val="00653788"/>
    <w:rsid w:val="00653947"/>
    <w:rsid w:val="00653D6C"/>
    <w:rsid w:val="00654558"/>
    <w:rsid w:val="006561C5"/>
    <w:rsid w:val="006566B6"/>
    <w:rsid w:val="00660799"/>
    <w:rsid w:val="00663031"/>
    <w:rsid w:val="00663550"/>
    <w:rsid w:val="006638C8"/>
    <w:rsid w:val="006655B4"/>
    <w:rsid w:val="00667C3D"/>
    <w:rsid w:val="006705C3"/>
    <w:rsid w:val="00671ECB"/>
    <w:rsid w:val="00672184"/>
    <w:rsid w:val="00672E14"/>
    <w:rsid w:val="006747B0"/>
    <w:rsid w:val="0067642D"/>
    <w:rsid w:val="006833FD"/>
    <w:rsid w:val="00684C1D"/>
    <w:rsid w:val="00686478"/>
    <w:rsid w:val="006871B9"/>
    <w:rsid w:val="006873CF"/>
    <w:rsid w:val="00687BD9"/>
    <w:rsid w:val="00687F86"/>
    <w:rsid w:val="00687FFC"/>
    <w:rsid w:val="006911B6"/>
    <w:rsid w:val="00691E1F"/>
    <w:rsid w:val="006921D1"/>
    <w:rsid w:val="006925C7"/>
    <w:rsid w:val="00694870"/>
    <w:rsid w:val="0069623A"/>
    <w:rsid w:val="00696CFD"/>
    <w:rsid w:val="006A1EE4"/>
    <w:rsid w:val="006A31A2"/>
    <w:rsid w:val="006A4DA9"/>
    <w:rsid w:val="006A6728"/>
    <w:rsid w:val="006A786C"/>
    <w:rsid w:val="006B14D7"/>
    <w:rsid w:val="006B7269"/>
    <w:rsid w:val="006C1870"/>
    <w:rsid w:val="006C31A8"/>
    <w:rsid w:val="006C3B36"/>
    <w:rsid w:val="006C7AB3"/>
    <w:rsid w:val="006D3096"/>
    <w:rsid w:val="006D32B7"/>
    <w:rsid w:val="006D404F"/>
    <w:rsid w:val="006E206C"/>
    <w:rsid w:val="006E300C"/>
    <w:rsid w:val="006E761C"/>
    <w:rsid w:val="006F2D69"/>
    <w:rsid w:val="006F4BAC"/>
    <w:rsid w:val="006F4BC7"/>
    <w:rsid w:val="006F5CD5"/>
    <w:rsid w:val="00700FE2"/>
    <w:rsid w:val="00701BE0"/>
    <w:rsid w:val="00702198"/>
    <w:rsid w:val="0070475E"/>
    <w:rsid w:val="00704F6B"/>
    <w:rsid w:val="00705E30"/>
    <w:rsid w:val="007070D9"/>
    <w:rsid w:val="00707BE2"/>
    <w:rsid w:val="007120BD"/>
    <w:rsid w:val="007160C2"/>
    <w:rsid w:val="00716699"/>
    <w:rsid w:val="00717C90"/>
    <w:rsid w:val="00717DEE"/>
    <w:rsid w:val="00717FD8"/>
    <w:rsid w:val="007211D9"/>
    <w:rsid w:val="00721AD7"/>
    <w:rsid w:val="00722445"/>
    <w:rsid w:val="0072258D"/>
    <w:rsid w:val="007239DC"/>
    <w:rsid w:val="00723B57"/>
    <w:rsid w:val="00725DA1"/>
    <w:rsid w:val="00727016"/>
    <w:rsid w:val="007276AE"/>
    <w:rsid w:val="00730656"/>
    <w:rsid w:val="00737D06"/>
    <w:rsid w:val="007438D0"/>
    <w:rsid w:val="00743E8C"/>
    <w:rsid w:val="00746B96"/>
    <w:rsid w:val="00747476"/>
    <w:rsid w:val="007511AB"/>
    <w:rsid w:val="00751831"/>
    <w:rsid w:val="00751C3B"/>
    <w:rsid w:val="00752884"/>
    <w:rsid w:val="00763431"/>
    <w:rsid w:val="00765FE1"/>
    <w:rsid w:val="00766243"/>
    <w:rsid w:val="00766759"/>
    <w:rsid w:val="0077117E"/>
    <w:rsid w:val="007712D3"/>
    <w:rsid w:val="0077162F"/>
    <w:rsid w:val="0077219D"/>
    <w:rsid w:val="007732FD"/>
    <w:rsid w:val="0077443E"/>
    <w:rsid w:val="00774C78"/>
    <w:rsid w:val="00775A21"/>
    <w:rsid w:val="00776C3D"/>
    <w:rsid w:val="007804E9"/>
    <w:rsid w:val="00780A7F"/>
    <w:rsid w:val="007856B8"/>
    <w:rsid w:val="0078597D"/>
    <w:rsid w:val="007916A5"/>
    <w:rsid w:val="00791B73"/>
    <w:rsid w:val="00795854"/>
    <w:rsid w:val="00795D1C"/>
    <w:rsid w:val="00796235"/>
    <w:rsid w:val="00797D18"/>
    <w:rsid w:val="007A1A3E"/>
    <w:rsid w:val="007A23C5"/>
    <w:rsid w:val="007A4F1C"/>
    <w:rsid w:val="007A511B"/>
    <w:rsid w:val="007A720F"/>
    <w:rsid w:val="007B0551"/>
    <w:rsid w:val="007B1B95"/>
    <w:rsid w:val="007B23E1"/>
    <w:rsid w:val="007B30F3"/>
    <w:rsid w:val="007B7342"/>
    <w:rsid w:val="007B7542"/>
    <w:rsid w:val="007B7874"/>
    <w:rsid w:val="007C01AB"/>
    <w:rsid w:val="007C1028"/>
    <w:rsid w:val="007C1A28"/>
    <w:rsid w:val="007C284B"/>
    <w:rsid w:val="007C3EAB"/>
    <w:rsid w:val="007D1553"/>
    <w:rsid w:val="007D38DC"/>
    <w:rsid w:val="007D3BEB"/>
    <w:rsid w:val="007E0C16"/>
    <w:rsid w:val="007E0DB5"/>
    <w:rsid w:val="007E33C9"/>
    <w:rsid w:val="007E3486"/>
    <w:rsid w:val="007E37BF"/>
    <w:rsid w:val="007E457E"/>
    <w:rsid w:val="007E5FF2"/>
    <w:rsid w:val="007F0EC1"/>
    <w:rsid w:val="007F1A82"/>
    <w:rsid w:val="007F40E6"/>
    <w:rsid w:val="007F7D56"/>
    <w:rsid w:val="0080081F"/>
    <w:rsid w:val="00803BF1"/>
    <w:rsid w:val="008067E0"/>
    <w:rsid w:val="00806BF4"/>
    <w:rsid w:val="00807071"/>
    <w:rsid w:val="0080744F"/>
    <w:rsid w:val="008114EF"/>
    <w:rsid w:val="00814DCC"/>
    <w:rsid w:val="00817017"/>
    <w:rsid w:val="0082286B"/>
    <w:rsid w:val="00822F87"/>
    <w:rsid w:val="00823B42"/>
    <w:rsid w:val="0082555F"/>
    <w:rsid w:val="00825C45"/>
    <w:rsid w:val="00830067"/>
    <w:rsid w:val="0083298C"/>
    <w:rsid w:val="0083495E"/>
    <w:rsid w:val="008356F5"/>
    <w:rsid w:val="00836D5A"/>
    <w:rsid w:val="008370B1"/>
    <w:rsid w:val="008414E0"/>
    <w:rsid w:val="00843D81"/>
    <w:rsid w:val="00846C77"/>
    <w:rsid w:val="008519E2"/>
    <w:rsid w:val="00853BF1"/>
    <w:rsid w:val="00854CF7"/>
    <w:rsid w:val="00855A59"/>
    <w:rsid w:val="00855FB7"/>
    <w:rsid w:val="008568A4"/>
    <w:rsid w:val="00861CD0"/>
    <w:rsid w:val="00861FBD"/>
    <w:rsid w:val="00863798"/>
    <w:rsid w:val="00865C82"/>
    <w:rsid w:val="00867088"/>
    <w:rsid w:val="008722DD"/>
    <w:rsid w:val="00872DF0"/>
    <w:rsid w:val="00874F7C"/>
    <w:rsid w:val="00875EE5"/>
    <w:rsid w:val="00876B83"/>
    <w:rsid w:val="0087731F"/>
    <w:rsid w:val="00877C23"/>
    <w:rsid w:val="00882832"/>
    <w:rsid w:val="00883B0F"/>
    <w:rsid w:val="00884291"/>
    <w:rsid w:val="00885F80"/>
    <w:rsid w:val="00886ED8"/>
    <w:rsid w:val="00887D0F"/>
    <w:rsid w:val="00891F9F"/>
    <w:rsid w:val="00892551"/>
    <w:rsid w:val="0089335E"/>
    <w:rsid w:val="0089514C"/>
    <w:rsid w:val="00896988"/>
    <w:rsid w:val="00896E80"/>
    <w:rsid w:val="0089792C"/>
    <w:rsid w:val="008A060A"/>
    <w:rsid w:val="008A0879"/>
    <w:rsid w:val="008A2642"/>
    <w:rsid w:val="008A4A81"/>
    <w:rsid w:val="008A55FB"/>
    <w:rsid w:val="008A68DC"/>
    <w:rsid w:val="008B1B6D"/>
    <w:rsid w:val="008B2035"/>
    <w:rsid w:val="008B3E13"/>
    <w:rsid w:val="008B4831"/>
    <w:rsid w:val="008B57E0"/>
    <w:rsid w:val="008B5901"/>
    <w:rsid w:val="008C18AE"/>
    <w:rsid w:val="008C234D"/>
    <w:rsid w:val="008C4A35"/>
    <w:rsid w:val="008C4F44"/>
    <w:rsid w:val="008C5565"/>
    <w:rsid w:val="008C5F3D"/>
    <w:rsid w:val="008D1C42"/>
    <w:rsid w:val="008D3F64"/>
    <w:rsid w:val="008D3FE5"/>
    <w:rsid w:val="008D469B"/>
    <w:rsid w:val="008D5ED6"/>
    <w:rsid w:val="008E0F8D"/>
    <w:rsid w:val="008E19D2"/>
    <w:rsid w:val="008E3C1D"/>
    <w:rsid w:val="008E4F85"/>
    <w:rsid w:val="008E6B52"/>
    <w:rsid w:val="008E6C3A"/>
    <w:rsid w:val="008E6C73"/>
    <w:rsid w:val="008F1BD2"/>
    <w:rsid w:val="008F1DC8"/>
    <w:rsid w:val="008F1F62"/>
    <w:rsid w:val="008F37EB"/>
    <w:rsid w:val="008F6CC1"/>
    <w:rsid w:val="00902882"/>
    <w:rsid w:val="00904350"/>
    <w:rsid w:val="009054F5"/>
    <w:rsid w:val="00906DB7"/>
    <w:rsid w:val="0091291B"/>
    <w:rsid w:val="00914C80"/>
    <w:rsid w:val="00917AAC"/>
    <w:rsid w:val="0092355E"/>
    <w:rsid w:val="00923FA4"/>
    <w:rsid w:val="0092743E"/>
    <w:rsid w:val="00932E0C"/>
    <w:rsid w:val="00944243"/>
    <w:rsid w:val="00944A4A"/>
    <w:rsid w:val="00946612"/>
    <w:rsid w:val="009500DE"/>
    <w:rsid w:val="0095171A"/>
    <w:rsid w:val="00951F27"/>
    <w:rsid w:val="00956324"/>
    <w:rsid w:val="0095658B"/>
    <w:rsid w:val="00956DEF"/>
    <w:rsid w:val="009645BF"/>
    <w:rsid w:val="00964C30"/>
    <w:rsid w:val="00966DC8"/>
    <w:rsid w:val="00970710"/>
    <w:rsid w:val="009708BE"/>
    <w:rsid w:val="0097274D"/>
    <w:rsid w:val="00973D2F"/>
    <w:rsid w:val="00975B56"/>
    <w:rsid w:val="00976043"/>
    <w:rsid w:val="00976C2A"/>
    <w:rsid w:val="00976D50"/>
    <w:rsid w:val="00976EAF"/>
    <w:rsid w:val="0097754A"/>
    <w:rsid w:val="0097756A"/>
    <w:rsid w:val="00977AEE"/>
    <w:rsid w:val="00980281"/>
    <w:rsid w:val="009919D8"/>
    <w:rsid w:val="0099378A"/>
    <w:rsid w:val="00996FF8"/>
    <w:rsid w:val="009A0F04"/>
    <w:rsid w:val="009A15F3"/>
    <w:rsid w:val="009A2E01"/>
    <w:rsid w:val="009A30C1"/>
    <w:rsid w:val="009A5CA4"/>
    <w:rsid w:val="009A7024"/>
    <w:rsid w:val="009B5EB1"/>
    <w:rsid w:val="009B5EB2"/>
    <w:rsid w:val="009B678C"/>
    <w:rsid w:val="009C0371"/>
    <w:rsid w:val="009C055F"/>
    <w:rsid w:val="009C2D6F"/>
    <w:rsid w:val="009D38BE"/>
    <w:rsid w:val="009E57A0"/>
    <w:rsid w:val="009E5D4C"/>
    <w:rsid w:val="009E698E"/>
    <w:rsid w:val="009E7834"/>
    <w:rsid w:val="00A01B1D"/>
    <w:rsid w:val="00A0423B"/>
    <w:rsid w:val="00A0461A"/>
    <w:rsid w:val="00A05320"/>
    <w:rsid w:val="00A077CB"/>
    <w:rsid w:val="00A10564"/>
    <w:rsid w:val="00A10F93"/>
    <w:rsid w:val="00A138D8"/>
    <w:rsid w:val="00A16A57"/>
    <w:rsid w:val="00A16C29"/>
    <w:rsid w:val="00A21ABF"/>
    <w:rsid w:val="00A25137"/>
    <w:rsid w:val="00A25909"/>
    <w:rsid w:val="00A273EA"/>
    <w:rsid w:val="00A275EB"/>
    <w:rsid w:val="00A27F6E"/>
    <w:rsid w:val="00A301AD"/>
    <w:rsid w:val="00A303A4"/>
    <w:rsid w:val="00A310CA"/>
    <w:rsid w:val="00A33170"/>
    <w:rsid w:val="00A36801"/>
    <w:rsid w:val="00A4109E"/>
    <w:rsid w:val="00A42174"/>
    <w:rsid w:val="00A43365"/>
    <w:rsid w:val="00A43785"/>
    <w:rsid w:val="00A43978"/>
    <w:rsid w:val="00A45373"/>
    <w:rsid w:val="00A454F1"/>
    <w:rsid w:val="00A46044"/>
    <w:rsid w:val="00A47744"/>
    <w:rsid w:val="00A52B9E"/>
    <w:rsid w:val="00A5304D"/>
    <w:rsid w:val="00A53608"/>
    <w:rsid w:val="00A53D12"/>
    <w:rsid w:val="00A55208"/>
    <w:rsid w:val="00A5571B"/>
    <w:rsid w:val="00A5784E"/>
    <w:rsid w:val="00A6042D"/>
    <w:rsid w:val="00A615B3"/>
    <w:rsid w:val="00A61B50"/>
    <w:rsid w:val="00A64929"/>
    <w:rsid w:val="00A65AFF"/>
    <w:rsid w:val="00A67518"/>
    <w:rsid w:val="00A7019D"/>
    <w:rsid w:val="00A70759"/>
    <w:rsid w:val="00A70F3D"/>
    <w:rsid w:val="00A74276"/>
    <w:rsid w:val="00A763A3"/>
    <w:rsid w:val="00A81C91"/>
    <w:rsid w:val="00A81F9C"/>
    <w:rsid w:val="00A84E1A"/>
    <w:rsid w:val="00A85B2F"/>
    <w:rsid w:val="00A8669F"/>
    <w:rsid w:val="00A86B80"/>
    <w:rsid w:val="00A87796"/>
    <w:rsid w:val="00A87C6F"/>
    <w:rsid w:val="00A92707"/>
    <w:rsid w:val="00A94FE1"/>
    <w:rsid w:val="00A974B4"/>
    <w:rsid w:val="00AA09C1"/>
    <w:rsid w:val="00AA0FDD"/>
    <w:rsid w:val="00AB06E3"/>
    <w:rsid w:val="00AB1171"/>
    <w:rsid w:val="00AB285F"/>
    <w:rsid w:val="00AB2D71"/>
    <w:rsid w:val="00AB5B94"/>
    <w:rsid w:val="00AB5F38"/>
    <w:rsid w:val="00AB7040"/>
    <w:rsid w:val="00AC0972"/>
    <w:rsid w:val="00AC12E0"/>
    <w:rsid w:val="00AC14CD"/>
    <w:rsid w:val="00AC188E"/>
    <w:rsid w:val="00AC3798"/>
    <w:rsid w:val="00AC3908"/>
    <w:rsid w:val="00AC3B2B"/>
    <w:rsid w:val="00AD3A23"/>
    <w:rsid w:val="00AD657A"/>
    <w:rsid w:val="00AD7F76"/>
    <w:rsid w:val="00AE0701"/>
    <w:rsid w:val="00AE4C3F"/>
    <w:rsid w:val="00AE69F4"/>
    <w:rsid w:val="00AF169C"/>
    <w:rsid w:val="00AF2036"/>
    <w:rsid w:val="00AF2430"/>
    <w:rsid w:val="00AF2B22"/>
    <w:rsid w:val="00AF2D91"/>
    <w:rsid w:val="00AF5BA1"/>
    <w:rsid w:val="00B0177B"/>
    <w:rsid w:val="00B02F96"/>
    <w:rsid w:val="00B03545"/>
    <w:rsid w:val="00B0362B"/>
    <w:rsid w:val="00B06E4A"/>
    <w:rsid w:val="00B12690"/>
    <w:rsid w:val="00B12F3B"/>
    <w:rsid w:val="00B13017"/>
    <w:rsid w:val="00B13038"/>
    <w:rsid w:val="00B13DD5"/>
    <w:rsid w:val="00B13F8C"/>
    <w:rsid w:val="00B16C88"/>
    <w:rsid w:val="00B170D1"/>
    <w:rsid w:val="00B22654"/>
    <w:rsid w:val="00B23406"/>
    <w:rsid w:val="00B2396F"/>
    <w:rsid w:val="00B24AB6"/>
    <w:rsid w:val="00B25395"/>
    <w:rsid w:val="00B25F03"/>
    <w:rsid w:val="00B30A5B"/>
    <w:rsid w:val="00B3108E"/>
    <w:rsid w:val="00B36A4F"/>
    <w:rsid w:val="00B375CB"/>
    <w:rsid w:val="00B43311"/>
    <w:rsid w:val="00B47111"/>
    <w:rsid w:val="00B477EB"/>
    <w:rsid w:val="00B51CFB"/>
    <w:rsid w:val="00B51DD5"/>
    <w:rsid w:val="00B51F9F"/>
    <w:rsid w:val="00B521EF"/>
    <w:rsid w:val="00B52953"/>
    <w:rsid w:val="00B54BDB"/>
    <w:rsid w:val="00B554B6"/>
    <w:rsid w:val="00B566D5"/>
    <w:rsid w:val="00B61A04"/>
    <w:rsid w:val="00B61B2F"/>
    <w:rsid w:val="00B63DCA"/>
    <w:rsid w:val="00B650B4"/>
    <w:rsid w:val="00B6794A"/>
    <w:rsid w:val="00B706DF"/>
    <w:rsid w:val="00B70B07"/>
    <w:rsid w:val="00B71EE5"/>
    <w:rsid w:val="00B73351"/>
    <w:rsid w:val="00B73CA8"/>
    <w:rsid w:val="00B766D2"/>
    <w:rsid w:val="00B77D62"/>
    <w:rsid w:val="00B8006C"/>
    <w:rsid w:val="00B80BF6"/>
    <w:rsid w:val="00B81693"/>
    <w:rsid w:val="00B82CAA"/>
    <w:rsid w:val="00B84B1B"/>
    <w:rsid w:val="00B84D3E"/>
    <w:rsid w:val="00B852AE"/>
    <w:rsid w:val="00B90856"/>
    <w:rsid w:val="00B90C48"/>
    <w:rsid w:val="00B90CF3"/>
    <w:rsid w:val="00B927BE"/>
    <w:rsid w:val="00B92AE0"/>
    <w:rsid w:val="00B943B6"/>
    <w:rsid w:val="00B94D18"/>
    <w:rsid w:val="00B95E80"/>
    <w:rsid w:val="00BA0712"/>
    <w:rsid w:val="00BA121E"/>
    <w:rsid w:val="00BA1CF1"/>
    <w:rsid w:val="00BA20DB"/>
    <w:rsid w:val="00BA31BC"/>
    <w:rsid w:val="00BA57A4"/>
    <w:rsid w:val="00BB017F"/>
    <w:rsid w:val="00BB0AD5"/>
    <w:rsid w:val="00BB512F"/>
    <w:rsid w:val="00BB6AC4"/>
    <w:rsid w:val="00BB791C"/>
    <w:rsid w:val="00BB7FC3"/>
    <w:rsid w:val="00BC0BAA"/>
    <w:rsid w:val="00BC267A"/>
    <w:rsid w:val="00BC328D"/>
    <w:rsid w:val="00BD1AB0"/>
    <w:rsid w:val="00BD2400"/>
    <w:rsid w:val="00BD3DFB"/>
    <w:rsid w:val="00BE0249"/>
    <w:rsid w:val="00BE34C6"/>
    <w:rsid w:val="00BE3CAA"/>
    <w:rsid w:val="00BE3FA9"/>
    <w:rsid w:val="00BE59A2"/>
    <w:rsid w:val="00BE7C36"/>
    <w:rsid w:val="00BF0B81"/>
    <w:rsid w:val="00BF119E"/>
    <w:rsid w:val="00BF5E01"/>
    <w:rsid w:val="00BF71EC"/>
    <w:rsid w:val="00C0053D"/>
    <w:rsid w:val="00C00A5D"/>
    <w:rsid w:val="00C01D58"/>
    <w:rsid w:val="00C024F1"/>
    <w:rsid w:val="00C048DA"/>
    <w:rsid w:val="00C04B00"/>
    <w:rsid w:val="00C05CBE"/>
    <w:rsid w:val="00C06B34"/>
    <w:rsid w:val="00C12B05"/>
    <w:rsid w:val="00C13626"/>
    <w:rsid w:val="00C13978"/>
    <w:rsid w:val="00C13FFE"/>
    <w:rsid w:val="00C17405"/>
    <w:rsid w:val="00C24C95"/>
    <w:rsid w:val="00C2599D"/>
    <w:rsid w:val="00C26819"/>
    <w:rsid w:val="00C275D3"/>
    <w:rsid w:val="00C30BC3"/>
    <w:rsid w:val="00C32590"/>
    <w:rsid w:val="00C40B52"/>
    <w:rsid w:val="00C40EE4"/>
    <w:rsid w:val="00C41504"/>
    <w:rsid w:val="00C415E3"/>
    <w:rsid w:val="00C41ED5"/>
    <w:rsid w:val="00C45A1D"/>
    <w:rsid w:val="00C462F6"/>
    <w:rsid w:val="00C46339"/>
    <w:rsid w:val="00C4788F"/>
    <w:rsid w:val="00C51926"/>
    <w:rsid w:val="00C52E87"/>
    <w:rsid w:val="00C55CA3"/>
    <w:rsid w:val="00C572E9"/>
    <w:rsid w:val="00C60B17"/>
    <w:rsid w:val="00C629E3"/>
    <w:rsid w:val="00C636BC"/>
    <w:rsid w:val="00C65045"/>
    <w:rsid w:val="00C7305C"/>
    <w:rsid w:val="00C76A1D"/>
    <w:rsid w:val="00C76C81"/>
    <w:rsid w:val="00C82A05"/>
    <w:rsid w:val="00C82A37"/>
    <w:rsid w:val="00C84890"/>
    <w:rsid w:val="00C85B7B"/>
    <w:rsid w:val="00C86F3B"/>
    <w:rsid w:val="00C925C3"/>
    <w:rsid w:val="00C942F8"/>
    <w:rsid w:val="00C944CA"/>
    <w:rsid w:val="00C9493D"/>
    <w:rsid w:val="00C951A9"/>
    <w:rsid w:val="00C9557C"/>
    <w:rsid w:val="00C968D7"/>
    <w:rsid w:val="00CA0FA3"/>
    <w:rsid w:val="00CA4B47"/>
    <w:rsid w:val="00CA62A4"/>
    <w:rsid w:val="00CA72D2"/>
    <w:rsid w:val="00CA75B4"/>
    <w:rsid w:val="00CB000C"/>
    <w:rsid w:val="00CB02B8"/>
    <w:rsid w:val="00CB12D2"/>
    <w:rsid w:val="00CB154D"/>
    <w:rsid w:val="00CB1BF7"/>
    <w:rsid w:val="00CC0B2D"/>
    <w:rsid w:val="00CC5040"/>
    <w:rsid w:val="00CC5C52"/>
    <w:rsid w:val="00CC72AF"/>
    <w:rsid w:val="00CC76C9"/>
    <w:rsid w:val="00CC7B5E"/>
    <w:rsid w:val="00CD0CB3"/>
    <w:rsid w:val="00CD257D"/>
    <w:rsid w:val="00CD5CD9"/>
    <w:rsid w:val="00CD6390"/>
    <w:rsid w:val="00CE0D31"/>
    <w:rsid w:val="00CE17B6"/>
    <w:rsid w:val="00CE2989"/>
    <w:rsid w:val="00CE5E0C"/>
    <w:rsid w:val="00CE7692"/>
    <w:rsid w:val="00CF065F"/>
    <w:rsid w:val="00CF1939"/>
    <w:rsid w:val="00CF3E32"/>
    <w:rsid w:val="00CF45AD"/>
    <w:rsid w:val="00CF7560"/>
    <w:rsid w:val="00D00CF8"/>
    <w:rsid w:val="00D01A0B"/>
    <w:rsid w:val="00D02513"/>
    <w:rsid w:val="00D032BC"/>
    <w:rsid w:val="00D0340B"/>
    <w:rsid w:val="00D0584F"/>
    <w:rsid w:val="00D061BD"/>
    <w:rsid w:val="00D066DA"/>
    <w:rsid w:val="00D10AD7"/>
    <w:rsid w:val="00D128CA"/>
    <w:rsid w:val="00D14314"/>
    <w:rsid w:val="00D160E6"/>
    <w:rsid w:val="00D160E9"/>
    <w:rsid w:val="00D16F7C"/>
    <w:rsid w:val="00D1703C"/>
    <w:rsid w:val="00D1752A"/>
    <w:rsid w:val="00D21658"/>
    <w:rsid w:val="00D2542D"/>
    <w:rsid w:val="00D264B4"/>
    <w:rsid w:val="00D271C3"/>
    <w:rsid w:val="00D27573"/>
    <w:rsid w:val="00D275BA"/>
    <w:rsid w:val="00D317F5"/>
    <w:rsid w:val="00D327DB"/>
    <w:rsid w:val="00D344A0"/>
    <w:rsid w:val="00D35DC0"/>
    <w:rsid w:val="00D35E8E"/>
    <w:rsid w:val="00D37BF3"/>
    <w:rsid w:val="00D37D13"/>
    <w:rsid w:val="00D411F9"/>
    <w:rsid w:val="00D43905"/>
    <w:rsid w:val="00D446B7"/>
    <w:rsid w:val="00D448CE"/>
    <w:rsid w:val="00D472BC"/>
    <w:rsid w:val="00D511D5"/>
    <w:rsid w:val="00D52C56"/>
    <w:rsid w:val="00D54653"/>
    <w:rsid w:val="00D56B10"/>
    <w:rsid w:val="00D56BC8"/>
    <w:rsid w:val="00D5723D"/>
    <w:rsid w:val="00D60FF0"/>
    <w:rsid w:val="00D61197"/>
    <w:rsid w:val="00D61F25"/>
    <w:rsid w:val="00D62612"/>
    <w:rsid w:val="00D6353D"/>
    <w:rsid w:val="00D665B5"/>
    <w:rsid w:val="00D66C02"/>
    <w:rsid w:val="00D700A7"/>
    <w:rsid w:val="00D700F0"/>
    <w:rsid w:val="00D7184B"/>
    <w:rsid w:val="00D71D3F"/>
    <w:rsid w:val="00D73361"/>
    <w:rsid w:val="00D771F8"/>
    <w:rsid w:val="00D80CED"/>
    <w:rsid w:val="00D8273F"/>
    <w:rsid w:val="00D84A44"/>
    <w:rsid w:val="00D9066C"/>
    <w:rsid w:val="00D906B5"/>
    <w:rsid w:val="00D922D8"/>
    <w:rsid w:val="00D9251A"/>
    <w:rsid w:val="00D93BA4"/>
    <w:rsid w:val="00D94096"/>
    <w:rsid w:val="00D9478C"/>
    <w:rsid w:val="00D96430"/>
    <w:rsid w:val="00D973F9"/>
    <w:rsid w:val="00DA41C1"/>
    <w:rsid w:val="00DA4C5D"/>
    <w:rsid w:val="00DA569B"/>
    <w:rsid w:val="00DA5BD2"/>
    <w:rsid w:val="00DA638C"/>
    <w:rsid w:val="00DA6AE5"/>
    <w:rsid w:val="00DB0F3F"/>
    <w:rsid w:val="00DB236B"/>
    <w:rsid w:val="00DB3129"/>
    <w:rsid w:val="00DB4FC1"/>
    <w:rsid w:val="00DB52B7"/>
    <w:rsid w:val="00DB5E70"/>
    <w:rsid w:val="00DB68FF"/>
    <w:rsid w:val="00DB6D33"/>
    <w:rsid w:val="00DC3A29"/>
    <w:rsid w:val="00DC492D"/>
    <w:rsid w:val="00DC4A07"/>
    <w:rsid w:val="00DC4C73"/>
    <w:rsid w:val="00DC53BF"/>
    <w:rsid w:val="00DC60B1"/>
    <w:rsid w:val="00DC695A"/>
    <w:rsid w:val="00DC71E8"/>
    <w:rsid w:val="00DD49EC"/>
    <w:rsid w:val="00DD4E29"/>
    <w:rsid w:val="00DD5B28"/>
    <w:rsid w:val="00DE0873"/>
    <w:rsid w:val="00DE258A"/>
    <w:rsid w:val="00DE3A40"/>
    <w:rsid w:val="00DE4901"/>
    <w:rsid w:val="00DE4AFE"/>
    <w:rsid w:val="00DE5DA9"/>
    <w:rsid w:val="00DE7B40"/>
    <w:rsid w:val="00DF69C0"/>
    <w:rsid w:val="00E024F0"/>
    <w:rsid w:val="00E048D8"/>
    <w:rsid w:val="00E04992"/>
    <w:rsid w:val="00E04A5F"/>
    <w:rsid w:val="00E05E83"/>
    <w:rsid w:val="00E1229F"/>
    <w:rsid w:val="00E141B2"/>
    <w:rsid w:val="00E14AA7"/>
    <w:rsid w:val="00E2025B"/>
    <w:rsid w:val="00E20869"/>
    <w:rsid w:val="00E21B1F"/>
    <w:rsid w:val="00E23A69"/>
    <w:rsid w:val="00E24794"/>
    <w:rsid w:val="00E247F0"/>
    <w:rsid w:val="00E27105"/>
    <w:rsid w:val="00E30B13"/>
    <w:rsid w:val="00E337F6"/>
    <w:rsid w:val="00E351E4"/>
    <w:rsid w:val="00E3684D"/>
    <w:rsid w:val="00E4045F"/>
    <w:rsid w:val="00E428FE"/>
    <w:rsid w:val="00E4296B"/>
    <w:rsid w:val="00E430C7"/>
    <w:rsid w:val="00E43B64"/>
    <w:rsid w:val="00E45D07"/>
    <w:rsid w:val="00E509D3"/>
    <w:rsid w:val="00E509EA"/>
    <w:rsid w:val="00E54531"/>
    <w:rsid w:val="00E54857"/>
    <w:rsid w:val="00E54973"/>
    <w:rsid w:val="00E54BBB"/>
    <w:rsid w:val="00E559D2"/>
    <w:rsid w:val="00E55F78"/>
    <w:rsid w:val="00E568C6"/>
    <w:rsid w:val="00E6438D"/>
    <w:rsid w:val="00E714D1"/>
    <w:rsid w:val="00E71DDE"/>
    <w:rsid w:val="00E72E42"/>
    <w:rsid w:val="00E7563D"/>
    <w:rsid w:val="00E75746"/>
    <w:rsid w:val="00E86BC4"/>
    <w:rsid w:val="00E9022A"/>
    <w:rsid w:val="00E90B7D"/>
    <w:rsid w:val="00E90FAD"/>
    <w:rsid w:val="00E93982"/>
    <w:rsid w:val="00E93AF7"/>
    <w:rsid w:val="00E93E09"/>
    <w:rsid w:val="00E95B16"/>
    <w:rsid w:val="00EA002D"/>
    <w:rsid w:val="00EA0168"/>
    <w:rsid w:val="00EA0DD8"/>
    <w:rsid w:val="00EA153F"/>
    <w:rsid w:val="00EA291D"/>
    <w:rsid w:val="00EA2A31"/>
    <w:rsid w:val="00EA33BF"/>
    <w:rsid w:val="00EA680F"/>
    <w:rsid w:val="00EB0C87"/>
    <w:rsid w:val="00EB3568"/>
    <w:rsid w:val="00EB62CE"/>
    <w:rsid w:val="00EB7008"/>
    <w:rsid w:val="00EC000E"/>
    <w:rsid w:val="00EC29D4"/>
    <w:rsid w:val="00EC2C93"/>
    <w:rsid w:val="00EC38D7"/>
    <w:rsid w:val="00EC4114"/>
    <w:rsid w:val="00EC4685"/>
    <w:rsid w:val="00EC5443"/>
    <w:rsid w:val="00EC63A3"/>
    <w:rsid w:val="00ED01DD"/>
    <w:rsid w:val="00ED24EA"/>
    <w:rsid w:val="00ED3E7E"/>
    <w:rsid w:val="00ED4AF9"/>
    <w:rsid w:val="00ED4C3F"/>
    <w:rsid w:val="00ED5A54"/>
    <w:rsid w:val="00ED606E"/>
    <w:rsid w:val="00EE39C3"/>
    <w:rsid w:val="00EF19FA"/>
    <w:rsid w:val="00EF1FBB"/>
    <w:rsid w:val="00EF38A1"/>
    <w:rsid w:val="00EF6D6F"/>
    <w:rsid w:val="00F0187B"/>
    <w:rsid w:val="00F039C6"/>
    <w:rsid w:val="00F060EE"/>
    <w:rsid w:val="00F06582"/>
    <w:rsid w:val="00F0757C"/>
    <w:rsid w:val="00F07B74"/>
    <w:rsid w:val="00F1005F"/>
    <w:rsid w:val="00F130D1"/>
    <w:rsid w:val="00F151CC"/>
    <w:rsid w:val="00F1555E"/>
    <w:rsid w:val="00F16018"/>
    <w:rsid w:val="00F20ABF"/>
    <w:rsid w:val="00F216B9"/>
    <w:rsid w:val="00F23A62"/>
    <w:rsid w:val="00F30DA8"/>
    <w:rsid w:val="00F31353"/>
    <w:rsid w:val="00F3332E"/>
    <w:rsid w:val="00F3356E"/>
    <w:rsid w:val="00F351FB"/>
    <w:rsid w:val="00F3713C"/>
    <w:rsid w:val="00F37E02"/>
    <w:rsid w:val="00F50029"/>
    <w:rsid w:val="00F51085"/>
    <w:rsid w:val="00F51CD3"/>
    <w:rsid w:val="00F5453E"/>
    <w:rsid w:val="00F5550E"/>
    <w:rsid w:val="00F5725E"/>
    <w:rsid w:val="00F617B5"/>
    <w:rsid w:val="00F64714"/>
    <w:rsid w:val="00F6508A"/>
    <w:rsid w:val="00F659DA"/>
    <w:rsid w:val="00F67B75"/>
    <w:rsid w:val="00F70577"/>
    <w:rsid w:val="00F71DBA"/>
    <w:rsid w:val="00F72639"/>
    <w:rsid w:val="00F72E09"/>
    <w:rsid w:val="00F74253"/>
    <w:rsid w:val="00F756E9"/>
    <w:rsid w:val="00F75DBA"/>
    <w:rsid w:val="00F77CA3"/>
    <w:rsid w:val="00F80365"/>
    <w:rsid w:val="00F855D9"/>
    <w:rsid w:val="00F85CAF"/>
    <w:rsid w:val="00F90699"/>
    <w:rsid w:val="00F96CC1"/>
    <w:rsid w:val="00FA2631"/>
    <w:rsid w:val="00FA63A4"/>
    <w:rsid w:val="00FA7F42"/>
    <w:rsid w:val="00FB2A3A"/>
    <w:rsid w:val="00FB2DE6"/>
    <w:rsid w:val="00FB66E5"/>
    <w:rsid w:val="00FC0C45"/>
    <w:rsid w:val="00FC6D70"/>
    <w:rsid w:val="00FC7F77"/>
    <w:rsid w:val="00FD0E45"/>
    <w:rsid w:val="00FD2CBE"/>
    <w:rsid w:val="00FD3053"/>
    <w:rsid w:val="00FD3095"/>
    <w:rsid w:val="00FD5DDC"/>
    <w:rsid w:val="00FD6222"/>
    <w:rsid w:val="00FE0FC6"/>
    <w:rsid w:val="00FE497C"/>
    <w:rsid w:val="00FF0DC1"/>
    <w:rsid w:val="00FF4927"/>
    <w:rsid w:val="00FF5CCC"/>
    <w:rsid w:val="00FF6D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5104B7F"/>
  <w15:chartTrackingRefBased/>
  <w15:docId w15:val="{5F62214C-ED08-FD45-906C-B6F046DEE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1E1"/>
    <w:rPr>
      <w:rFonts w:ascii="Times New Roman" w:eastAsia="Times New Roman" w:hAnsi="Times New Roman" w:cs="Times New Roman"/>
    </w:rPr>
  </w:style>
  <w:style w:type="paragraph" w:styleId="5">
    <w:name w:val="heading 5"/>
    <w:basedOn w:val="a"/>
    <w:link w:val="50"/>
    <w:uiPriority w:val="9"/>
    <w:qFormat/>
    <w:rsid w:val="00F30DA8"/>
    <w:pPr>
      <w:spacing w:before="100" w:beforeAutospacing="1" w:after="100" w:afterAutospacing="1"/>
      <w:outlineLvl w:val="4"/>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link w:val="Web0"/>
    <w:uiPriority w:val="99"/>
    <w:unhideWhenUsed/>
    <w:rsid w:val="00ED3E7E"/>
    <w:pPr>
      <w:spacing w:before="100" w:beforeAutospacing="1" w:after="100" w:afterAutospacing="1"/>
    </w:pPr>
  </w:style>
  <w:style w:type="character" w:styleId="a3">
    <w:name w:val="Placeholder Text"/>
    <w:basedOn w:val="a0"/>
    <w:uiPriority w:val="99"/>
    <w:semiHidden/>
    <w:rsid w:val="00FC6D70"/>
    <w:rPr>
      <w:color w:val="808080"/>
    </w:rPr>
  </w:style>
  <w:style w:type="character" w:styleId="a4">
    <w:name w:val="annotation reference"/>
    <w:basedOn w:val="a0"/>
    <w:uiPriority w:val="99"/>
    <w:semiHidden/>
    <w:unhideWhenUsed/>
    <w:rsid w:val="005D0D0D"/>
    <w:rPr>
      <w:sz w:val="16"/>
      <w:szCs w:val="16"/>
    </w:rPr>
  </w:style>
  <w:style w:type="paragraph" w:styleId="a5">
    <w:name w:val="annotation text"/>
    <w:basedOn w:val="a"/>
    <w:link w:val="a6"/>
    <w:uiPriority w:val="99"/>
    <w:semiHidden/>
    <w:unhideWhenUsed/>
    <w:rsid w:val="005D0D0D"/>
    <w:rPr>
      <w:rFonts w:asciiTheme="minorHAnsi" w:eastAsiaTheme="minorEastAsia" w:hAnsiTheme="minorHAnsi" w:cstheme="minorBidi"/>
      <w:sz w:val="20"/>
      <w:szCs w:val="20"/>
    </w:rPr>
  </w:style>
  <w:style w:type="character" w:customStyle="1" w:styleId="a6">
    <w:name w:val="コメント文字列 (文字)"/>
    <w:basedOn w:val="a0"/>
    <w:link w:val="a5"/>
    <w:uiPriority w:val="99"/>
    <w:semiHidden/>
    <w:rsid w:val="005D0D0D"/>
    <w:rPr>
      <w:sz w:val="20"/>
      <w:szCs w:val="20"/>
    </w:rPr>
  </w:style>
  <w:style w:type="paragraph" w:styleId="a7">
    <w:name w:val="annotation subject"/>
    <w:basedOn w:val="a5"/>
    <w:next w:val="a5"/>
    <w:link w:val="a8"/>
    <w:uiPriority w:val="99"/>
    <w:semiHidden/>
    <w:unhideWhenUsed/>
    <w:rsid w:val="005D0D0D"/>
    <w:rPr>
      <w:b/>
      <w:bCs/>
    </w:rPr>
  </w:style>
  <w:style w:type="character" w:customStyle="1" w:styleId="a8">
    <w:name w:val="コメント内容 (文字)"/>
    <w:basedOn w:val="a6"/>
    <w:link w:val="a7"/>
    <w:uiPriority w:val="99"/>
    <w:semiHidden/>
    <w:rsid w:val="005D0D0D"/>
    <w:rPr>
      <w:b/>
      <w:bCs/>
      <w:sz w:val="20"/>
      <w:szCs w:val="20"/>
    </w:rPr>
  </w:style>
  <w:style w:type="paragraph" w:styleId="a9">
    <w:name w:val="Balloon Text"/>
    <w:basedOn w:val="a"/>
    <w:link w:val="aa"/>
    <w:uiPriority w:val="99"/>
    <w:semiHidden/>
    <w:unhideWhenUsed/>
    <w:rsid w:val="005D0D0D"/>
    <w:rPr>
      <w:rFonts w:eastAsiaTheme="minorEastAsia"/>
      <w:sz w:val="18"/>
      <w:szCs w:val="18"/>
    </w:rPr>
  </w:style>
  <w:style w:type="character" w:customStyle="1" w:styleId="aa">
    <w:name w:val="吹き出し (文字)"/>
    <w:basedOn w:val="a0"/>
    <w:link w:val="a9"/>
    <w:uiPriority w:val="99"/>
    <w:semiHidden/>
    <w:rsid w:val="005D0D0D"/>
    <w:rPr>
      <w:rFonts w:ascii="Times New Roman" w:hAnsi="Times New Roman" w:cs="Times New Roman"/>
      <w:sz w:val="18"/>
      <w:szCs w:val="18"/>
    </w:rPr>
  </w:style>
  <w:style w:type="paragraph" w:customStyle="1" w:styleId="EndNoteBibliographyTitle">
    <w:name w:val="EndNote Bibliography Title"/>
    <w:basedOn w:val="a"/>
    <w:link w:val="EndNoteBibliographyTitleChar"/>
    <w:rsid w:val="007070D9"/>
    <w:pPr>
      <w:jc w:val="center"/>
    </w:pPr>
    <w:rPr>
      <w:rFonts w:ascii="Calibri" w:eastAsiaTheme="minorEastAsia" w:hAnsi="Calibri" w:cs="Calibri"/>
    </w:rPr>
  </w:style>
  <w:style w:type="character" w:customStyle="1" w:styleId="Web0">
    <w:name w:val="標準 (Web) (文字)"/>
    <w:basedOn w:val="a0"/>
    <w:link w:val="Web"/>
    <w:uiPriority w:val="99"/>
    <w:rsid w:val="007070D9"/>
    <w:rPr>
      <w:rFonts w:ascii="Times New Roman" w:eastAsia="Times New Roman" w:hAnsi="Times New Roman" w:cs="Times New Roman"/>
    </w:rPr>
  </w:style>
  <w:style w:type="character" w:customStyle="1" w:styleId="EndNoteBibliographyTitleChar">
    <w:name w:val="EndNote Bibliography Title Char"/>
    <w:basedOn w:val="Web0"/>
    <w:link w:val="EndNoteBibliographyTitle"/>
    <w:rsid w:val="007070D9"/>
    <w:rPr>
      <w:rFonts w:ascii="Calibri" w:eastAsia="Times New Roman" w:hAnsi="Calibri" w:cs="Calibri"/>
    </w:rPr>
  </w:style>
  <w:style w:type="paragraph" w:customStyle="1" w:styleId="EndNoteBibliography">
    <w:name w:val="EndNote Bibliography"/>
    <w:basedOn w:val="a"/>
    <w:link w:val="EndNoteBibliographyChar"/>
    <w:rsid w:val="007070D9"/>
    <w:rPr>
      <w:rFonts w:ascii="Calibri" w:eastAsiaTheme="minorEastAsia" w:hAnsi="Calibri" w:cs="Calibri"/>
    </w:rPr>
  </w:style>
  <w:style w:type="character" w:customStyle="1" w:styleId="EndNoteBibliographyChar">
    <w:name w:val="EndNote Bibliography Char"/>
    <w:basedOn w:val="Web0"/>
    <w:link w:val="EndNoteBibliography"/>
    <w:rsid w:val="007070D9"/>
    <w:rPr>
      <w:rFonts w:ascii="Calibri" w:eastAsia="Times New Roman" w:hAnsi="Calibri" w:cs="Calibri"/>
    </w:rPr>
  </w:style>
  <w:style w:type="paragraph" w:styleId="ab">
    <w:name w:val="header"/>
    <w:basedOn w:val="a"/>
    <w:link w:val="ac"/>
    <w:uiPriority w:val="99"/>
    <w:unhideWhenUsed/>
    <w:rsid w:val="001860E7"/>
    <w:pPr>
      <w:tabs>
        <w:tab w:val="center" w:pos="4680"/>
        <w:tab w:val="right" w:pos="9360"/>
      </w:tabs>
    </w:pPr>
    <w:rPr>
      <w:rFonts w:asciiTheme="minorHAnsi" w:eastAsiaTheme="minorEastAsia" w:hAnsiTheme="minorHAnsi" w:cstheme="minorBidi"/>
    </w:rPr>
  </w:style>
  <w:style w:type="character" w:customStyle="1" w:styleId="ac">
    <w:name w:val="ヘッダー (文字)"/>
    <w:basedOn w:val="a0"/>
    <w:link w:val="ab"/>
    <w:uiPriority w:val="99"/>
    <w:rsid w:val="001860E7"/>
  </w:style>
  <w:style w:type="paragraph" w:styleId="ad">
    <w:name w:val="footer"/>
    <w:basedOn w:val="a"/>
    <w:link w:val="ae"/>
    <w:uiPriority w:val="99"/>
    <w:unhideWhenUsed/>
    <w:rsid w:val="001860E7"/>
    <w:pPr>
      <w:tabs>
        <w:tab w:val="center" w:pos="4680"/>
        <w:tab w:val="right" w:pos="9360"/>
      </w:tabs>
    </w:pPr>
    <w:rPr>
      <w:rFonts w:asciiTheme="minorHAnsi" w:eastAsiaTheme="minorEastAsia" w:hAnsiTheme="minorHAnsi" w:cstheme="minorBidi"/>
    </w:rPr>
  </w:style>
  <w:style w:type="character" w:customStyle="1" w:styleId="ae">
    <w:name w:val="フッター (文字)"/>
    <w:basedOn w:val="a0"/>
    <w:link w:val="ad"/>
    <w:uiPriority w:val="99"/>
    <w:rsid w:val="001860E7"/>
  </w:style>
  <w:style w:type="character" w:styleId="af">
    <w:name w:val="page number"/>
    <w:basedOn w:val="a0"/>
    <w:uiPriority w:val="99"/>
    <w:semiHidden/>
    <w:unhideWhenUsed/>
    <w:rsid w:val="001860E7"/>
  </w:style>
  <w:style w:type="character" w:styleId="af0">
    <w:name w:val="line number"/>
    <w:basedOn w:val="a0"/>
    <w:uiPriority w:val="99"/>
    <w:semiHidden/>
    <w:unhideWhenUsed/>
    <w:rsid w:val="003A516E"/>
  </w:style>
  <w:style w:type="character" w:styleId="af1">
    <w:name w:val="Emphasis"/>
    <w:basedOn w:val="a0"/>
    <w:uiPriority w:val="20"/>
    <w:qFormat/>
    <w:rsid w:val="003A516E"/>
    <w:rPr>
      <w:i/>
      <w:iCs/>
    </w:rPr>
  </w:style>
  <w:style w:type="paragraph" w:styleId="af2">
    <w:name w:val="List Paragraph"/>
    <w:basedOn w:val="a"/>
    <w:uiPriority w:val="34"/>
    <w:qFormat/>
    <w:rsid w:val="003A516E"/>
    <w:pPr>
      <w:ind w:left="720"/>
      <w:contextualSpacing/>
    </w:pPr>
    <w:rPr>
      <w:rFonts w:asciiTheme="minorHAnsi" w:eastAsiaTheme="minorEastAsia" w:hAnsiTheme="minorHAnsi" w:cstheme="minorBidi"/>
    </w:rPr>
  </w:style>
  <w:style w:type="character" w:styleId="af3">
    <w:name w:val="Hyperlink"/>
    <w:basedOn w:val="a0"/>
    <w:uiPriority w:val="99"/>
    <w:unhideWhenUsed/>
    <w:rsid w:val="00EB3568"/>
    <w:rPr>
      <w:color w:val="0563C1" w:themeColor="hyperlink"/>
      <w:u w:val="single"/>
    </w:rPr>
  </w:style>
  <w:style w:type="character" w:styleId="af4">
    <w:name w:val="Unresolved Mention"/>
    <w:basedOn w:val="a0"/>
    <w:uiPriority w:val="99"/>
    <w:semiHidden/>
    <w:unhideWhenUsed/>
    <w:rsid w:val="00EB3568"/>
    <w:rPr>
      <w:color w:val="605E5C"/>
      <w:shd w:val="clear" w:color="auto" w:fill="E1DFDD"/>
    </w:rPr>
  </w:style>
  <w:style w:type="paragraph" w:styleId="HTML">
    <w:name w:val="HTML Preformatted"/>
    <w:basedOn w:val="a"/>
    <w:link w:val="HTML0"/>
    <w:uiPriority w:val="99"/>
    <w:semiHidden/>
    <w:unhideWhenUsed/>
    <w:rsid w:val="00FC0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HTML 書式付き (文字)"/>
    <w:basedOn w:val="a0"/>
    <w:link w:val="HTML"/>
    <w:uiPriority w:val="99"/>
    <w:semiHidden/>
    <w:rsid w:val="00FC0C45"/>
    <w:rPr>
      <w:rFonts w:ascii="Courier New" w:eastAsia="Times New Roman" w:hAnsi="Courier New" w:cs="Courier New"/>
      <w:sz w:val="20"/>
      <w:szCs w:val="20"/>
    </w:rPr>
  </w:style>
  <w:style w:type="paragraph" w:styleId="af5">
    <w:name w:val="Revision"/>
    <w:hidden/>
    <w:uiPriority w:val="99"/>
    <w:semiHidden/>
    <w:rsid w:val="00105D45"/>
    <w:rPr>
      <w:rFonts w:ascii="Times New Roman" w:eastAsia="Times New Roman" w:hAnsi="Times New Roman" w:cs="Times New Roman"/>
    </w:rPr>
  </w:style>
  <w:style w:type="character" w:customStyle="1" w:styleId="50">
    <w:name w:val="見出し 5 (文字)"/>
    <w:basedOn w:val="a0"/>
    <w:link w:val="5"/>
    <w:uiPriority w:val="9"/>
    <w:rsid w:val="00F30DA8"/>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15134">
      <w:bodyDiv w:val="1"/>
      <w:marLeft w:val="0"/>
      <w:marRight w:val="0"/>
      <w:marTop w:val="0"/>
      <w:marBottom w:val="0"/>
      <w:divBdr>
        <w:top w:val="none" w:sz="0" w:space="0" w:color="auto"/>
        <w:left w:val="none" w:sz="0" w:space="0" w:color="auto"/>
        <w:bottom w:val="none" w:sz="0" w:space="0" w:color="auto"/>
        <w:right w:val="none" w:sz="0" w:space="0" w:color="auto"/>
      </w:divBdr>
    </w:div>
    <w:div w:id="81147037">
      <w:bodyDiv w:val="1"/>
      <w:marLeft w:val="0"/>
      <w:marRight w:val="0"/>
      <w:marTop w:val="0"/>
      <w:marBottom w:val="0"/>
      <w:divBdr>
        <w:top w:val="none" w:sz="0" w:space="0" w:color="auto"/>
        <w:left w:val="none" w:sz="0" w:space="0" w:color="auto"/>
        <w:bottom w:val="none" w:sz="0" w:space="0" w:color="auto"/>
        <w:right w:val="none" w:sz="0" w:space="0" w:color="auto"/>
      </w:divBdr>
    </w:div>
    <w:div w:id="204486535">
      <w:bodyDiv w:val="1"/>
      <w:marLeft w:val="0"/>
      <w:marRight w:val="0"/>
      <w:marTop w:val="0"/>
      <w:marBottom w:val="0"/>
      <w:divBdr>
        <w:top w:val="none" w:sz="0" w:space="0" w:color="auto"/>
        <w:left w:val="none" w:sz="0" w:space="0" w:color="auto"/>
        <w:bottom w:val="none" w:sz="0" w:space="0" w:color="auto"/>
        <w:right w:val="none" w:sz="0" w:space="0" w:color="auto"/>
      </w:divBdr>
    </w:div>
    <w:div w:id="215161959">
      <w:bodyDiv w:val="1"/>
      <w:marLeft w:val="0"/>
      <w:marRight w:val="0"/>
      <w:marTop w:val="0"/>
      <w:marBottom w:val="0"/>
      <w:divBdr>
        <w:top w:val="none" w:sz="0" w:space="0" w:color="auto"/>
        <w:left w:val="none" w:sz="0" w:space="0" w:color="auto"/>
        <w:bottom w:val="none" w:sz="0" w:space="0" w:color="auto"/>
        <w:right w:val="none" w:sz="0" w:space="0" w:color="auto"/>
      </w:divBdr>
      <w:divsChild>
        <w:div w:id="1968388397">
          <w:marLeft w:val="0"/>
          <w:marRight w:val="0"/>
          <w:marTop w:val="0"/>
          <w:marBottom w:val="0"/>
          <w:divBdr>
            <w:top w:val="none" w:sz="0" w:space="0" w:color="auto"/>
            <w:left w:val="none" w:sz="0" w:space="0" w:color="auto"/>
            <w:bottom w:val="none" w:sz="0" w:space="0" w:color="auto"/>
            <w:right w:val="none" w:sz="0" w:space="0" w:color="auto"/>
          </w:divBdr>
          <w:divsChild>
            <w:div w:id="376320337">
              <w:marLeft w:val="0"/>
              <w:marRight w:val="0"/>
              <w:marTop w:val="0"/>
              <w:marBottom w:val="0"/>
              <w:divBdr>
                <w:top w:val="none" w:sz="0" w:space="0" w:color="auto"/>
                <w:left w:val="none" w:sz="0" w:space="0" w:color="auto"/>
                <w:bottom w:val="none" w:sz="0" w:space="0" w:color="auto"/>
                <w:right w:val="none" w:sz="0" w:space="0" w:color="auto"/>
              </w:divBdr>
              <w:divsChild>
                <w:div w:id="194838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046381">
      <w:bodyDiv w:val="1"/>
      <w:marLeft w:val="0"/>
      <w:marRight w:val="0"/>
      <w:marTop w:val="0"/>
      <w:marBottom w:val="0"/>
      <w:divBdr>
        <w:top w:val="none" w:sz="0" w:space="0" w:color="auto"/>
        <w:left w:val="none" w:sz="0" w:space="0" w:color="auto"/>
        <w:bottom w:val="none" w:sz="0" w:space="0" w:color="auto"/>
        <w:right w:val="none" w:sz="0" w:space="0" w:color="auto"/>
      </w:divBdr>
    </w:div>
    <w:div w:id="237639839">
      <w:bodyDiv w:val="1"/>
      <w:marLeft w:val="0"/>
      <w:marRight w:val="0"/>
      <w:marTop w:val="0"/>
      <w:marBottom w:val="0"/>
      <w:divBdr>
        <w:top w:val="none" w:sz="0" w:space="0" w:color="auto"/>
        <w:left w:val="none" w:sz="0" w:space="0" w:color="auto"/>
        <w:bottom w:val="none" w:sz="0" w:space="0" w:color="auto"/>
        <w:right w:val="none" w:sz="0" w:space="0" w:color="auto"/>
      </w:divBdr>
    </w:div>
    <w:div w:id="246035268">
      <w:bodyDiv w:val="1"/>
      <w:marLeft w:val="0"/>
      <w:marRight w:val="0"/>
      <w:marTop w:val="0"/>
      <w:marBottom w:val="0"/>
      <w:divBdr>
        <w:top w:val="none" w:sz="0" w:space="0" w:color="auto"/>
        <w:left w:val="none" w:sz="0" w:space="0" w:color="auto"/>
        <w:bottom w:val="none" w:sz="0" w:space="0" w:color="auto"/>
        <w:right w:val="none" w:sz="0" w:space="0" w:color="auto"/>
      </w:divBdr>
    </w:div>
    <w:div w:id="271278568">
      <w:bodyDiv w:val="1"/>
      <w:marLeft w:val="0"/>
      <w:marRight w:val="0"/>
      <w:marTop w:val="0"/>
      <w:marBottom w:val="0"/>
      <w:divBdr>
        <w:top w:val="none" w:sz="0" w:space="0" w:color="auto"/>
        <w:left w:val="none" w:sz="0" w:space="0" w:color="auto"/>
        <w:bottom w:val="none" w:sz="0" w:space="0" w:color="auto"/>
        <w:right w:val="none" w:sz="0" w:space="0" w:color="auto"/>
      </w:divBdr>
    </w:div>
    <w:div w:id="306595567">
      <w:bodyDiv w:val="1"/>
      <w:marLeft w:val="0"/>
      <w:marRight w:val="0"/>
      <w:marTop w:val="0"/>
      <w:marBottom w:val="0"/>
      <w:divBdr>
        <w:top w:val="none" w:sz="0" w:space="0" w:color="auto"/>
        <w:left w:val="none" w:sz="0" w:space="0" w:color="auto"/>
        <w:bottom w:val="none" w:sz="0" w:space="0" w:color="auto"/>
        <w:right w:val="none" w:sz="0" w:space="0" w:color="auto"/>
      </w:divBdr>
    </w:div>
    <w:div w:id="342783398">
      <w:bodyDiv w:val="1"/>
      <w:marLeft w:val="0"/>
      <w:marRight w:val="0"/>
      <w:marTop w:val="0"/>
      <w:marBottom w:val="0"/>
      <w:divBdr>
        <w:top w:val="none" w:sz="0" w:space="0" w:color="auto"/>
        <w:left w:val="none" w:sz="0" w:space="0" w:color="auto"/>
        <w:bottom w:val="none" w:sz="0" w:space="0" w:color="auto"/>
        <w:right w:val="none" w:sz="0" w:space="0" w:color="auto"/>
      </w:divBdr>
    </w:div>
    <w:div w:id="440926388">
      <w:bodyDiv w:val="1"/>
      <w:marLeft w:val="0"/>
      <w:marRight w:val="0"/>
      <w:marTop w:val="0"/>
      <w:marBottom w:val="0"/>
      <w:divBdr>
        <w:top w:val="none" w:sz="0" w:space="0" w:color="auto"/>
        <w:left w:val="none" w:sz="0" w:space="0" w:color="auto"/>
        <w:bottom w:val="none" w:sz="0" w:space="0" w:color="auto"/>
        <w:right w:val="none" w:sz="0" w:space="0" w:color="auto"/>
      </w:divBdr>
    </w:div>
    <w:div w:id="510409120">
      <w:bodyDiv w:val="1"/>
      <w:marLeft w:val="0"/>
      <w:marRight w:val="0"/>
      <w:marTop w:val="0"/>
      <w:marBottom w:val="0"/>
      <w:divBdr>
        <w:top w:val="none" w:sz="0" w:space="0" w:color="auto"/>
        <w:left w:val="none" w:sz="0" w:space="0" w:color="auto"/>
        <w:bottom w:val="none" w:sz="0" w:space="0" w:color="auto"/>
        <w:right w:val="none" w:sz="0" w:space="0" w:color="auto"/>
      </w:divBdr>
      <w:divsChild>
        <w:div w:id="1840385723">
          <w:marLeft w:val="0"/>
          <w:marRight w:val="0"/>
          <w:marTop w:val="0"/>
          <w:marBottom w:val="0"/>
          <w:divBdr>
            <w:top w:val="none" w:sz="0" w:space="0" w:color="auto"/>
            <w:left w:val="none" w:sz="0" w:space="0" w:color="auto"/>
            <w:bottom w:val="none" w:sz="0" w:space="0" w:color="auto"/>
            <w:right w:val="none" w:sz="0" w:space="0" w:color="auto"/>
          </w:divBdr>
          <w:divsChild>
            <w:div w:id="94060598">
              <w:marLeft w:val="0"/>
              <w:marRight w:val="0"/>
              <w:marTop w:val="0"/>
              <w:marBottom w:val="0"/>
              <w:divBdr>
                <w:top w:val="none" w:sz="0" w:space="0" w:color="auto"/>
                <w:left w:val="none" w:sz="0" w:space="0" w:color="auto"/>
                <w:bottom w:val="none" w:sz="0" w:space="0" w:color="auto"/>
                <w:right w:val="none" w:sz="0" w:space="0" w:color="auto"/>
              </w:divBdr>
              <w:divsChild>
                <w:div w:id="378478297">
                  <w:marLeft w:val="0"/>
                  <w:marRight w:val="0"/>
                  <w:marTop w:val="0"/>
                  <w:marBottom w:val="0"/>
                  <w:divBdr>
                    <w:top w:val="none" w:sz="0" w:space="0" w:color="auto"/>
                    <w:left w:val="none" w:sz="0" w:space="0" w:color="auto"/>
                    <w:bottom w:val="none" w:sz="0" w:space="0" w:color="auto"/>
                    <w:right w:val="none" w:sz="0" w:space="0" w:color="auto"/>
                  </w:divBdr>
                  <w:divsChild>
                    <w:div w:id="74838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7981933">
      <w:bodyDiv w:val="1"/>
      <w:marLeft w:val="0"/>
      <w:marRight w:val="0"/>
      <w:marTop w:val="0"/>
      <w:marBottom w:val="0"/>
      <w:divBdr>
        <w:top w:val="none" w:sz="0" w:space="0" w:color="auto"/>
        <w:left w:val="none" w:sz="0" w:space="0" w:color="auto"/>
        <w:bottom w:val="none" w:sz="0" w:space="0" w:color="auto"/>
        <w:right w:val="none" w:sz="0" w:space="0" w:color="auto"/>
      </w:divBdr>
    </w:div>
    <w:div w:id="639071669">
      <w:bodyDiv w:val="1"/>
      <w:marLeft w:val="0"/>
      <w:marRight w:val="0"/>
      <w:marTop w:val="0"/>
      <w:marBottom w:val="0"/>
      <w:divBdr>
        <w:top w:val="none" w:sz="0" w:space="0" w:color="auto"/>
        <w:left w:val="none" w:sz="0" w:space="0" w:color="auto"/>
        <w:bottom w:val="none" w:sz="0" w:space="0" w:color="auto"/>
        <w:right w:val="none" w:sz="0" w:space="0" w:color="auto"/>
      </w:divBdr>
    </w:div>
    <w:div w:id="817764640">
      <w:bodyDiv w:val="1"/>
      <w:marLeft w:val="0"/>
      <w:marRight w:val="0"/>
      <w:marTop w:val="0"/>
      <w:marBottom w:val="0"/>
      <w:divBdr>
        <w:top w:val="none" w:sz="0" w:space="0" w:color="auto"/>
        <w:left w:val="none" w:sz="0" w:space="0" w:color="auto"/>
        <w:bottom w:val="none" w:sz="0" w:space="0" w:color="auto"/>
        <w:right w:val="none" w:sz="0" w:space="0" w:color="auto"/>
      </w:divBdr>
    </w:div>
    <w:div w:id="891112885">
      <w:bodyDiv w:val="1"/>
      <w:marLeft w:val="0"/>
      <w:marRight w:val="0"/>
      <w:marTop w:val="0"/>
      <w:marBottom w:val="0"/>
      <w:divBdr>
        <w:top w:val="none" w:sz="0" w:space="0" w:color="auto"/>
        <w:left w:val="none" w:sz="0" w:space="0" w:color="auto"/>
        <w:bottom w:val="none" w:sz="0" w:space="0" w:color="auto"/>
        <w:right w:val="none" w:sz="0" w:space="0" w:color="auto"/>
      </w:divBdr>
    </w:div>
    <w:div w:id="956176686">
      <w:bodyDiv w:val="1"/>
      <w:marLeft w:val="0"/>
      <w:marRight w:val="0"/>
      <w:marTop w:val="0"/>
      <w:marBottom w:val="0"/>
      <w:divBdr>
        <w:top w:val="none" w:sz="0" w:space="0" w:color="auto"/>
        <w:left w:val="none" w:sz="0" w:space="0" w:color="auto"/>
        <w:bottom w:val="none" w:sz="0" w:space="0" w:color="auto"/>
        <w:right w:val="none" w:sz="0" w:space="0" w:color="auto"/>
      </w:divBdr>
    </w:div>
    <w:div w:id="956445624">
      <w:bodyDiv w:val="1"/>
      <w:marLeft w:val="0"/>
      <w:marRight w:val="0"/>
      <w:marTop w:val="0"/>
      <w:marBottom w:val="0"/>
      <w:divBdr>
        <w:top w:val="none" w:sz="0" w:space="0" w:color="auto"/>
        <w:left w:val="none" w:sz="0" w:space="0" w:color="auto"/>
        <w:bottom w:val="none" w:sz="0" w:space="0" w:color="auto"/>
        <w:right w:val="none" w:sz="0" w:space="0" w:color="auto"/>
      </w:divBdr>
    </w:div>
    <w:div w:id="969020429">
      <w:bodyDiv w:val="1"/>
      <w:marLeft w:val="0"/>
      <w:marRight w:val="0"/>
      <w:marTop w:val="0"/>
      <w:marBottom w:val="0"/>
      <w:divBdr>
        <w:top w:val="none" w:sz="0" w:space="0" w:color="auto"/>
        <w:left w:val="none" w:sz="0" w:space="0" w:color="auto"/>
        <w:bottom w:val="none" w:sz="0" w:space="0" w:color="auto"/>
        <w:right w:val="none" w:sz="0" w:space="0" w:color="auto"/>
      </w:divBdr>
    </w:div>
    <w:div w:id="1010067429">
      <w:bodyDiv w:val="1"/>
      <w:marLeft w:val="0"/>
      <w:marRight w:val="0"/>
      <w:marTop w:val="0"/>
      <w:marBottom w:val="0"/>
      <w:divBdr>
        <w:top w:val="none" w:sz="0" w:space="0" w:color="auto"/>
        <w:left w:val="none" w:sz="0" w:space="0" w:color="auto"/>
        <w:bottom w:val="none" w:sz="0" w:space="0" w:color="auto"/>
        <w:right w:val="none" w:sz="0" w:space="0" w:color="auto"/>
      </w:divBdr>
    </w:div>
    <w:div w:id="1071197416">
      <w:bodyDiv w:val="1"/>
      <w:marLeft w:val="0"/>
      <w:marRight w:val="0"/>
      <w:marTop w:val="0"/>
      <w:marBottom w:val="0"/>
      <w:divBdr>
        <w:top w:val="none" w:sz="0" w:space="0" w:color="auto"/>
        <w:left w:val="none" w:sz="0" w:space="0" w:color="auto"/>
        <w:bottom w:val="none" w:sz="0" w:space="0" w:color="auto"/>
        <w:right w:val="none" w:sz="0" w:space="0" w:color="auto"/>
      </w:divBdr>
      <w:divsChild>
        <w:div w:id="362099657">
          <w:marLeft w:val="0"/>
          <w:marRight w:val="0"/>
          <w:marTop w:val="0"/>
          <w:marBottom w:val="0"/>
          <w:divBdr>
            <w:top w:val="none" w:sz="0" w:space="0" w:color="auto"/>
            <w:left w:val="none" w:sz="0" w:space="0" w:color="auto"/>
            <w:bottom w:val="none" w:sz="0" w:space="0" w:color="auto"/>
            <w:right w:val="none" w:sz="0" w:space="0" w:color="auto"/>
          </w:divBdr>
          <w:divsChild>
            <w:div w:id="525948387">
              <w:marLeft w:val="0"/>
              <w:marRight w:val="0"/>
              <w:marTop w:val="0"/>
              <w:marBottom w:val="0"/>
              <w:divBdr>
                <w:top w:val="none" w:sz="0" w:space="0" w:color="auto"/>
                <w:left w:val="none" w:sz="0" w:space="0" w:color="auto"/>
                <w:bottom w:val="none" w:sz="0" w:space="0" w:color="auto"/>
                <w:right w:val="none" w:sz="0" w:space="0" w:color="auto"/>
              </w:divBdr>
              <w:divsChild>
                <w:div w:id="15966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138085">
      <w:bodyDiv w:val="1"/>
      <w:marLeft w:val="0"/>
      <w:marRight w:val="0"/>
      <w:marTop w:val="0"/>
      <w:marBottom w:val="0"/>
      <w:divBdr>
        <w:top w:val="none" w:sz="0" w:space="0" w:color="auto"/>
        <w:left w:val="none" w:sz="0" w:space="0" w:color="auto"/>
        <w:bottom w:val="none" w:sz="0" w:space="0" w:color="auto"/>
        <w:right w:val="none" w:sz="0" w:space="0" w:color="auto"/>
      </w:divBdr>
    </w:div>
    <w:div w:id="1131172365">
      <w:bodyDiv w:val="1"/>
      <w:marLeft w:val="0"/>
      <w:marRight w:val="0"/>
      <w:marTop w:val="0"/>
      <w:marBottom w:val="0"/>
      <w:divBdr>
        <w:top w:val="none" w:sz="0" w:space="0" w:color="auto"/>
        <w:left w:val="none" w:sz="0" w:space="0" w:color="auto"/>
        <w:bottom w:val="none" w:sz="0" w:space="0" w:color="auto"/>
        <w:right w:val="none" w:sz="0" w:space="0" w:color="auto"/>
      </w:divBdr>
    </w:div>
    <w:div w:id="1148202266">
      <w:bodyDiv w:val="1"/>
      <w:marLeft w:val="0"/>
      <w:marRight w:val="0"/>
      <w:marTop w:val="0"/>
      <w:marBottom w:val="0"/>
      <w:divBdr>
        <w:top w:val="none" w:sz="0" w:space="0" w:color="auto"/>
        <w:left w:val="none" w:sz="0" w:space="0" w:color="auto"/>
        <w:bottom w:val="none" w:sz="0" w:space="0" w:color="auto"/>
        <w:right w:val="none" w:sz="0" w:space="0" w:color="auto"/>
      </w:divBdr>
      <w:divsChild>
        <w:div w:id="314922242">
          <w:marLeft w:val="0"/>
          <w:marRight w:val="0"/>
          <w:marTop w:val="0"/>
          <w:marBottom w:val="0"/>
          <w:divBdr>
            <w:top w:val="none" w:sz="0" w:space="0" w:color="auto"/>
            <w:left w:val="none" w:sz="0" w:space="0" w:color="auto"/>
            <w:bottom w:val="none" w:sz="0" w:space="0" w:color="auto"/>
            <w:right w:val="none" w:sz="0" w:space="0" w:color="auto"/>
          </w:divBdr>
          <w:divsChild>
            <w:div w:id="464471292">
              <w:marLeft w:val="0"/>
              <w:marRight w:val="0"/>
              <w:marTop w:val="0"/>
              <w:marBottom w:val="0"/>
              <w:divBdr>
                <w:top w:val="none" w:sz="0" w:space="0" w:color="auto"/>
                <w:left w:val="none" w:sz="0" w:space="0" w:color="auto"/>
                <w:bottom w:val="none" w:sz="0" w:space="0" w:color="auto"/>
                <w:right w:val="none" w:sz="0" w:space="0" w:color="auto"/>
              </w:divBdr>
              <w:divsChild>
                <w:div w:id="110981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969031">
      <w:bodyDiv w:val="1"/>
      <w:marLeft w:val="0"/>
      <w:marRight w:val="0"/>
      <w:marTop w:val="0"/>
      <w:marBottom w:val="0"/>
      <w:divBdr>
        <w:top w:val="none" w:sz="0" w:space="0" w:color="auto"/>
        <w:left w:val="none" w:sz="0" w:space="0" w:color="auto"/>
        <w:bottom w:val="none" w:sz="0" w:space="0" w:color="auto"/>
        <w:right w:val="none" w:sz="0" w:space="0" w:color="auto"/>
      </w:divBdr>
    </w:div>
    <w:div w:id="1231308978">
      <w:bodyDiv w:val="1"/>
      <w:marLeft w:val="0"/>
      <w:marRight w:val="0"/>
      <w:marTop w:val="0"/>
      <w:marBottom w:val="0"/>
      <w:divBdr>
        <w:top w:val="none" w:sz="0" w:space="0" w:color="auto"/>
        <w:left w:val="none" w:sz="0" w:space="0" w:color="auto"/>
        <w:bottom w:val="none" w:sz="0" w:space="0" w:color="auto"/>
        <w:right w:val="none" w:sz="0" w:space="0" w:color="auto"/>
      </w:divBdr>
    </w:div>
    <w:div w:id="1299383323">
      <w:bodyDiv w:val="1"/>
      <w:marLeft w:val="0"/>
      <w:marRight w:val="0"/>
      <w:marTop w:val="0"/>
      <w:marBottom w:val="0"/>
      <w:divBdr>
        <w:top w:val="none" w:sz="0" w:space="0" w:color="auto"/>
        <w:left w:val="none" w:sz="0" w:space="0" w:color="auto"/>
        <w:bottom w:val="none" w:sz="0" w:space="0" w:color="auto"/>
        <w:right w:val="none" w:sz="0" w:space="0" w:color="auto"/>
      </w:divBdr>
    </w:div>
    <w:div w:id="1361127386">
      <w:bodyDiv w:val="1"/>
      <w:marLeft w:val="0"/>
      <w:marRight w:val="0"/>
      <w:marTop w:val="0"/>
      <w:marBottom w:val="0"/>
      <w:divBdr>
        <w:top w:val="none" w:sz="0" w:space="0" w:color="auto"/>
        <w:left w:val="none" w:sz="0" w:space="0" w:color="auto"/>
        <w:bottom w:val="none" w:sz="0" w:space="0" w:color="auto"/>
        <w:right w:val="none" w:sz="0" w:space="0" w:color="auto"/>
      </w:divBdr>
    </w:div>
    <w:div w:id="1549799517">
      <w:bodyDiv w:val="1"/>
      <w:marLeft w:val="0"/>
      <w:marRight w:val="0"/>
      <w:marTop w:val="0"/>
      <w:marBottom w:val="0"/>
      <w:divBdr>
        <w:top w:val="none" w:sz="0" w:space="0" w:color="auto"/>
        <w:left w:val="none" w:sz="0" w:space="0" w:color="auto"/>
        <w:bottom w:val="none" w:sz="0" w:space="0" w:color="auto"/>
        <w:right w:val="none" w:sz="0" w:space="0" w:color="auto"/>
      </w:divBdr>
    </w:div>
    <w:div w:id="1580677914">
      <w:bodyDiv w:val="1"/>
      <w:marLeft w:val="0"/>
      <w:marRight w:val="0"/>
      <w:marTop w:val="0"/>
      <w:marBottom w:val="0"/>
      <w:divBdr>
        <w:top w:val="none" w:sz="0" w:space="0" w:color="auto"/>
        <w:left w:val="none" w:sz="0" w:space="0" w:color="auto"/>
        <w:bottom w:val="none" w:sz="0" w:space="0" w:color="auto"/>
        <w:right w:val="none" w:sz="0" w:space="0" w:color="auto"/>
      </w:divBdr>
    </w:div>
    <w:div w:id="1616134687">
      <w:bodyDiv w:val="1"/>
      <w:marLeft w:val="0"/>
      <w:marRight w:val="0"/>
      <w:marTop w:val="0"/>
      <w:marBottom w:val="0"/>
      <w:divBdr>
        <w:top w:val="none" w:sz="0" w:space="0" w:color="auto"/>
        <w:left w:val="none" w:sz="0" w:space="0" w:color="auto"/>
        <w:bottom w:val="none" w:sz="0" w:space="0" w:color="auto"/>
        <w:right w:val="none" w:sz="0" w:space="0" w:color="auto"/>
      </w:divBdr>
    </w:div>
    <w:div w:id="1623726923">
      <w:bodyDiv w:val="1"/>
      <w:marLeft w:val="0"/>
      <w:marRight w:val="0"/>
      <w:marTop w:val="0"/>
      <w:marBottom w:val="0"/>
      <w:divBdr>
        <w:top w:val="none" w:sz="0" w:space="0" w:color="auto"/>
        <w:left w:val="none" w:sz="0" w:space="0" w:color="auto"/>
        <w:bottom w:val="none" w:sz="0" w:space="0" w:color="auto"/>
        <w:right w:val="none" w:sz="0" w:space="0" w:color="auto"/>
      </w:divBdr>
      <w:divsChild>
        <w:div w:id="1622809247">
          <w:marLeft w:val="0"/>
          <w:marRight w:val="0"/>
          <w:marTop w:val="0"/>
          <w:marBottom w:val="0"/>
          <w:divBdr>
            <w:top w:val="none" w:sz="0" w:space="0" w:color="auto"/>
            <w:left w:val="none" w:sz="0" w:space="0" w:color="auto"/>
            <w:bottom w:val="none" w:sz="0" w:space="0" w:color="auto"/>
            <w:right w:val="none" w:sz="0" w:space="0" w:color="auto"/>
          </w:divBdr>
          <w:divsChild>
            <w:div w:id="1219585864">
              <w:marLeft w:val="0"/>
              <w:marRight w:val="0"/>
              <w:marTop w:val="0"/>
              <w:marBottom w:val="0"/>
              <w:divBdr>
                <w:top w:val="none" w:sz="0" w:space="0" w:color="auto"/>
                <w:left w:val="none" w:sz="0" w:space="0" w:color="auto"/>
                <w:bottom w:val="none" w:sz="0" w:space="0" w:color="auto"/>
                <w:right w:val="none" w:sz="0" w:space="0" w:color="auto"/>
              </w:divBdr>
              <w:divsChild>
                <w:div w:id="180442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770628">
      <w:bodyDiv w:val="1"/>
      <w:marLeft w:val="0"/>
      <w:marRight w:val="0"/>
      <w:marTop w:val="0"/>
      <w:marBottom w:val="0"/>
      <w:divBdr>
        <w:top w:val="none" w:sz="0" w:space="0" w:color="auto"/>
        <w:left w:val="none" w:sz="0" w:space="0" w:color="auto"/>
        <w:bottom w:val="none" w:sz="0" w:space="0" w:color="auto"/>
        <w:right w:val="none" w:sz="0" w:space="0" w:color="auto"/>
      </w:divBdr>
      <w:divsChild>
        <w:div w:id="1994530527">
          <w:marLeft w:val="0"/>
          <w:marRight w:val="0"/>
          <w:marTop w:val="0"/>
          <w:marBottom w:val="0"/>
          <w:divBdr>
            <w:top w:val="none" w:sz="0" w:space="0" w:color="auto"/>
            <w:left w:val="none" w:sz="0" w:space="0" w:color="auto"/>
            <w:bottom w:val="none" w:sz="0" w:space="0" w:color="auto"/>
            <w:right w:val="none" w:sz="0" w:space="0" w:color="auto"/>
          </w:divBdr>
          <w:divsChild>
            <w:div w:id="1533300067">
              <w:marLeft w:val="0"/>
              <w:marRight w:val="0"/>
              <w:marTop w:val="0"/>
              <w:marBottom w:val="0"/>
              <w:divBdr>
                <w:top w:val="none" w:sz="0" w:space="0" w:color="auto"/>
                <w:left w:val="none" w:sz="0" w:space="0" w:color="auto"/>
                <w:bottom w:val="none" w:sz="0" w:space="0" w:color="auto"/>
                <w:right w:val="none" w:sz="0" w:space="0" w:color="auto"/>
              </w:divBdr>
              <w:divsChild>
                <w:div w:id="214534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360837">
      <w:bodyDiv w:val="1"/>
      <w:marLeft w:val="0"/>
      <w:marRight w:val="0"/>
      <w:marTop w:val="0"/>
      <w:marBottom w:val="0"/>
      <w:divBdr>
        <w:top w:val="none" w:sz="0" w:space="0" w:color="auto"/>
        <w:left w:val="none" w:sz="0" w:space="0" w:color="auto"/>
        <w:bottom w:val="none" w:sz="0" w:space="0" w:color="auto"/>
        <w:right w:val="none" w:sz="0" w:space="0" w:color="auto"/>
      </w:divBdr>
    </w:div>
    <w:div w:id="1660227722">
      <w:bodyDiv w:val="1"/>
      <w:marLeft w:val="0"/>
      <w:marRight w:val="0"/>
      <w:marTop w:val="0"/>
      <w:marBottom w:val="0"/>
      <w:divBdr>
        <w:top w:val="none" w:sz="0" w:space="0" w:color="auto"/>
        <w:left w:val="none" w:sz="0" w:space="0" w:color="auto"/>
        <w:bottom w:val="none" w:sz="0" w:space="0" w:color="auto"/>
        <w:right w:val="none" w:sz="0" w:space="0" w:color="auto"/>
      </w:divBdr>
    </w:div>
    <w:div w:id="1760523654">
      <w:bodyDiv w:val="1"/>
      <w:marLeft w:val="0"/>
      <w:marRight w:val="0"/>
      <w:marTop w:val="0"/>
      <w:marBottom w:val="0"/>
      <w:divBdr>
        <w:top w:val="none" w:sz="0" w:space="0" w:color="auto"/>
        <w:left w:val="none" w:sz="0" w:space="0" w:color="auto"/>
        <w:bottom w:val="none" w:sz="0" w:space="0" w:color="auto"/>
        <w:right w:val="none" w:sz="0" w:space="0" w:color="auto"/>
      </w:divBdr>
    </w:div>
    <w:div w:id="1775049491">
      <w:bodyDiv w:val="1"/>
      <w:marLeft w:val="0"/>
      <w:marRight w:val="0"/>
      <w:marTop w:val="0"/>
      <w:marBottom w:val="0"/>
      <w:divBdr>
        <w:top w:val="none" w:sz="0" w:space="0" w:color="auto"/>
        <w:left w:val="none" w:sz="0" w:space="0" w:color="auto"/>
        <w:bottom w:val="none" w:sz="0" w:space="0" w:color="auto"/>
        <w:right w:val="none" w:sz="0" w:space="0" w:color="auto"/>
      </w:divBdr>
    </w:div>
    <w:div w:id="1778520492">
      <w:bodyDiv w:val="1"/>
      <w:marLeft w:val="0"/>
      <w:marRight w:val="0"/>
      <w:marTop w:val="0"/>
      <w:marBottom w:val="0"/>
      <w:divBdr>
        <w:top w:val="none" w:sz="0" w:space="0" w:color="auto"/>
        <w:left w:val="none" w:sz="0" w:space="0" w:color="auto"/>
        <w:bottom w:val="none" w:sz="0" w:space="0" w:color="auto"/>
        <w:right w:val="none" w:sz="0" w:space="0" w:color="auto"/>
      </w:divBdr>
    </w:div>
    <w:div w:id="1786775513">
      <w:bodyDiv w:val="1"/>
      <w:marLeft w:val="0"/>
      <w:marRight w:val="0"/>
      <w:marTop w:val="0"/>
      <w:marBottom w:val="0"/>
      <w:divBdr>
        <w:top w:val="none" w:sz="0" w:space="0" w:color="auto"/>
        <w:left w:val="none" w:sz="0" w:space="0" w:color="auto"/>
        <w:bottom w:val="none" w:sz="0" w:space="0" w:color="auto"/>
        <w:right w:val="none" w:sz="0" w:space="0" w:color="auto"/>
      </w:divBdr>
      <w:divsChild>
        <w:div w:id="1004278948">
          <w:marLeft w:val="0"/>
          <w:marRight w:val="0"/>
          <w:marTop w:val="0"/>
          <w:marBottom w:val="0"/>
          <w:divBdr>
            <w:top w:val="none" w:sz="0" w:space="0" w:color="auto"/>
            <w:left w:val="none" w:sz="0" w:space="0" w:color="auto"/>
            <w:bottom w:val="none" w:sz="0" w:space="0" w:color="auto"/>
            <w:right w:val="none" w:sz="0" w:space="0" w:color="auto"/>
          </w:divBdr>
          <w:divsChild>
            <w:div w:id="1010639309">
              <w:marLeft w:val="0"/>
              <w:marRight w:val="0"/>
              <w:marTop w:val="0"/>
              <w:marBottom w:val="0"/>
              <w:divBdr>
                <w:top w:val="none" w:sz="0" w:space="0" w:color="auto"/>
                <w:left w:val="none" w:sz="0" w:space="0" w:color="auto"/>
                <w:bottom w:val="none" w:sz="0" w:space="0" w:color="auto"/>
                <w:right w:val="none" w:sz="0" w:space="0" w:color="auto"/>
              </w:divBdr>
              <w:divsChild>
                <w:div w:id="883057716">
                  <w:marLeft w:val="0"/>
                  <w:marRight w:val="0"/>
                  <w:marTop w:val="0"/>
                  <w:marBottom w:val="0"/>
                  <w:divBdr>
                    <w:top w:val="none" w:sz="0" w:space="0" w:color="auto"/>
                    <w:left w:val="none" w:sz="0" w:space="0" w:color="auto"/>
                    <w:bottom w:val="none" w:sz="0" w:space="0" w:color="auto"/>
                    <w:right w:val="none" w:sz="0" w:space="0" w:color="auto"/>
                  </w:divBdr>
                  <w:divsChild>
                    <w:div w:id="79764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0478694">
      <w:bodyDiv w:val="1"/>
      <w:marLeft w:val="0"/>
      <w:marRight w:val="0"/>
      <w:marTop w:val="0"/>
      <w:marBottom w:val="0"/>
      <w:divBdr>
        <w:top w:val="none" w:sz="0" w:space="0" w:color="auto"/>
        <w:left w:val="none" w:sz="0" w:space="0" w:color="auto"/>
        <w:bottom w:val="none" w:sz="0" w:space="0" w:color="auto"/>
        <w:right w:val="none" w:sz="0" w:space="0" w:color="auto"/>
      </w:divBdr>
    </w:div>
    <w:div w:id="1940748747">
      <w:bodyDiv w:val="1"/>
      <w:marLeft w:val="0"/>
      <w:marRight w:val="0"/>
      <w:marTop w:val="0"/>
      <w:marBottom w:val="0"/>
      <w:divBdr>
        <w:top w:val="none" w:sz="0" w:space="0" w:color="auto"/>
        <w:left w:val="none" w:sz="0" w:space="0" w:color="auto"/>
        <w:bottom w:val="none" w:sz="0" w:space="0" w:color="auto"/>
        <w:right w:val="none" w:sz="0" w:space="0" w:color="auto"/>
      </w:divBdr>
    </w:div>
    <w:div w:id="1987859729">
      <w:bodyDiv w:val="1"/>
      <w:marLeft w:val="0"/>
      <w:marRight w:val="0"/>
      <w:marTop w:val="0"/>
      <w:marBottom w:val="0"/>
      <w:divBdr>
        <w:top w:val="none" w:sz="0" w:space="0" w:color="auto"/>
        <w:left w:val="none" w:sz="0" w:space="0" w:color="auto"/>
        <w:bottom w:val="none" w:sz="0" w:space="0" w:color="auto"/>
        <w:right w:val="none" w:sz="0" w:space="0" w:color="auto"/>
      </w:divBdr>
    </w:div>
    <w:div w:id="2012752401">
      <w:bodyDiv w:val="1"/>
      <w:marLeft w:val="0"/>
      <w:marRight w:val="0"/>
      <w:marTop w:val="0"/>
      <w:marBottom w:val="0"/>
      <w:divBdr>
        <w:top w:val="none" w:sz="0" w:space="0" w:color="auto"/>
        <w:left w:val="none" w:sz="0" w:space="0" w:color="auto"/>
        <w:bottom w:val="none" w:sz="0" w:space="0" w:color="auto"/>
        <w:right w:val="none" w:sz="0" w:space="0" w:color="auto"/>
      </w:divBdr>
    </w:div>
    <w:div w:id="2036031951">
      <w:bodyDiv w:val="1"/>
      <w:marLeft w:val="0"/>
      <w:marRight w:val="0"/>
      <w:marTop w:val="0"/>
      <w:marBottom w:val="0"/>
      <w:divBdr>
        <w:top w:val="none" w:sz="0" w:space="0" w:color="auto"/>
        <w:left w:val="none" w:sz="0" w:space="0" w:color="auto"/>
        <w:bottom w:val="none" w:sz="0" w:space="0" w:color="auto"/>
        <w:right w:val="none" w:sz="0" w:space="0" w:color="auto"/>
      </w:divBdr>
    </w:div>
    <w:div w:id="2123186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5A0C36-B058-3544-B4D5-C5B92EF7A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457</TotalTime>
  <Pages>13</Pages>
  <Words>2395</Words>
  <Characters>13654</Characters>
  <Application>Microsoft Office Word</Application>
  <DocSecurity>0</DocSecurity>
  <Lines>113</Lines>
  <Paragraphs>32</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16017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Shoko Hara</dc:creator>
  <cp:keywords/>
  <dc:description/>
  <cp:lastModifiedBy>Shoko Hara Murayama</cp:lastModifiedBy>
  <cp:revision>374</cp:revision>
  <cp:lastPrinted>2023-01-20T04:33:00Z</cp:lastPrinted>
  <dcterms:created xsi:type="dcterms:W3CDTF">2023-04-27T10:41:00Z</dcterms:created>
  <dcterms:modified xsi:type="dcterms:W3CDTF">2023-10-05T01:00:00Z</dcterms:modified>
</cp:coreProperties>
</file>