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C2954C" w14:textId="77777777" w:rsidR="004A6D9F" w:rsidRPr="00B625D2" w:rsidRDefault="004A6D9F" w:rsidP="004A6D9F">
      <w:pPr>
        <w:pStyle w:val="Heading2"/>
        <w:rPr>
          <w:rFonts w:ascii="Times New Roman" w:hAnsi="Times New Roman" w:cs="Times New Roman"/>
          <w:b/>
          <w:color w:val="auto"/>
          <w:sz w:val="24"/>
        </w:rPr>
      </w:pPr>
      <w:r w:rsidRPr="00B625D2">
        <w:rPr>
          <w:rFonts w:ascii="Times New Roman" w:hAnsi="Times New Roman" w:cs="Times New Roman"/>
          <w:b/>
          <w:color w:val="auto"/>
          <w:sz w:val="24"/>
        </w:rPr>
        <w:t>Appendix 2</w:t>
      </w:r>
    </w:p>
    <w:p w14:paraId="6AE65F58" w14:textId="77777777" w:rsidR="004A6D9F" w:rsidRPr="00B0487B" w:rsidRDefault="004A6D9F" w:rsidP="004A6D9F">
      <w:pPr>
        <w:pStyle w:val="Body"/>
        <w:contextualSpacing/>
        <w:rPr>
          <w:rFonts w:ascii="Times New Roman" w:hAnsi="Times New Roman" w:cs="Times New Roman"/>
          <w:i/>
          <w:iCs/>
          <w:color w:val="000000" w:themeColor="text1"/>
          <w:sz w:val="24"/>
          <w:szCs w:val="24"/>
        </w:rPr>
      </w:pPr>
      <w:r>
        <w:rPr>
          <w:rFonts w:ascii="Times New Roman" w:hAnsi="Times New Roman" w:cs="Times New Roman"/>
          <w:i/>
          <w:iCs/>
          <w:color w:val="000000" w:themeColor="text1"/>
          <w:sz w:val="24"/>
          <w:szCs w:val="24"/>
        </w:rPr>
        <w:t>Risk of Bias Assessment for all Studies Included in Final Review</w:t>
      </w:r>
    </w:p>
    <w:tbl>
      <w:tblPr>
        <w:tblStyle w:val="GridTable2"/>
        <w:tblW w:w="12594" w:type="dxa"/>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3119"/>
        <w:gridCol w:w="1134"/>
        <w:gridCol w:w="1370"/>
        <w:gridCol w:w="1383"/>
        <w:gridCol w:w="1383"/>
        <w:gridCol w:w="1370"/>
        <w:gridCol w:w="1277"/>
        <w:gridCol w:w="1558"/>
      </w:tblGrid>
      <w:tr w:rsidR="004A6D9F" w14:paraId="572D5088" w14:textId="77777777" w:rsidTr="006A6D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auto"/>
            </w:tcBorders>
          </w:tcPr>
          <w:p w14:paraId="22E4B1E6" w14:textId="77777777" w:rsidR="004A6D9F"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Study</w:t>
            </w:r>
          </w:p>
        </w:tc>
        <w:tc>
          <w:tcPr>
            <w:tcW w:w="1134" w:type="dxa"/>
            <w:tcBorders>
              <w:top w:val="single" w:sz="4" w:space="0" w:color="auto"/>
            </w:tcBorders>
          </w:tcPr>
          <w:p w14:paraId="3A8992DB" w14:textId="77777777" w:rsidR="004A6D9F"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Domain A</w:t>
            </w:r>
          </w:p>
        </w:tc>
        <w:tc>
          <w:tcPr>
            <w:tcW w:w="1370" w:type="dxa"/>
            <w:tcBorders>
              <w:top w:val="single" w:sz="4" w:space="0" w:color="auto"/>
            </w:tcBorders>
          </w:tcPr>
          <w:p w14:paraId="4AD3AE47" w14:textId="77777777" w:rsidR="004A6D9F"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Domain B</w:t>
            </w:r>
          </w:p>
        </w:tc>
        <w:tc>
          <w:tcPr>
            <w:tcW w:w="1383" w:type="dxa"/>
            <w:tcBorders>
              <w:top w:val="single" w:sz="4" w:space="0" w:color="auto"/>
            </w:tcBorders>
          </w:tcPr>
          <w:p w14:paraId="35D1C803" w14:textId="77777777" w:rsidR="004A6D9F"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Domain C</w:t>
            </w:r>
          </w:p>
        </w:tc>
        <w:tc>
          <w:tcPr>
            <w:tcW w:w="1383" w:type="dxa"/>
            <w:tcBorders>
              <w:top w:val="single" w:sz="4" w:space="0" w:color="auto"/>
            </w:tcBorders>
          </w:tcPr>
          <w:p w14:paraId="4BF2FC59" w14:textId="77777777" w:rsidR="004A6D9F"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Domain D</w:t>
            </w:r>
          </w:p>
        </w:tc>
        <w:tc>
          <w:tcPr>
            <w:tcW w:w="1370" w:type="dxa"/>
            <w:tcBorders>
              <w:top w:val="single" w:sz="4" w:space="0" w:color="auto"/>
            </w:tcBorders>
          </w:tcPr>
          <w:p w14:paraId="43C7B354" w14:textId="77777777" w:rsidR="004A6D9F"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Domain E</w:t>
            </w:r>
          </w:p>
        </w:tc>
        <w:tc>
          <w:tcPr>
            <w:tcW w:w="1277" w:type="dxa"/>
            <w:tcBorders>
              <w:top w:val="single" w:sz="4" w:space="0" w:color="auto"/>
            </w:tcBorders>
          </w:tcPr>
          <w:p w14:paraId="5F3784EA" w14:textId="77777777" w:rsidR="004A6D9F"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Domain F</w:t>
            </w:r>
          </w:p>
        </w:tc>
        <w:tc>
          <w:tcPr>
            <w:tcW w:w="1558" w:type="dxa"/>
            <w:tcBorders>
              <w:top w:val="single" w:sz="4" w:space="0" w:color="auto"/>
            </w:tcBorders>
          </w:tcPr>
          <w:p w14:paraId="6FF2F852" w14:textId="77777777" w:rsidR="004A6D9F"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Global</w:t>
            </w:r>
          </w:p>
        </w:tc>
      </w:tr>
      <w:tr w:rsidR="004A6D9F" w14:paraId="15F0DF9E"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single" w:sz="12" w:space="0" w:color="666666" w:themeColor="text1" w:themeTint="99"/>
            </w:tcBorders>
          </w:tcPr>
          <w:p w14:paraId="00775D15" w14:textId="261FFEE9" w:rsidR="004A6D9F" w:rsidRPr="00B41C09" w:rsidRDefault="00B41C09"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val="0"/>
                <w:bCs w:val="0"/>
                <w:color w:val="000000" w:themeColor="text1"/>
                <w:sz w:val="24"/>
                <w:szCs w:val="24"/>
              </w:rPr>
            </w:pPr>
            <w:r w:rsidRPr="00B41C09">
              <w:rPr>
                <w:rFonts w:ascii="Times New Roman" w:hAnsi="Times New Roman" w:cs="Times New Roman"/>
                <w:b w:val="0"/>
                <w:bCs w:val="0"/>
                <w:sz w:val="24"/>
                <w:szCs w:val="24"/>
              </w:rPr>
              <w:t>Greer et al.</w:t>
            </w:r>
            <w:r w:rsidRPr="00B41C09">
              <w:rPr>
                <w:rFonts w:ascii="Times New Roman" w:hAnsi="Times New Roman" w:cs="Times New Roman"/>
                <w:b w:val="0"/>
                <w:bCs w:val="0"/>
                <w:sz w:val="24"/>
                <w:szCs w:val="24"/>
                <w:vertAlign w:val="superscript"/>
              </w:rPr>
              <w:fldChar w:fldCharType="begin"/>
            </w:r>
            <w:r w:rsidRPr="00B41C09">
              <w:rPr>
                <w:rFonts w:ascii="Times New Roman" w:hAnsi="Times New Roman" w:cs="Times New Roman"/>
                <w:b w:val="0"/>
                <w:bCs w:val="0"/>
                <w:sz w:val="24"/>
                <w:szCs w:val="24"/>
                <w:vertAlign w:val="superscript"/>
              </w:rPr>
              <w:instrText xml:space="preserve"> ADDIN ZOTERO_ITEM CSL_CITATION {"citationID":"hRNMUqzi","properties":{"formattedCitation":"(28)","plainCitation":"(28)","noteIndex":0},"citationItems":[{"id":385,"uris":["http://zotero.org/users/5142732/items/IUHCRC6G"],"itemData":{"id":385,"type":"article-journal","abstract":"Background: Functional impairments often remain despite symptomatic improvement with antidepressant treatment, supporting the need for novel treatment approaches. The present study examined the extent to which exercise augmentation improved several domains of psychosocial functioning and quality of life (QoL) among depressed participants.; Methods: Data were collected from 122 partial responders to antidepressant medication. Participants were randomized to either high- (16 kcal/kg of weight/week [KKW]) or low-dose (4-KKW) exercise. Participants completed a combination of supervised and home-based exercise for 12 weeks. The Short-Form Health Survey, Work and Social Adjustment Scale, Social Adjustment Scale, Quality of Life Enjoyment and Satisfaction Questionnaire, and Satisfaction with Life Scale were collected at 6 and 12 weeks. Participants with data for at least one of the two follow-up time points (n = 106) were analyzed using a linear mixed model to assess change from baseline within groups and the difference between groups for each psychosocial outcome measure. All analyses controlled for covariates, including baseline depressive symptomatology.; Results: Participants experienced significant improvements in functioning across tested domains, and generally fell within a healthy range of functioning on all measures at Weeks 6 and 12. Although no differences were found between exercise groups, improvements were observed across a variety of psychosocial and QoL domains, even in the low-dose exercise group.; Conclusions: These findings support exercise augmentation of antidepressant treatment as a viable intervention for treatment-resistant depression to improve function in addition to symptoms.; © 2016 Wiley Periodicals, Inc.","archive":"mnh","archive_location":"27164293","container-title":"Depression And Anxiety","DOI":"10.1002/da.22521","ISSN":"1520-6394","issue":"9","journalAbbreviation":"Depression And Anxiety","page":"870-881","source":"EBSCOhost","title":"Improvements in psychosocial functioning and health-related quality of life following exercise augmentation in patients with treatment response but nonremitted major depressive disorder: results from the TREAD study.","volume":"33","author":[{"family":"Greer","given":"Tracy L"},{"family":"Trombello","given":"Joseph M"},{"family":"Rethorst","given":"Chad D"},{"family":"Carmody","given":"Thomas J"},{"family":"Jha","given":"Manish K"},{"family":"Liao","given":"Allen"},{"family":"Grannemann","given":"Bruce D"},{"family":"Chambliss","given":"Heather O"},{"family":"Church","given":"Timothy S"},{"family":"Trivedi","given":"Madhukar H"}],"issued":{"date-parts":[["2016",9]]}}}],"schema":"https://github.com/citation-style-language/schema/raw/master/csl-citation.json"} </w:instrText>
            </w:r>
            <w:r w:rsidRPr="00B41C09">
              <w:rPr>
                <w:rFonts w:ascii="Times New Roman" w:hAnsi="Times New Roman" w:cs="Times New Roman"/>
                <w:b w:val="0"/>
                <w:bCs w:val="0"/>
                <w:sz w:val="24"/>
                <w:szCs w:val="24"/>
                <w:vertAlign w:val="superscript"/>
              </w:rPr>
              <w:fldChar w:fldCharType="separate"/>
            </w:r>
            <w:r w:rsidRPr="00B41C09">
              <w:rPr>
                <w:rFonts w:ascii="Times New Roman" w:hAnsi="Times New Roman" w:cs="Times New Roman"/>
                <w:b w:val="0"/>
                <w:bCs w:val="0"/>
                <w:noProof/>
                <w:sz w:val="24"/>
                <w:szCs w:val="24"/>
                <w:vertAlign w:val="superscript"/>
              </w:rPr>
              <w:t>28</w:t>
            </w:r>
            <w:r w:rsidRPr="00B41C09">
              <w:rPr>
                <w:rFonts w:ascii="Times New Roman" w:hAnsi="Times New Roman" w:cs="Times New Roman"/>
                <w:b w:val="0"/>
                <w:bCs w:val="0"/>
                <w:sz w:val="24"/>
                <w:szCs w:val="24"/>
                <w:vertAlign w:val="superscript"/>
              </w:rPr>
              <w:fldChar w:fldCharType="end"/>
            </w:r>
          </w:p>
        </w:tc>
        <w:tc>
          <w:tcPr>
            <w:tcW w:w="1134" w:type="dxa"/>
            <w:tcBorders>
              <w:top w:val="single" w:sz="12" w:space="0" w:color="666666" w:themeColor="text1" w:themeTint="99"/>
            </w:tcBorders>
          </w:tcPr>
          <w:p w14:paraId="7E3AA2C7"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c>
          <w:tcPr>
            <w:tcW w:w="1370" w:type="dxa"/>
            <w:tcBorders>
              <w:top w:val="single" w:sz="12" w:space="0" w:color="666666" w:themeColor="text1" w:themeTint="99"/>
            </w:tcBorders>
          </w:tcPr>
          <w:p w14:paraId="2A839652"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383" w:type="dxa"/>
            <w:tcBorders>
              <w:top w:val="single" w:sz="12" w:space="0" w:color="666666" w:themeColor="text1" w:themeTint="99"/>
            </w:tcBorders>
          </w:tcPr>
          <w:p w14:paraId="152A878E"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383" w:type="dxa"/>
            <w:tcBorders>
              <w:top w:val="single" w:sz="12" w:space="0" w:color="666666" w:themeColor="text1" w:themeTint="99"/>
            </w:tcBorders>
          </w:tcPr>
          <w:p w14:paraId="1B9F1C2B"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p>
        </w:tc>
        <w:tc>
          <w:tcPr>
            <w:tcW w:w="1370" w:type="dxa"/>
            <w:tcBorders>
              <w:top w:val="single" w:sz="12" w:space="0" w:color="666666" w:themeColor="text1" w:themeTint="99"/>
            </w:tcBorders>
          </w:tcPr>
          <w:p w14:paraId="42085F55"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277" w:type="dxa"/>
            <w:tcBorders>
              <w:top w:val="single" w:sz="12" w:space="0" w:color="666666" w:themeColor="text1" w:themeTint="99"/>
            </w:tcBorders>
          </w:tcPr>
          <w:p w14:paraId="563E252E"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558" w:type="dxa"/>
            <w:tcBorders>
              <w:top w:val="single" w:sz="12" w:space="0" w:color="666666" w:themeColor="text1" w:themeTint="99"/>
            </w:tcBorders>
          </w:tcPr>
          <w:p w14:paraId="292545BB"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p>
        </w:tc>
      </w:tr>
      <w:tr w:rsidR="004A6D9F" w14:paraId="631D8C7C" w14:textId="77777777" w:rsidTr="006A6D6A">
        <w:tc>
          <w:tcPr>
            <w:cnfStyle w:val="001000000000" w:firstRow="0" w:lastRow="0" w:firstColumn="1" w:lastColumn="0" w:oddVBand="0" w:evenVBand="0" w:oddHBand="0" w:evenHBand="0" w:firstRowFirstColumn="0" w:firstRowLastColumn="0" w:lastRowFirstColumn="0" w:lastRowLastColumn="0"/>
            <w:tcW w:w="3119" w:type="dxa"/>
          </w:tcPr>
          <w:p w14:paraId="54BF6B37" w14:textId="4D9FEC16" w:rsidR="004A6D9F" w:rsidRPr="00B41C09" w:rsidRDefault="00B41C09"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val="0"/>
                <w:bCs w:val="0"/>
                <w:color w:val="000000" w:themeColor="text1"/>
                <w:sz w:val="24"/>
                <w:szCs w:val="24"/>
              </w:rPr>
            </w:pPr>
            <w:r w:rsidRPr="00B41C09">
              <w:rPr>
                <w:rFonts w:ascii="Times New Roman" w:hAnsi="Times New Roman" w:cs="Times New Roman"/>
                <w:b w:val="0"/>
                <w:bCs w:val="0"/>
                <w:sz w:val="24"/>
                <w:szCs w:val="24"/>
              </w:rPr>
              <w:t>Jakobsen et al.</w:t>
            </w:r>
            <w:r w:rsidRPr="00B41C09">
              <w:rPr>
                <w:rFonts w:ascii="Times New Roman" w:hAnsi="Times New Roman" w:cs="Times New Roman"/>
                <w:b w:val="0"/>
                <w:bCs w:val="0"/>
                <w:sz w:val="24"/>
                <w:szCs w:val="24"/>
                <w:vertAlign w:val="superscript"/>
              </w:rPr>
              <w:fldChar w:fldCharType="begin"/>
            </w:r>
            <w:r w:rsidRPr="00B41C09">
              <w:rPr>
                <w:rFonts w:ascii="Times New Roman" w:hAnsi="Times New Roman" w:cs="Times New Roman"/>
                <w:b w:val="0"/>
                <w:bCs w:val="0"/>
                <w:sz w:val="24"/>
                <w:szCs w:val="24"/>
                <w:vertAlign w:val="superscript"/>
              </w:rPr>
              <w:instrText xml:space="preserve"> ADDIN ZOTERO_ITEM CSL_CITATION {"citationID":"fqqhppEw","properties":{"formattedCitation":"(25)","plainCitation":"(25)","noteIndex":0},"citationItems":[{"id":375,"uris":["http://zotero.org/users/5142732/items/DGCA7WDN"],"itemData":{"id":375,"type":"article-journal","abstract":"The objective of this trial was to assess the long-term effect of the CHANGE lifestyle coaching intervention for 428 people with abdominal obesity and schizophrenia spectrum disorders on cardiovascular risk. In this randomized, superiority, multi-center clinical trial, participants were randomized to 12 months of either lifestyle coaching plus care coordination (N = 138), care coordination alone, (N = 142) or treatment as usual (N = 148). There was no effect after 12 months, but we hypothesized that there might have been a delayed treatment effect. Our primary outcome at two-year follow-up was 10-year risk of cardiovascular disease standardized to 60 years of age. After two-years the mean 10-year cardiovascular-disease risk was 8.7% (95% confidence interval (CI) 7.6-9.9%) in the CHANGE group, 7.7% (95% CI 6.5-8.9%) in the care coordination group, and 8.9% (95% CI 6.9-9.2%) in the treatment as usual group (P = 0.24). Also, there were no intervention effects for any secondary or exploratory outcomes, including cardiorespiratory fitness, weight, physical activity, diet and smoking. No reported adverse events could be ascribed to the intervention. We conclude that there was neither any direct nor any long-term effect of individual lifestyle coaching or care coordination on cardiovascular risk factors in people with abdominal obesity and schizophrenia spectrum disorders. The trial was approved by the Ethics Committee of Capitol Region Copenhagen, Denmark (registration number: H-4-2012-051) and the Danish Data Protection Agency (registration number: 01689 RHP-2012-007). The trial was funded by the Mental Health Services of the Capital Region of Denmark, the Lundbeck Foundation, the Tryg Foundation, the Danish Ministry of Health, and the Dæhnfeldts Foundation.;","archive":"mnh","archive_location":"28985228","container-title":"Plos One","DOI":"10.1371/journal.pone.0185881","ISSN":"1932-6203","issue":"10","journalAbbreviation":"Plos One","page":"e0185881-e0185881","source":"EBSCOhost","title":"Effect of lifestyle coaching versus care coordination versus treatment as usual in people with severe mental illness and overweight: Two-years follow-up of the randomized CHANGE trial.","volume":"12","author":[{"family":"Jakobsen","given":"Ane Storch"},{"family":"Speyer","given":"Helene"},{"family":"Nørgaard","given":"Hans Christian Brix"},{"family":"Karlsen","given":"Mette"},{"family":"Birk","given":"Merete"},{"family":"Hjorthøj","given":"Carsten"},{"family":"Mors","given":"Ole"},{"family":"Krogh","given":"Jesper"},{"family":"Gluud","given":"Christian"},{"family":"Pisinger","given":"Charlotta"},{"family":"Nordentoft","given":"Merete"}],"issued":{"date-parts":[["2017",10,6]]}}}],"schema":"https://github.com/citation-style-language/schema/raw/master/csl-citation.json"} </w:instrText>
            </w:r>
            <w:r w:rsidRPr="00B41C09">
              <w:rPr>
                <w:rFonts w:ascii="Times New Roman" w:hAnsi="Times New Roman" w:cs="Times New Roman"/>
                <w:b w:val="0"/>
                <w:bCs w:val="0"/>
                <w:sz w:val="24"/>
                <w:szCs w:val="24"/>
                <w:vertAlign w:val="superscript"/>
              </w:rPr>
              <w:fldChar w:fldCharType="separate"/>
            </w:r>
            <w:r w:rsidRPr="00B41C09">
              <w:rPr>
                <w:rFonts w:ascii="Times New Roman" w:hAnsi="Times New Roman" w:cs="Times New Roman"/>
                <w:b w:val="0"/>
                <w:bCs w:val="0"/>
                <w:noProof/>
                <w:sz w:val="24"/>
                <w:szCs w:val="24"/>
                <w:vertAlign w:val="superscript"/>
              </w:rPr>
              <w:t>25</w:t>
            </w:r>
            <w:r w:rsidRPr="00B41C09">
              <w:rPr>
                <w:rFonts w:ascii="Times New Roman" w:hAnsi="Times New Roman" w:cs="Times New Roman"/>
                <w:b w:val="0"/>
                <w:bCs w:val="0"/>
                <w:sz w:val="24"/>
                <w:szCs w:val="24"/>
                <w:vertAlign w:val="superscript"/>
              </w:rPr>
              <w:fldChar w:fldCharType="end"/>
            </w:r>
          </w:p>
        </w:tc>
        <w:tc>
          <w:tcPr>
            <w:tcW w:w="1134" w:type="dxa"/>
          </w:tcPr>
          <w:p w14:paraId="4E810D5F"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c>
          <w:tcPr>
            <w:tcW w:w="1370" w:type="dxa"/>
          </w:tcPr>
          <w:p w14:paraId="47EAE109"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383" w:type="dxa"/>
          </w:tcPr>
          <w:p w14:paraId="18C7E2D9"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383" w:type="dxa"/>
          </w:tcPr>
          <w:p w14:paraId="47566ABC"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p>
        </w:tc>
        <w:tc>
          <w:tcPr>
            <w:tcW w:w="1370" w:type="dxa"/>
          </w:tcPr>
          <w:p w14:paraId="59498836"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277" w:type="dxa"/>
          </w:tcPr>
          <w:p w14:paraId="74FB5841"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p>
        </w:tc>
        <w:tc>
          <w:tcPr>
            <w:tcW w:w="1558" w:type="dxa"/>
          </w:tcPr>
          <w:p w14:paraId="6975B13E"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p>
        </w:tc>
      </w:tr>
      <w:tr w:rsidR="004A6D9F" w14:paraId="5870CB56"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Pr>
          <w:p w14:paraId="7FA35FA3" w14:textId="46DC1EF8" w:rsidR="004A6D9F" w:rsidRPr="00B41C09" w:rsidRDefault="00B41C09"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val="0"/>
                <w:bCs w:val="0"/>
                <w:color w:val="000000" w:themeColor="text1"/>
                <w:sz w:val="24"/>
                <w:szCs w:val="24"/>
              </w:rPr>
            </w:pPr>
            <w:r w:rsidRPr="00B41C09">
              <w:rPr>
                <w:rFonts w:ascii="Times New Roman" w:hAnsi="Times New Roman" w:cs="Times New Roman"/>
                <w:b w:val="0"/>
                <w:bCs w:val="0"/>
                <w:sz w:val="24"/>
                <w:szCs w:val="24"/>
              </w:rPr>
              <w:t>Kang et al.</w:t>
            </w:r>
            <w:r w:rsidRPr="00B41C09">
              <w:rPr>
                <w:rFonts w:ascii="Times New Roman" w:hAnsi="Times New Roman" w:cs="Times New Roman"/>
                <w:b w:val="0"/>
                <w:bCs w:val="0"/>
                <w:sz w:val="24"/>
                <w:szCs w:val="24"/>
                <w:vertAlign w:val="superscript"/>
              </w:rPr>
              <w:fldChar w:fldCharType="begin"/>
            </w:r>
            <w:r w:rsidRPr="00B41C09">
              <w:rPr>
                <w:rFonts w:ascii="Times New Roman" w:hAnsi="Times New Roman" w:cs="Times New Roman"/>
                <w:b w:val="0"/>
                <w:bCs w:val="0"/>
                <w:sz w:val="24"/>
                <w:szCs w:val="24"/>
                <w:vertAlign w:val="superscript"/>
              </w:rPr>
              <w:instrText xml:space="preserve"> ADDIN ZOTERO_ITEM CSL_CITATION {"citationID":"fj1OUPRP","properties":{"formattedCitation":"(31)","plainCitation":"(31)","dontUpdate":true,"noteIndex":0},"citationItems":[{"id":327,"uris":["http://zotero.org/users/5142732/items/5AXIZ8Z9"],"itemData":{"id":327,"type":"article-journal","abstract":"Background: Antipsychotic drugs are limited in their ability to improve negative symptoms, quality of life, and medication adherence in patients with schizophrenia. The addition of nonpharmacological interventions like social skills training has a positive effect on medication adherence and decreases rehospitalization rates but is limited in improving patients' symptoms, aggressive behaviors, and quality of life. Aerobic exercise, especially Tai-chi, can potentially reduce psychopathological and negative symptoms, decrease aggressive behaviors, and improve quality of life. It is an ideal rehabilitation intervention for patients with schizophrenia. However, no study has investigated the effects of social skills training plus Tai-chi on outcomes among outpatients with schizophrenia. This study analyzes the effect of antipsychotics combined with community-based integrated interventions on outcomes of schizophrenia. Methods: In this study, a 24-session social skills training plus Tai-chi was used in community settings among patients with schizophrenia. A total of 244 patients were randomly assigned to medication treatment alone (MTA group) or community-based integrated intervention (CBII group), which accepted social skills training plus Tai-chi in addition to medication treatment. Generalized linear mixed models were used to evaluate the intervention effect (group effect), intervention effect over time (time effect), and interaction effect (group × time effect). t tests were used to evaluate between-group differences on clinical variables. Multiple linear regression analysis was used to analyze the differences between the intervention at 12 months and baseline for the Positive and Negative Syndrome Scale (PANSS) negative symptoms and quality of life-social domain. Results: Compared with the MTA group, the CBII group had lower scores on PANSS (F = 17.312, p &lt; 0.001) and negative symptoms (F = 44.909, p &lt; 0.001), a lower risk for aggressive behavior (F = 12.382, p &lt; 0.001), and a greater improvement in adherence to medication (F = 12.391, p &lt; 0.001) after 1 year of intervention. The changes in PANSS total scores, negative scores, and social domain of the World Health Organization Quality of Life Scale-Brief version (WHOQOL-BREF) from baseline to 12 months were significant between the two groups (PANSS total score: t = 4.839, p &lt; 0.001; negative symptoms: t = 8.250, p &lt; 0.001, and quality of life-social domain: t = -2.171, p = 0.031). Multiple linear regression analysis also showed that the intervention was significantly effective for changes from baseline to 12 months on PANSS total score (B = 0.804, p &lt; 0.001), negative score (B = 0.709, p &lt; 0.001), and social domain of quality of life (B = -0.673, p = 0.044). Conclusions: This study suggested that the community-based integrated intervention such as social skills training plus Tai-chi should be part of a rehabilitation effort for patients with schizophrenia in order to improve clinical symptoms, quality of life, and medication adherence. (PsycINFO Database Record (c) 2017 APA, all rights reserved)","archive":"psyh","archive_location":"2016-53885-005","container-title":"Psychopathology","DOI":"10.1159/000448195","ISSN":"0254-4962","issue":"5","journalAbbreviation":"Psychopathology","page":"345-355","source":"EBSCOhost","title":"Effect of community-based social skills training and tai-chi exercise on outcomes in patients with chronic schizophrenia: A randomized, one-year study","volume":"49","author":[{"family":"Kang","given":"Ruiying"},{"family":"Wu","given":"Yeqing"},{"family":"Li","given":"Zhiwu"},{"family":"Jiang","given":"Jun"},{"family":"Gao","given":"Qi"},{"family":"Yu","given":"Yuncui"},{"family":"Gao","given":"Keming"},{"family":"Yan","given":"Yuxiang"},{"family":"He","given":"Yan"}],"issued":{"date-parts":[["2016"]]}}}],"schema":"https://github.com/citation-style-language/schema/raw/master/csl-citation.json"} </w:instrText>
            </w:r>
            <w:r w:rsidRPr="00B41C09">
              <w:rPr>
                <w:rFonts w:ascii="Times New Roman" w:hAnsi="Times New Roman" w:cs="Times New Roman"/>
                <w:b w:val="0"/>
                <w:bCs w:val="0"/>
                <w:sz w:val="24"/>
                <w:szCs w:val="24"/>
                <w:vertAlign w:val="superscript"/>
              </w:rPr>
              <w:fldChar w:fldCharType="separate"/>
            </w:r>
            <w:r w:rsidRPr="00B41C09">
              <w:rPr>
                <w:rFonts w:ascii="Times New Roman" w:hAnsi="Times New Roman" w:cs="Times New Roman"/>
                <w:b w:val="0"/>
                <w:bCs w:val="0"/>
                <w:noProof/>
                <w:sz w:val="24"/>
                <w:szCs w:val="24"/>
                <w:vertAlign w:val="superscript"/>
              </w:rPr>
              <w:t>31</w:t>
            </w:r>
            <w:r w:rsidRPr="00B41C09">
              <w:rPr>
                <w:rFonts w:ascii="Times New Roman" w:hAnsi="Times New Roman" w:cs="Times New Roman"/>
                <w:b w:val="0"/>
                <w:bCs w:val="0"/>
                <w:sz w:val="24"/>
                <w:szCs w:val="24"/>
                <w:vertAlign w:val="superscript"/>
              </w:rPr>
              <w:fldChar w:fldCharType="end"/>
            </w:r>
          </w:p>
        </w:tc>
        <w:tc>
          <w:tcPr>
            <w:tcW w:w="1134" w:type="dxa"/>
          </w:tcPr>
          <w:p w14:paraId="3998F450"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370" w:type="dxa"/>
          </w:tcPr>
          <w:p w14:paraId="3BE183E5"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383" w:type="dxa"/>
          </w:tcPr>
          <w:p w14:paraId="558DB212"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383" w:type="dxa"/>
          </w:tcPr>
          <w:p w14:paraId="37F53A20"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370" w:type="dxa"/>
          </w:tcPr>
          <w:p w14:paraId="55C3B271"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277" w:type="dxa"/>
          </w:tcPr>
          <w:p w14:paraId="4FA18A91"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558" w:type="dxa"/>
          </w:tcPr>
          <w:p w14:paraId="034DBDA3"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r>
      <w:tr w:rsidR="004A6D9F" w14:paraId="02E74B1D" w14:textId="77777777" w:rsidTr="006A6D6A">
        <w:tc>
          <w:tcPr>
            <w:cnfStyle w:val="001000000000" w:firstRow="0" w:lastRow="0" w:firstColumn="1" w:lastColumn="0" w:oddVBand="0" w:evenVBand="0" w:oddHBand="0" w:evenHBand="0" w:firstRowFirstColumn="0" w:firstRowLastColumn="0" w:lastRowFirstColumn="0" w:lastRowLastColumn="0"/>
            <w:tcW w:w="3119" w:type="dxa"/>
          </w:tcPr>
          <w:p w14:paraId="7A359A20" w14:textId="07305570" w:rsidR="004A6D9F" w:rsidRPr="00B41C09" w:rsidRDefault="00B41C09"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val="0"/>
                <w:bCs w:val="0"/>
                <w:color w:val="000000" w:themeColor="text1"/>
                <w:sz w:val="24"/>
                <w:szCs w:val="24"/>
              </w:rPr>
            </w:pPr>
            <w:proofErr w:type="spellStart"/>
            <w:r w:rsidRPr="00B41C09">
              <w:rPr>
                <w:rFonts w:ascii="Times New Roman" w:hAnsi="Times New Roman" w:cs="Times New Roman"/>
                <w:b w:val="0"/>
                <w:bCs w:val="0"/>
                <w:sz w:val="24"/>
                <w:szCs w:val="24"/>
              </w:rPr>
              <w:t>Malchow</w:t>
            </w:r>
            <w:proofErr w:type="spellEnd"/>
            <w:r w:rsidRPr="00B41C09">
              <w:rPr>
                <w:rFonts w:ascii="Times New Roman" w:hAnsi="Times New Roman" w:cs="Times New Roman"/>
                <w:b w:val="0"/>
                <w:bCs w:val="0"/>
                <w:sz w:val="24"/>
                <w:szCs w:val="24"/>
              </w:rPr>
              <w:t xml:space="preserve"> et al.</w:t>
            </w:r>
            <w:r w:rsidRPr="00B41C09">
              <w:rPr>
                <w:rFonts w:ascii="Times New Roman" w:hAnsi="Times New Roman" w:cs="Times New Roman"/>
                <w:b w:val="0"/>
                <w:bCs w:val="0"/>
                <w:sz w:val="24"/>
                <w:szCs w:val="24"/>
                <w:vertAlign w:val="superscript"/>
              </w:rPr>
              <w:fldChar w:fldCharType="begin"/>
            </w:r>
            <w:r w:rsidRPr="00B41C09">
              <w:rPr>
                <w:rFonts w:ascii="Times New Roman" w:hAnsi="Times New Roman" w:cs="Times New Roman"/>
                <w:b w:val="0"/>
                <w:bCs w:val="0"/>
                <w:sz w:val="24"/>
                <w:szCs w:val="24"/>
                <w:vertAlign w:val="superscript"/>
              </w:rPr>
              <w:instrText xml:space="preserve"> ADDIN ZOTERO_ITEM CSL_CITATION {"citationID":"myIksP4A","properties":{"formattedCitation":"(29)","plainCitation":"(29)","dontUpdate":true,"noteIndex":0},"citationItems":[{"id":329,"uris":["http://zotero.org/users/5142732/items/TIS8SZ45"],"itemData":{"id":329,"type":"article-journal","abstract":"Aerobic exercise has been shown to improve symptoms in multiepisode schizophrenia, including cognitive impairments, but results are inconsistent. Therefore, we evaluated the effects of an enriched environment paradigm consisting of bicycle ergometer training and add-on computer- assisted cognitive remediation (CACR) training. To our knowledge, this is the first study to evaluate such an enriched environment paradigm in multiepisode schizophrenia. Twenty-two multiepisode schizophrenia patients and 22 age- and gender-matched healthy controls underwent 3 months of endurance training (30 min, 3 times/ wk); CACR training (30 min, 2 times/wk) was added from week 6. Twenty-one additionally recruited schizophrenia patients played table soccer (known as 'foosball' in the United States) over the same period and also received the same CACR training. At baseline and after 6 weeks and 3 months, we measured the Global Assessment of Functioning (GAF), Social Adjustment Scale-II (SAS-II), schizophrenia symptoms (Positive and Negative Syndrome Scale), and cognitive domains (Verbal Learning Memory Test [VLMT], Wisconsin Card Sorting Test [WCST], and Trail Making Test). After 3 months, we observed a significant improvement in GAF and in SAS-II social/ leisure activities and household functioning adaptation in the endurance training augmented with cognitive remediation, but not in the table soccer augmented with cognitive remediation group. The severity of negative symptoms and performance in the VLMT and WCST improved significantly in the schizophrenia endurance training augmented with cognitive remediation group from week 6 to the end of the 3-month training period. Future studies should investigate longer intervention periods to show whether endurance training induces stable improvements in everyday functioning. (PsycINFO Database Record (c) 2016 APA, all rights reserved)","archive":"psyh","archive_location":"2015-27047-012","container-title":"Schizophrenia Bulletin","DOI":"10.1093/schbul/sbv020","ISSN":"0586-7614","issue":"4","journalAbbreviation":"Schizophrenia Bulletin","page":"847-858","source":"EBSCOhost","title":"Effects of endurance training combined with cognitive remediation on everyday functioning, symptoms, and cognition in multiepisode schizophrenia patients","volume":"41","author":[{"family":"Malchow","given":"Berend"},{"family":"Keller","given":"Katriona"},{"family":"Hasan","given":"Alkomiet"},{"family":"Dörfler","given":"Sebastian"},{"family":"Schneider-Axmann","given":"Thomas"},{"family":"Hillmer-Vogel","given":"Ursula"},{"family":"Honer","given":"William G."},{"family":"Schulze","given":"Thomas G."},{"family":"Niklas","given":"Andree"},{"family":"Wobrock","given":"Thomas"},{"family":"Schmitt","given":"Andrea"},{"family":"Falkai","given":"Peter"}],"issued":{"date-parts":[["2015",7]]}}}],"schema":"https://github.com/citation-style-language/schema/raw/master/csl-citation.json"} </w:instrText>
            </w:r>
            <w:r w:rsidRPr="00B41C09">
              <w:rPr>
                <w:rFonts w:ascii="Times New Roman" w:hAnsi="Times New Roman" w:cs="Times New Roman"/>
                <w:b w:val="0"/>
                <w:bCs w:val="0"/>
                <w:sz w:val="24"/>
                <w:szCs w:val="24"/>
                <w:vertAlign w:val="superscript"/>
              </w:rPr>
              <w:fldChar w:fldCharType="separate"/>
            </w:r>
            <w:r w:rsidRPr="00B41C09">
              <w:rPr>
                <w:rFonts w:ascii="Times New Roman" w:hAnsi="Times New Roman" w:cs="Times New Roman"/>
                <w:b w:val="0"/>
                <w:bCs w:val="0"/>
                <w:noProof/>
                <w:sz w:val="24"/>
                <w:szCs w:val="24"/>
                <w:vertAlign w:val="superscript"/>
              </w:rPr>
              <w:t>29</w:t>
            </w:r>
            <w:r w:rsidRPr="00B41C09">
              <w:rPr>
                <w:rFonts w:ascii="Times New Roman" w:hAnsi="Times New Roman" w:cs="Times New Roman"/>
                <w:b w:val="0"/>
                <w:bCs w:val="0"/>
                <w:sz w:val="24"/>
                <w:szCs w:val="24"/>
                <w:vertAlign w:val="superscript"/>
              </w:rPr>
              <w:fldChar w:fldCharType="end"/>
            </w:r>
          </w:p>
        </w:tc>
        <w:tc>
          <w:tcPr>
            <w:tcW w:w="1134" w:type="dxa"/>
          </w:tcPr>
          <w:p w14:paraId="7566C671"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c>
          <w:tcPr>
            <w:tcW w:w="1370" w:type="dxa"/>
          </w:tcPr>
          <w:p w14:paraId="02D7D0D2"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c>
          <w:tcPr>
            <w:tcW w:w="1383" w:type="dxa"/>
          </w:tcPr>
          <w:p w14:paraId="2C72ADD4"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c>
          <w:tcPr>
            <w:tcW w:w="1383" w:type="dxa"/>
          </w:tcPr>
          <w:p w14:paraId="468377EF"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p>
        </w:tc>
        <w:tc>
          <w:tcPr>
            <w:tcW w:w="1370" w:type="dxa"/>
          </w:tcPr>
          <w:p w14:paraId="3C9CD51B"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277" w:type="dxa"/>
          </w:tcPr>
          <w:p w14:paraId="67A83902"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p>
        </w:tc>
        <w:tc>
          <w:tcPr>
            <w:tcW w:w="1558" w:type="dxa"/>
          </w:tcPr>
          <w:p w14:paraId="3B9FF784"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r>
      <w:tr w:rsidR="004A6D9F" w14:paraId="13D05DEE"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Pr>
          <w:p w14:paraId="7E3947EF" w14:textId="71E31215" w:rsidR="004A6D9F" w:rsidRPr="00B41C09" w:rsidRDefault="00B41C09" w:rsidP="006A6D6A">
            <w:pPr>
              <w:rPr>
                <w:b w:val="0"/>
                <w:bCs w:val="0"/>
                <w:color w:val="000000" w:themeColor="text1"/>
                <w:sz w:val="24"/>
                <w:szCs w:val="24"/>
              </w:rPr>
            </w:pPr>
            <w:proofErr w:type="spellStart"/>
            <w:r w:rsidRPr="00B41C09">
              <w:rPr>
                <w:b w:val="0"/>
                <w:bCs w:val="0"/>
                <w:sz w:val="24"/>
                <w:szCs w:val="24"/>
              </w:rPr>
              <w:t>Oertel-Knöchel</w:t>
            </w:r>
            <w:proofErr w:type="spellEnd"/>
            <w:r w:rsidRPr="00B41C09">
              <w:rPr>
                <w:b w:val="0"/>
                <w:bCs w:val="0"/>
                <w:sz w:val="24"/>
                <w:szCs w:val="24"/>
              </w:rPr>
              <w:t xml:space="preserve"> et al.</w:t>
            </w:r>
            <w:r w:rsidRPr="00B41C09">
              <w:rPr>
                <w:b w:val="0"/>
                <w:bCs w:val="0"/>
                <w:sz w:val="24"/>
                <w:szCs w:val="24"/>
                <w:vertAlign w:val="superscript"/>
              </w:rPr>
              <w:fldChar w:fldCharType="begin"/>
            </w:r>
            <w:r w:rsidRPr="00B41C09">
              <w:rPr>
                <w:b w:val="0"/>
                <w:bCs w:val="0"/>
                <w:sz w:val="24"/>
                <w:szCs w:val="24"/>
                <w:vertAlign w:val="superscript"/>
              </w:rPr>
              <w:instrText xml:space="preserve"> ADDIN ZOTERO_ITEM CSL_CITATION {"citationID":"dMcMFAbJ","properties":{"formattedCitation":"(30)","plainCitation":"(30)","noteIndex":0},"citationItems":[{"id":377,"uris":["http://zotero.org/users/5142732/items/TGFIJXM4"],"itemData":{"id":377,"type":"article-journal","abstract":"Cognitive deficits are core symptoms in patients with schizophrenia (SZ) and major depressive disorder (MDD), but specific and approved treatments for cognitive deterioration are scarce. Experimental and clinical evidence suggests that aerobic exercise may help to reduce psychopathological symptoms and support cognitive performance, but this has not yet been systematically investigated. In the current study, we examined the effects of aerobic training on cognitive performance and symptom severity in psychiatric inpatients. To our knowledge, to date, no studies have been published that directly compare the effects of exercise across disease groups in order to acquire a better understanding of disease-specific versus general or overlapping effects of physical training intervention. Two disease groups (n=22 MDD patients, n=29 SZ patients) that were matched for age, gender, duration of disease and years of education received cognitive training combined either with aerobic physical exercise or with mental relaxation training. The interventions included 12 sessions (3 times a week) over a time period of 4 weeks, lasting each for 75 min (30 min of cognitive training+45 min of cardio training/mental relaxation training). Cognitive parameters and psychopathology scores of all participants were tested in pre- and post-testing sessions and were then compared with a waiting control group. In the total group of patients, the results indicate an increase in cognitive performance in the domains visual learning, working memory and speed of processing, a decrease in state anxiety and an increase in subjective quality of life between pre- and post-testing. The effects in SZ patients compared with MDD patients were stronger for cognitive performance, whereas there were stronger effects in MDD patients compared with SZ patients in individual psychopathology values. MDD patients showed a significant reduction in depressive symptoms and state anxiety values after the intervention period. SZ patients reduced their negative symptoms severity from pre- to post-testing. In sum, the effects for the combined training were superior to the other forms of treatment. Physical exercise may help to reduce psychopathological symptoms and improve cognitive skills. The intervention routines employed in this study promise to add the current psychopathological and medical treatment options and could aid the transition to a multidisciplinary approach. However, a limitation of the current study is the short time interval for interventions (6 weeks including pre- and post-testing).;","archive":"mnh","archive_location":"24487666","container-title":"European Archives Of Psychiatry And Clinical Neuroscience","DOI":"10.1007/s00406-014-0485-9","ISSN":"1433-8491","issue":"7","journalAbbreviation":"European Archives Of Psychiatry And Clinical Neuroscience","page":"589-604","source":"EBSCOhost","title":"Effects of aerobic exercise on cognitive performance and individual psychopathology in depressive and schizophrenia patients.","volume":"264","author":[{"family":"Oertel-Knöchel","given":"Viola"},{"family":"Mehler","given":"Pia"},{"family":"Thiel","given":"Christian"},{"family":"Steinbrecher","given":"Kristina"},{"family":"Malchow","given":"Berend"},{"family":"Tesky","given":"Valentina"},{"family":"Ademmer","given":"Karin"},{"family":"Prvulovic","given":"David"},{"family":"Banzer","given":"Winfried"},{"family":"Zopf","given":"Yurdagül"},{"family":"Schmitt","given":"Andrea"},{"family":"Hänsel","given":"Frank"}],"issued":{"date-parts":[["2014",10]]}}}],"schema":"https://github.com/citation-style-language/schema/raw/master/csl-citation.json"} </w:instrText>
            </w:r>
            <w:r w:rsidRPr="00B41C09">
              <w:rPr>
                <w:b w:val="0"/>
                <w:bCs w:val="0"/>
                <w:sz w:val="24"/>
                <w:szCs w:val="24"/>
                <w:vertAlign w:val="superscript"/>
              </w:rPr>
              <w:fldChar w:fldCharType="separate"/>
            </w:r>
            <w:r w:rsidRPr="00B41C09">
              <w:rPr>
                <w:b w:val="0"/>
                <w:bCs w:val="0"/>
                <w:noProof/>
                <w:sz w:val="24"/>
                <w:szCs w:val="24"/>
                <w:vertAlign w:val="superscript"/>
              </w:rPr>
              <w:t>30</w:t>
            </w:r>
            <w:r w:rsidRPr="00B41C09">
              <w:rPr>
                <w:b w:val="0"/>
                <w:bCs w:val="0"/>
                <w:sz w:val="24"/>
                <w:szCs w:val="24"/>
                <w:vertAlign w:val="superscript"/>
              </w:rPr>
              <w:fldChar w:fldCharType="end"/>
            </w:r>
          </w:p>
        </w:tc>
        <w:tc>
          <w:tcPr>
            <w:tcW w:w="1134" w:type="dxa"/>
          </w:tcPr>
          <w:p w14:paraId="7689A910"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c>
          <w:tcPr>
            <w:tcW w:w="1370" w:type="dxa"/>
          </w:tcPr>
          <w:p w14:paraId="1A27CAB8"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383" w:type="dxa"/>
          </w:tcPr>
          <w:p w14:paraId="0398AAB9"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c>
          <w:tcPr>
            <w:tcW w:w="1383" w:type="dxa"/>
          </w:tcPr>
          <w:p w14:paraId="12DA1F53"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p>
        </w:tc>
        <w:tc>
          <w:tcPr>
            <w:tcW w:w="1370" w:type="dxa"/>
          </w:tcPr>
          <w:p w14:paraId="54F07BC2"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277" w:type="dxa"/>
          </w:tcPr>
          <w:p w14:paraId="28C89BB1"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c>
          <w:tcPr>
            <w:tcW w:w="1558" w:type="dxa"/>
          </w:tcPr>
          <w:p w14:paraId="3309A374"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r>
      <w:tr w:rsidR="004A6D9F" w14:paraId="21F829EC" w14:textId="77777777" w:rsidTr="006A6D6A">
        <w:tc>
          <w:tcPr>
            <w:cnfStyle w:val="001000000000" w:firstRow="0" w:lastRow="0" w:firstColumn="1" w:lastColumn="0" w:oddVBand="0" w:evenVBand="0" w:oddHBand="0" w:evenHBand="0" w:firstRowFirstColumn="0" w:firstRowLastColumn="0" w:lastRowFirstColumn="0" w:lastRowLastColumn="0"/>
            <w:tcW w:w="3119" w:type="dxa"/>
          </w:tcPr>
          <w:p w14:paraId="3BB01D32" w14:textId="40CC211E" w:rsidR="004A6D9F" w:rsidRPr="00B41C09" w:rsidRDefault="00B41C09"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val="0"/>
                <w:bCs w:val="0"/>
                <w:color w:val="000000" w:themeColor="text1"/>
                <w:sz w:val="24"/>
                <w:szCs w:val="24"/>
              </w:rPr>
            </w:pPr>
            <w:proofErr w:type="spellStart"/>
            <w:r w:rsidRPr="00B41C09">
              <w:rPr>
                <w:rFonts w:ascii="Times New Roman" w:hAnsi="Times New Roman" w:cs="Times New Roman"/>
                <w:b w:val="0"/>
                <w:bCs w:val="0"/>
                <w:color w:val="000000" w:themeColor="text1"/>
                <w:sz w:val="24"/>
                <w:szCs w:val="24"/>
              </w:rPr>
              <w:t>Siqueria</w:t>
            </w:r>
            <w:proofErr w:type="spellEnd"/>
            <w:r w:rsidRPr="00B41C09">
              <w:rPr>
                <w:rFonts w:ascii="Times New Roman" w:hAnsi="Times New Roman" w:cs="Times New Roman"/>
                <w:b w:val="0"/>
                <w:bCs w:val="0"/>
                <w:color w:val="000000" w:themeColor="text1"/>
                <w:sz w:val="24"/>
                <w:szCs w:val="24"/>
              </w:rPr>
              <w:t xml:space="preserve"> et al.</w:t>
            </w:r>
            <w:r w:rsidRPr="00B41C09">
              <w:rPr>
                <w:rFonts w:ascii="Times New Roman" w:hAnsi="Times New Roman" w:cs="Times New Roman"/>
                <w:b w:val="0"/>
                <w:bCs w:val="0"/>
                <w:color w:val="000000" w:themeColor="text1"/>
                <w:sz w:val="24"/>
                <w:szCs w:val="24"/>
                <w:vertAlign w:val="superscript"/>
              </w:rPr>
              <w:fldChar w:fldCharType="begin"/>
            </w:r>
            <w:r w:rsidRPr="00B41C09">
              <w:rPr>
                <w:rFonts w:ascii="Times New Roman" w:hAnsi="Times New Roman" w:cs="Times New Roman"/>
                <w:b w:val="0"/>
                <w:bCs w:val="0"/>
                <w:color w:val="000000" w:themeColor="text1"/>
                <w:sz w:val="24"/>
                <w:szCs w:val="24"/>
                <w:vertAlign w:val="superscript"/>
              </w:rPr>
              <w:instrText xml:space="preserve"> ADDIN ZOTERO_ITEM CSL_CITATION {"citationID":"v3EEwaci","properties":{"formattedCitation":"(32)","plainCitation":"(32)","noteIndex":0},"citationItems":[{"id":367,"uris":["http://zotero.org/users/5142732/items/75IBDZI4"],"itemData":{"id":367,"type":"article-journal","abstract":"Background: Major depressive disorder (MDD) is a highly prevalent, heterogeneous and systemic medical condition. Treatment options are limited, and recent studies have suggested that physical exercise can play an important role in the therapeutics of MDD. The aim of this study was to evaluate the antidepressant efficacy of adjunctive aerobic activity in association with pharmacotherapy (selective serotonin reuptake inhibitor) in symptomatic MDD as well as its association with physiological biomarkers.; Methods: In this randomized, single-blind, add-on, controlled clinical trial, 57 patients (18-55 years of age) were followed-up for 28 days. All patients were drug-free, had been diagnosed with symptomatic MDD and received flexible dose of sertraline during the trial. Patients were randomized to either a 4-week program (4x/week) of add-on aerobic exercise (exercise group, N = 29) or no activity (control group, N = 28). Depression severity was assessed using the Hamilton Rating Scale for Depression (HAM-D) as the primary outcome. At baseline and endpoint, all patients underwent a comprehensive metabolic/cardiopulmonary exercise testing-including determination of maximal oxygen uptake (VO2max), VO2 at the second ventilatory threshold (VO2-VT2), and oxygen pulse (O2 pulse).; Results: Depression scores significantly decreased in both groups after intervention. Importantly, patients in the aerobic exercise group required lower sertraline dose compared to the control group (sertraline monotherapy). The VO2max and O2 pulse parameters increased over time only in the exercise group and remained unchanged in the control group.; Conclusions: The present findings suggest that a 4-week training of aerobic exercise significantly improves functional capacity in patients with MDD and may be associated with antidepressant efficacy. This approach may also decrease the need for higher doses of antidepressants to achieve response. Further studies in unmedicated and treatment-resistant MDD patients are needed in order to confirm the utility of short-term aerobic exercise as an alternative therapeutic approach in MDD.; Trial Registration: ClinicalTrials.gov NCT02427789.;","archive":"mnh","archive_location":"27152523","container-title":"Plos One","DOI":"10.1371/journal.pone.0154195","ISSN":"1932-6203","issue":"5","journalAbbreviation":"Plos One","page":"e0154195-e0154195","source":"EBSCOhost","title":"Antidepressant Efficacy of Adjunctive Aerobic Activity and Associated Biomarkers in Major Depression: A 4-Week, Randomized, Single-Blind, Controlled Clinical Trial.","volume":"11","author":[{"family":"Siqueira","given":"Cristiana Carvalho"},{"family":"Valiengo","given":"Leandro L"},{"family":"Carvalho","given":"André F"},{"family":"Santos-Silva","given":"Paulo Roberto"},{"family":"Missio","given":"Giovani"},{"family":"Sousa","given":"Rafael T","non-dropping-particle":"de"},{"family":"Di Natale","given":"Georgia"},{"family":"Gattaz","given":"Wagner F"},{"family":"Moreno","given":"Ricardo Alberto"},{"family":"Machado-Vieira","given":"Rodrigo"}],"issued":{"date-parts":[["2016",5,6]]}}}],"schema":"https://github.com/citation-style-language/schema/raw/master/csl-citation.json"} </w:instrText>
            </w:r>
            <w:r w:rsidRPr="00B41C09">
              <w:rPr>
                <w:rFonts w:ascii="Times New Roman" w:hAnsi="Times New Roman" w:cs="Times New Roman"/>
                <w:b w:val="0"/>
                <w:bCs w:val="0"/>
                <w:color w:val="000000" w:themeColor="text1"/>
                <w:sz w:val="24"/>
                <w:szCs w:val="24"/>
                <w:vertAlign w:val="superscript"/>
              </w:rPr>
              <w:fldChar w:fldCharType="separate"/>
            </w:r>
            <w:r w:rsidRPr="00B41C09">
              <w:rPr>
                <w:rFonts w:ascii="Times New Roman" w:hAnsi="Times New Roman" w:cs="Times New Roman"/>
                <w:b w:val="0"/>
                <w:bCs w:val="0"/>
                <w:noProof/>
                <w:color w:val="000000" w:themeColor="text1"/>
                <w:sz w:val="24"/>
                <w:szCs w:val="24"/>
                <w:vertAlign w:val="superscript"/>
              </w:rPr>
              <w:t>32</w:t>
            </w:r>
            <w:r w:rsidRPr="00B41C09">
              <w:rPr>
                <w:rFonts w:ascii="Times New Roman" w:hAnsi="Times New Roman" w:cs="Times New Roman"/>
                <w:b w:val="0"/>
                <w:bCs w:val="0"/>
                <w:color w:val="000000" w:themeColor="text1"/>
                <w:sz w:val="24"/>
                <w:szCs w:val="24"/>
                <w:vertAlign w:val="superscript"/>
              </w:rPr>
              <w:fldChar w:fldCharType="end"/>
            </w:r>
          </w:p>
        </w:tc>
        <w:tc>
          <w:tcPr>
            <w:tcW w:w="1134" w:type="dxa"/>
          </w:tcPr>
          <w:p w14:paraId="6E5CE7AB"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c>
          <w:tcPr>
            <w:tcW w:w="1370" w:type="dxa"/>
          </w:tcPr>
          <w:p w14:paraId="7D308986"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383" w:type="dxa"/>
          </w:tcPr>
          <w:p w14:paraId="4A18C401"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383" w:type="dxa"/>
          </w:tcPr>
          <w:p w14:paraId="33242A9D"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p>
        </w:tc>
        <w:tc>
          <w:tcPr>
            <w:tcW w:w="1370" w:type="dxa"/>
          </w:tcPr>
          <w:p w14:paraId="0D83911F"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277" w:type="dxa"/>
          </w:tcPr>
          <w:p w14:paraId="0B62FBB3"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p>
        </w:tc>
        <w:tc>
          <w:tcPr>
            <w:tcW w:w="1558" w:type="dxa"/>
          </w:tcPr>
          <w:p w14:paraId="6F5EC6A9"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p>
        </w:tc>
      </w:tr>
      <w:tr w:rsidR="004A6D9F" w14:paraId="18F50428"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Pr>
          <w:p w14:paraId="486D0532" w14:textId="50336927" w:rsidR="004A6D9F" w:rsidRPr="00B41C09" w:rsidRDefault="00B41C09"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val="0"/>
                <w:bCs w:val="0"/>
                <w:color w:val="000000" w:themeColor="text1"/>
                <w:sz w:val="24"/>
                <w:szCs w:val="24"/>
              </w:rPr>
            </w:pPr>
            <w:proofErr w:type="spellStart"/>
            <w:r w:rsidRPr="00B41C09">
              <w:rPr>
                <w:rFonts w:ascii="Times New Roman" w:hAnsi="Times New Roman" w:cs="Times New Roman"/>
                <w:b w:val="0"/>
                <w:bCs w:val="0"/>
                <w:sz w:val="24"/>
                <w:szCs w:val="24"/>
              </w:rPr>
              <w:t>Strassnig</w:t>
            </w:r>
            <w:proofErr w:type="spellEnd"/>
            <w:r w:rsidRPr="00B41C09">
              <w:rPr>
                <w:rFonts w:ascii="Times New Roman" w:hAnsi="Times New Roman" w:cs="Times New Roman"/>
                <w:b w:val="0"/>
                <w:bCs w:val="0"/>
                <w:sz w:val="24"/>
                <w:szCs w:val="24"/>
              </w:rPr>
              <w:t xml:space="preserve"> et al.</w:t>
            </w:r>
            <w:r w:rsidRPr="00B41C09">
              <w:rPr>
                <w:rFonts w:ascii="Times New Roman" w:hAnsi="Times New Roman" w:cs="Times New Roman"/>
                <w:b w:val="0"/>
                <w:bCs w:val="0"/>
                <w:sz w:val="24"/>
                <w:szCs w:val="24"/>
                <w:vertAlign w:val="superscript"/>
              </w:rPr>
              <w:fldChar w:fldCharType="begin"/>
            </w:r>
            <w:r w:rsidRPr="00B41C09">
              <w:rPr>
                <w:rFonts w:ascii="Times New Roman" w:hAnsi="Times New Roman" w:cs="Times New Roman"/>
                <w:b w:val="0"/>
                <w:bCs w:val="0"/>
                <w:sz w:val="24"/>
                <w:szCs w:val="24"/>
                <w:vertAlign w:val="superscript"/>
              </w:rPr>
              <w:instrText xml:space="preserve"> ADDIN ZOTERO_ITEM CSL_CITATION {"citationID":"TXgobV6r","properties":{"formattedCitation":"(24)","plainCitation":"(24)","noteIndex":0},"citationItems":[{"id":27,"uris":["http://zotero.org/users/5142732/items/ULLEEL7F"],"itemData":{"id":27,"type":"article-journal","abstract":"We developed a physical exercise intervention aimed at improving multiple determinants of physical performance in severe mental illness. A sample of 12 (9M, 3F) overweight or obese community-dwelling patients with schizophrenia (n ¼ 9) and bipolar disorder (n ¼3) completed an eight-week, high-velocity circuit resistance training, performed twice a week on the computerized Keiser pneumatic exercise machines, including extensive pre/post physical performance testing. Participants showed significant increases in strength and power in all major muscle groups. There were significant positive cognitive changes, objectively measured with the Brief Assessment of Cognition Scale: improvement in composite scores, processing speed and symbol coding. Calgary Depression Scale for Schizophrenia and Positive and Negative Syndrome Scale total scores improved significantly. There were large gains in neuromuscular performance that have functional implications. The cognitive domains that showed the greatest improvements (memory and processing speed) are most highly predictive of disability in schizophrenia. Moreover, the improvements seen in depression suggest this type of exercise intervention may be a valuable add-on therapy for bipolar depression.","container-title":"Psychiatry Research","DOI":"10.1016/j.psychres.2015.07.007","page":"295-301","title":"High velocity circuit resistance training improves cognition, psychiatric symptoms and neuromuscular performance in overweight outpatients with severe mental illness","volume":"229","author":[{"family":"Strassnig","given":"Martin T"},{"family":"Signorile","given":"Joseph F"},{"family":"Potiaumpai","given":"Melanie"},{"family":"Romero","given":"Matthew A"},{"family":"Gonzalez","given":"Carolina"},{"family":"Czaja","given":"Sara"},{"family":"Harvey","given":"Philip D"}],"issued":{"date-parts":[["2015"]]}}}],"schema":"https://github.com/citation-style-language/schema/raw/master/csl-citation.json"} </w:instrText>
            </w:r>
            <w:r w:rsidRPr="00B41C09">
              <w:rPr>
                <w:rFonts w:ascii="Times New Roman" w:hAnsi="Times New Roman" w:cs="Times New Roman"/>
                <w:b w:val="0"/>
                <w:bCs w:val="0"/>
                <w:sz w:val="24"/>
                <w:szCs w:val="24"/>
                <w:vertAlign w:val="superscript"/>
              </w:rPr>
              <w:fldChar w:fldCharType="separate"/>
            </w:r>
            <w:r w:rsidRPr="00B41C09">
              <w:rPr>
                <w:rFonts w:ascii="Times New Roman" w:hAnsi="Times New Roman" w:cs="Times New Roman"/>
                <w:b w:val="0"/>
                <w:bCs w:val="0"/>
                <w:noProof/>
                <w:sz w:val="24"/>
                <w:szCs w:val="24"/>
                <w:vertAlign w:val="superscript"/>
              </w:rPr>
              <w:t>24</w:t>
            </w:r>
            <w:r w:rsidRPr="00B41C09">
              <w:rPr>
                <w:rFonts w:ascii="Times New Roman" w:hAnsi="Times New Roman" w:cs="Times New Roman"/>
                <w:b w:val="0"/>
                <w:bCs w:val="0"/>
                <w:sz w:val="24"/>
                <w:szCs w:val="24"/>
                <w:vertAlign w:val="superscript"/>
              </w:rPr>
              <w:fldChar w:fldCharType="end"/>
            </w:r>
          </w:p>
        </w:tc>
        <w:tc>
          <w:tcPr>
            <w:tcW w:w="1134" w:type="dxa"/>
          </w:tcPr>
          <w:p w14:paraId="196D2D6D"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c>
          <w:tcPr>
            <w:tcW w:w="1370" w:type="dxa"/>
          </w:tcPr>
          <w:p w14:paraId="0C747569"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p>
        </w:tc>
        <w:tc>
          <w:tcPr>
            <w:tcW w:w="1383" w:type="dxa"/>
          </w:tcPr>
          <w:p w14:paraId="6AC8E335"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383" w:type="dxa"/>
          </w:tcPr>
          <w:p w14:paraId="37C14C95"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c>
          <w:tcPr>
            <w:tcW w:w="1370" w:type="dxa"/>
          </w:tcPr>
          <w:p w14:paraId="0DA3D25D"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277" w:type="dxa"/>
          </w:tcPr>
          <w:p w14:paraId="60C9F248"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c>
          <w:tcPr>
            <w:tcW w:w="1558" w:type="dxa"/>
          </w:tcPr>
          <w:p w14:paraId="3E608C59"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r>
      <w:tr w:rsidR="004A6D9F" w14:paraId="5304EF4A" w14:textId="77777777" w:rsidTr="006A6D6A">
        <w:tc>
          <w:tcPr>
            <w:cnfStyle w:val="001000000000" w:firstRow="0" w:lastRow="0" w:firstColumn="1" w:lastColumn="0" w:oddVBand="0" w:evenVBand="0" w:oddHBand="0" w:evenHBand="0" w:firstRowFirstColumn="0" w:firstRowLastColumn="0" w:lastRowFirstColumn="0" w:lastRowLastColumn="0"/>
            <w:tcW w:w="3119" w:type="dxa"/>
          </w:tcPr>
          <w:p w14:paraId="0AAD337F" w14:textId="7C6FADAE" w:rsidR="004A6D9F" w:rsidRPr="00B41C09" w:rsidRDefault="00B41C09"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val="0"/>
                <w:bCs w:val="0"/>
                <w:color w:val="000000" w:themeColor="text1"/>
                <w:sz w:val="24"/>
                <w:szCs w:val="24"/>
              </w:rPr>
            </w:pPr>
            <w:r w:rsidRPr="00B41C09">
              <w:rPr>
                <w:rFonts w:ascii="Times New Roman" w:hAnsi="Times New Roman" w:cs="Times New Roman"/>
                <w:b w:val="0"/>
                <w:bCs w:val="0"/>
                <w:color w:val="000000" w:themeColor="text1"/>
                <w:sz w:val="24"/>
                <w:szCs w:val="24"/>
              </w:rPr>
              <w:t>Streeter et al.</w:t>
            </w:r>
            <w:r w:rsidRPr="00B41C09">
              <w:rPr>
                <w:rFonts w:ascii="Times New Roman" w:hAnsi="Times New Roman" w:cs="Times New Roman"/>
                <w:b w:val="0"/>
                <w:bCs w:val="0"/>
                <w:color w:val="000000" w:themeColor="text1"/>
                <w:sz w:val="24"/>
                <w:szCs w:val="24"/>
                <w:vertAlign w:val="superscript"/>
              </w:rPr>
              <w:fldChar w:fldCharType="begin"/>
            </w:r>
            <w:r w:rsidRPr="00B41C09">
              <w:rPr>
                <w:rFonts w:ascii="Times New Roman" w:hAnsi="Times New Roman" w:cs="Times New Roman"/>
                <w:b w:val="0"/>
                <w:bCs w:val="0"/>
                <w:color w:val="000000" w:themeColor="text1"/>
                <w:sz w:val="24"/>
                <w:szCs w:val="24"/>
                <w:vertAlign w:val="superscript"/>
              </w:rPr>
              <w:instrText xml:space="preserve"> ADDIN ZOTERO_ITEM CSL_CITATION {"citationID":"kZlcE0vY","properties":{"formattedCitation":"(33)","plainCitation":"(33)","noteIndex":0},"citationItems":[{"id":399,"uris":["http://zotero.org/users/5142732/items/FT7F8NVC"],"itemData":{"id":399,"type":"article-journal","abstract":"Objectives: The aims of this study were to assess the effects of an intervention of Iyengar yoga and coherent breathing at five breaths per minute on depressive symptoms and to determine optimal intervention yoga dosing for future studies in individuals with major depressive disorder (MDD).; Methods: Subjects were randomized to the high-dose group (HDG) or low-dose group (LDG) for a 12-week intervention of three or two intervention classes per week, respectively. Eligible subjects were 18-64 years old with MDD, had baseline Beck Depression Inventory-II (BDI-II) scores ≥14, and were either on no antidepressant medications or on a stable dose of antidepressants for ≥3 months. The intervention included 90-min classes plus homework. Outcome measures were BDI-II scores and intervention compliance.; Results: Fifteen HDG (Mage = 38.4 ± 15.1 years) and 15 LDG (Mage = 34.7 ± 10.4 years) subjects completed the intervention. BDI-II scores at screening and compliance did not differ between groups (p = 0.26). BDI-II scores declined significantly from screening (24.6 ± 1.7) to week 12 (6.0 ± 3.8) for the HDG (-18.6 ± 6.6; p &lt; 0.001), and from screening (27.7 ± 2.1) to week 12 (10.1 ± 7.9) in the LDG (-17.7 ± 9.3; p &lt; 0.001). There were no significant differences between groups, based on response (i.e., &gt;50% decrease in BDI-II scores; p = 0.65) for the HDG (13/15 subjects) and LDG (11/15 subjects) or remission (i.e., number of subjects with BDI-II scores &lt;14; p = 1.00) for the HDG (14/15 subjects) and LDG (13/15 subjects) after the 12-week intervention, although a greater number of subjects in the HDG had 12-week BDI-II scores ≤10 (p = 0.04).; Conclusion: During this 12-week intervention of yoga plus coherent breathing, depressive symptoms declined significantly in patients with MDD in both the HDG and LDG. Both groups showed comparable compliance and clinical improvements, with more subjects in the HDG exhibiting BDI-II scores ≤10 at week 12.;","archive":"mnh","archive_location":"28296480","container-title":"Journal Of Alternative And Complementary Medicine (New York, N.Y.)","DOI":"10.1089/acm.2016.0140","ISSN":"1557-7708","issue":"3","journalAbbreviation":"Journal Of Alternative And Complementary Medicine (New York, N.Y.)","page":"201-207","source":"EBSCOhost","title":"Treatment of Major Depressive Disorder with Iyengar Yoga and Coherent Breathing: A Randomized Controlled Dosing Study.","volume":"23","author":[{"family":"Streeter","given":"Chris C"},{"family":"Gerbarg","given":"Patricia L"},{"family":"Whitfield","given":"Theodore H"},{"family":"Owen","given":"Liz"},{"family":"Johnston","given":"Jennifer"},{"family":"Silveri","given":"Marisa M"},{"family":"Gensler","given":"Marysia"},{"family":"Faulkner","given":"Carol L"},{"family":"Mann","given":"Cathy"},{"family":"Wixted","given":"Mary"},{"family":"Hernon","given":"Anne Marie"},{"family":"Nyer","given":"Maren B"},{"family":"Brown","given":"E Richard P"},{"family":"Jensen","given":"John E"}],"issued":{"date-parts":[["2017",3]]}}}],"schema":"https://github.com/citation-style-language/schema/raw/master/csl-citation.json"} </w:instrText>
            </w:r>
            <w:r w:rsidRPr="00B41C09">
              <w:rPr>
                <w:rFonts w:ascii="Times New Roman" w:hAnsi="Times New Roman" w:cs="Times New Roman"/>
                <w:b w:val="0"/>
                <w:bCs w:val="0"/>
                <w:color w:val="000000" w:themeColor="text1"/>
                <w:sz w:val="24"/>
                <w:szCs w:val="24"/>
                <w:vertAlign w:val="superscript"/>
              </w:rPr>
              <w:fldChar w:fldCharType="separate"/>
            </w:r>
            <w:r w:rsidRPr="00B41C09">
              <w:rPr>
                <w:rFonts w:ascii="Times New Roman" w:hAnsi="Times New Roman" w:cs="Times New Roman"/>
                <w:b w:val="0"/>
                <w:bCs w:val="0"/>
                <w:noProof/>
                <w:color w:val="000000" w:themeColor="text1"/>
                <w:sz w:val="24"/>
                <w:szCs w:val="24"/>
                <w:vertAlign w:val="superscript"/>
              </w:rPr>
              <w:t>33</w:t>
            </w:r>
            <w:r w:rsidRPr="00B41C09">
              <w:rPr>
                <w:rFonts w:ascii="Times New Roman" w:hAnsi="Times New Roman" w:cs="Times New Roman"/>
                <w:b w:val="0"/>
                <w:bCs w:val="0"/>
                <w:color w:val="000000" w:themeColor="text1"/>
                <w:sz w:val="24"/>
                <w:szCs w:val="24"/>
                <w:vertAlign w:val="superscript"/>
              </w:rPr>
              <w:fldChar w:fldCharType="end"/>
            </w:r>
          </w:p>
        </w:tc>
        <w:tc>
          <w:tcPr>
            <w:tcW w:w="1134" w:type="dxa"/>
          </w:tcPr>
          <w:p w14:paraId="319D551F"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c>
          <w:tcPr>
            <w:tcW w:w="1370" w:type="dxa"/>
          </w:tcPr>
          <w:p w14:paraId="7BD752C3"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383" w:type="dxa"/>
          </w:tcPr>
          <w:p w14:paraId="0E8EEE24"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383" w:type="dxa"/>
          </w:tcPr>
          <w:p w14:paraId="1C5292C1"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p>
        </w:tc>
        <w:tc>
          <w:tcPr>
            <w:tcW w:w="1370" w:type="dxa"/>
          </w:tcPr>
          <w:p w14:paraId="26D4A804"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277" w:type="dxa"/>
          </w:tcPr>
          <w:p w14:paraId="473E7A3E"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p>
        </w:tc>
        <w:tc>
          <w:tcPr>
            <w:tcW w:w="1558" w:type="dxa"/>
          </w:tcPr>
          <w:p w14:paraId="42E47FBB"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p>
        </w:tc>
      </w:tr>
      <w:tr w:rsidR="004A6D9F" w14:paraId="7BA40DFE"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Pr>
          <w:p w14:paraId="7F5CD939" w14:textId="61D08865" w:rsidR="004A6D9F" w:rsidRPr="00B41C09" w:rsidRDefault="00B41C09"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val="0"/>
                <w:bCs w:val="0"/>
                <w:color w:val="000000" w:themeColor="text1"/>
                <w:sz w:val="24"/>
                <w:szCs w:val="24"/>
              </w:rPr>
            </w:pPr>
            <w:proofErr w:type="spellStart"/>
            <w:r w:rsidRPr="00B41C09">
              <w:rPr>
                <w:rFonts w:ascii="Times New Roman" w:hAnsi="Times New Roman" w:cs="Times New Roman"/>
                <w:b w:val="0"/>
                <w:bCs w:val="0"/>
                <w:color w:val="000000" w:themeColor="text1"/>
                <w:sz w:val="24"/>
                <w:szCs w:val="24"/>
              </w:rPr>
              <w:t>Su</w:t>
            </w:r>
            <w:proofErr w:type="spellEnd"/>
            <w:r w:rsidRPr="00B41C09">
              <w:rPr>
                <w:rFonts w:ascii="Times New Roman" w:hAnsi="Times New Roman" w:cs="Times New Roman"/>
                <w:b w:val="0"/>
                <w:bCs w:val="0"/>
                <w:color w:val="000000" w:themeColor="text1"/>
                <w:sz w:val="24"/>
                <w:szCs w:val="24"/>
              </w:rPr>
              <w:t xml:space="preserve"> et al.</w:t>
            </w:r>
            <w:r w:rsidRPr="00B41C09">
              <w:rPr>
                <w:rFonts w:ascii="Times New Roman" w:hAnsi="Times New Roman" w:cs="Times New Roman"/>
                <w:b w:val="0"/>
                <w:bCs w:val="0"/>
                <w:color w:val="000000" w:themeColor="text1"/>
                <w:sz w:val="24"/>
                <w:szCs w:val="24"/>
                <w:vertAlign w:val="superscript"/>
              </w:rPr>
              <w:fldChar w:fldCharType="begin"/>
            </w:r>
            <w:r w:rsidRPr="00B41C09">
              <w:rPr>
                <w:rFonts w:ascii="Times New Roman" w:hAnsi="Times New Roman" w:cs="Times New Roman"/>
                <w:b w:val="0"/>
                <w:bCs w:val="0"/>
                <w:color w:val="000000" w:themeColor="text1"/>
                <w:sz w:val="24"/>
                <w:szCs w:val="24"/>
                <w:vertAlign w:val="superscript"/>
              </w:rPr>
              <w:instrText xml:space="preserve"> ADDIN ZOTERO_ITEM CSL_CITATION {"citationID":"u6SOzoRX","properties":{"formattedCitation":"(27)","plainCitation":"(27)","noteIndex":0},"citationItems":[{"id":361,"uris":["http://zotero.org/users/5142732/items/HA3888IL"],"itemData":{"id":361,"type":"article-journal","abstract":"Aerobic exercise (AE) has been shown to improve cognition in patients with schizophrenia. However, it remains unclear whether these exercise-induced cognitive benefits persist beyond the training period. Accordingly, the present study sought to examine the immediate and maintenance effects of AE on a wide range of cognitive functions in 75 schizophrenia patients randomized to 12 weeks of either moderate-intensity treadmill exercise or stretching and toning exercise that served as a control. Participants completed assessments of neurocognition and cardiovascular fitness at pretest, posttest, and 3-month follow-up. The results showed that the AE group outperformed the controls on processing speed and attention at the end of intervention. The two groups did not differ significantly in any cognitive outcome measured at follow-up; however, improvement over time was noted in certain cognitive domains in AE group. The average effect sizes at follow-up were 0.53 and 0.35 for AE and control groups, respectively. There were no significant between-group differences in aerobic fitness at posttest and follow-up, and that fitness level was not related to changes in cognitive performance. These findings provide preliminary evidence for a trend towards beneficial effects of physical activity on cognition over a short follow-up period in favor of AE. (PsycINFO Database Record (c) 2016 APA, all rights reserved)","archive":"psyh","archive_location":"2016-46081-062","container-title":"Psychiatry Research","DOI":"10.1016/j.psychres.2016.08.011","ISSN":"0165-1781","journalAbbreviation":"Psychiatry Research","page":"394-402","source":"EBSCOhost","title":"The effects of aerobic exercise on cognition in schizophrenia: A 3-month follow-up study","volume":"244","author":[{"family":"Su","given":"Chwen-Yng"},{"family":"Wang","given":"Peng-Wei"},{"family":"Lin","given":"Yi-Jean"},{"family":"Tang","given":"Tze-Chun"},{"family":"Liu","given":"Mei-Fang"},{"family":"Chen","given":"Ming-De"}],"issued":{"date-parts":[["2016",10,30]]}}}],"schema":"https://github.com/citation-style-language/schema/raw/master/csl-citation.json"} </w:instrText>
            </w:r>
            <w:r w:rsidRPr="00B41C09">
              <w:rPr>
                <w:rFonts w:ascii="Times New Roman" w:hAnsi="Times New Roman" w:cs="Times New Roman"/>
                <w:b w:val="0"/>
                <w:bCs w:val="0"/>
                <w:color w:val="000000" w:themeColor="text1"/>
                <w:sz w:val="24"/>
                <w:szCs w:val="24"/>
                <w:vertAlign w:val="superscript"/>
              </w:rPr>
              <w:fldChar w:fldCharType="separate"/>
            </w:r>
            <w:r w:rsidRPr="00B41C09">
              <w:rPr>
                <w:rFonts w:ascii="Times New Roman" w:hAnsi="Times New Roman" w:cs="Times New Roman"/>
                <w:b w:val="0"/>
                <w:bCs w:val="0"/>
                <w:noProof/>
                <w:color w:val="000000" w:themeColor="text1"/>
                <w:sz w:val="24"/>
                <w:szCs w:val="24"/>
                <w:vertAlign w:val="superscript"/>
              </w:rPr>
              <w:t>27</w:t>
            </w:r>
            <w:r w:rsidRPr="00B41C09">
              <w:rPr>
                <w:rFonts w:ascii="Times New Roman" w:hAnsi="Times New Roman" w:cs="Times New Roman"/>
                <w:b w:val="0"/>
                <w:bCs w:val="0"/>
                <w:color w:val="000000" w:themeColor="text1"/>
                <w:sz w:val="24"/>
                <w:szCs w:val="24"/>
                <w:vertAlign w:val="superscript"/>
              </w:rPr>
              <w:fldChar w:fldCharType="end"/>
            </w:r>
            <w:r w:rsidRPr="00B41C09">
              <w:rPr>
                <w:rFonts w:ascii="Times New Roman" w:hAnsi="Times New Roman" w:cs="Times New Roman"/>
                <w:b w:val="0"/>
                <w:bCs w:val="0"/>
                <w:color w:val="000000" w:themeColor="text1"/>
                <w:sz w:val="24"/>
                <w:szCs w:val="24"/>
              </w:rPr>
              <w:t xml:space="preserve">  </w:t>
            </w:r>
          </w:p>
        </w:tc>
        <w:tc>
          <w:tcPr>
            <w:tcW w:w="1134" w:type="dxa"/>
          </w:tcPr>
          <w:p w14:paraId="28065CC4"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c>
          <w:tcPr>
            <w:tcW w:w="1370" w:type="dxa"/>
          </w:tcPr>
          <w:p w14:paraId="172184D3"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383" w:type="dxa"/>
          </w:tcPr>
          <w:p w14:paraId="7BF16046"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383" w:type="dxa"/>
          </w:tcPr>
          <w:p w14:paraId="76076486"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p>
        </w:tc>
        <w:tc>
          <w:tcPr>
            <w:tcW w:w="1370" w:type="dxa"/>
          </w:tcPr>
          <w:p w14:paraId="14A855B4"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277" w:type="dxa"/>
          </w:tcPr>
          <w:p w14:paraId="18EC98F5"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p>
        </w:tc>
        <w:tc>
          <w:tcPr>
            <w:tcW w:w="1558" w:type="dxa"/>
          </w:tcPr>
          <w:p w14:paraId="47B4BC2E"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p>
        </w:tc>
      </w:tr>
      <w:tr w:rsidR="004A6D9F" w14:paraId="27C8F178" w14:textId="77777777" w:rsidTr="006A6D6A">
        <w:tc>
          <w:tcPr>
            <w:cnfStyle w:val="001000000000" w:firstRow="0" w:lastRow="0" w:firstColumn="1" w:lastColumn="0" w:oddVBand="0" w:evenVBand="0" w:oddHBand="0" w:evenHBand="0" w:firstRowFirstColumn="0" w:firstRowLastColumn="0" w:lastRowFirstColumn="0" w:lastRowLastColumn="0"/>
            <w:tcW w:w="3119" w:type="dxa"/>
            <w:tcBorders>
              <w:bottom w:val="single" w:sz="4" w:space="0" w:color="auto"/>
            </w:tcBorders>
          </w:tcPr>
          <w:p w14:paraId="5FB9CEF2" w14:textId="337523CA" w:rsidR="004A6D9F" w:rsidRPr="00B41C09" w:rsidRDefault="00B41C09"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val="0"/>
                <w:bCs w:val="0"/>
                <w:color w:val="000000" w:themeColor="text1"/>
                <w:sz w:val="24"/>
                <w:szCs w:val="24"/>
              </w:rPr>
            </w:pPr>
            <w:r w:rsidRPr="00B41C09">
              <w:rPr>
                <w:rFonts w:ascii="Times New Roman" w:hAnsi="Times New Roman" w:cs="Times New Roman"/>
                <w:b w:val="0"/>
                <w:bCs w:val="0"/>
                <w:color w:val="000000" w:themeColor="text1"/>
                <w:sz w:val="24"/>
                <w:szCs w:val="24"/>
              </w:rPr>
              <w:t>Woodward et al.</w:t>
            </w:r>
            <w:r w:rsidRPr="00B41C09">
              <w:rPr>
                <w:rFonts w:ascii="Times New Roman" w:hAnsi="Times New Roman" w:cs="Times New Roman"/>
                <w:b w:val="0"/>
                <w:bCs w:val="0"/>
                <w:color w:val="000000" w:themeColor="text1"/>
                <w:sz w:val="24"/>
                <w:szCs w:val="24"/>
                <w:vertAlign w:val="superscript"/>
              </w:rPr>
              <w:fldChar w:fldCharType="begin"/>
            </w:r>
            <w:r w:rsidRPr="00B41C09">
              <w:rPr>
                <w:rFonts w:ascii="Times New Roman" w:hAnsi="Times New Roman" w:cs="Times New Roman"/>
                <w:b w:val="0"/>
                <w:bCs w:val="0"/>
                <w:color w:val="000000" w:themeColor="text1"/>
                <w:sz w:val="24"/>
                <w:szCs w:val="24"/>
                <w:vertAlign w:val="superscript"/>
              </w:rPr>
              <w:instrText xml:space="preserve"> ADDIN ZOTERO_ITEM CSL_CITATION {"citationID":"04Zkevsl","properties":{"formattedCitation":"(26)","plainCitation":"(26)","noteIndex":0},"citationItems":[{"id":11,"uris":["http://zotero.org/users/5142732/items/P39YTIVK"],"itemData":{"id":11,"type":"article-newspaper","abstract":"Background: Schizophrenia is associated with poor cognitive function and elevated cardiometabolic disease risk. These health concerns may exacerbate neurocognitive dysfunction associated with hippocampal abnormalities, particularly hippocampal volume reductions. Regular exercise is thought to improve symptom severity, reduce depression, and improve cognition in schizophrenia, and may trigger exercise-mediated hippocampal growth. The potential for the benefits of exercise for treatment-resistant schizophrenia patients has not been clearly assessed. This study aims to assess the effect of exercise on hippocampal plasticity and clinical outcomes in chronic schizophrenia. Methods: Seventeen DSM-IV criteria schizophrenia or schizoaffective disorder patients completed a customized moderate intensity 12-week aerobic or weight-bearing exercise program. Adherence rates were 83% ± 9.4%) with 70% of participants completing the entire exercise program. Concomitant neuroimaging, clinical and cognitive assessments were obtained at baseline and 12-weeks. Results: At follow-up, symptom severity scores (t(16) = −16.8, p. ≤ 0.0001) and social functioning (t(16) = 4.4, p. = 0.0004) improved. A trend for improved depression scores (t(16) = −2.0, p. = 0.06) with no change in anxiety, or extrapyramidal symptoms were seen. Hippocampal volume increased (t(16) = −2.54, p. = 0.02), specifically in the left CA-1 field (F(16) = −2.33, p. = 0.03). Hippocampal vascular volume was unchanged. Change in hippocampal volume and vascular volume was not significantly correlated with change in symptom severity or affect scores. Conclusions: Adjunct exercise may accelerate symptom improvement in treatment-resistant psychosis patients. While the underlying mechanism remains unclear, these results indicate that chronic schizophrenia patients experience hippocampal plasticity in response to exercise. Study registration: Clinical Trials.gov NCT01392885.","container-title":"Schizophrenia Research","note":"DOI: 10.1016/j.schres.2018.06.054","title":"Hippocampal volume and vasculature before and after exercise in treatment-resistant schizophrenia","author":[{"family":"Woodward","given":"M. L."},{"family":"Gicas","given":"K. M."},{"family":"Warburton","given":"D. E."},{"family":"White","given":"R. F."},{"family":"Rauscher","given":"A."},{"family":"Leonova","given":"O."},{"family":"Su","given":"W."},{"family":"Smith","given":"G. N."},{"family":"Thornton","given":"A. E."},{"family":"Vertinsky","given":"A. T."},{"family":"Phillips","given":"A. A."},{"family":"Goghari","given":"V. M."},{"family":"Honer","given":"W. G."},{"family":"Lang","given":"D. J."}],"issued":{"date-parts":[["2018"]]}}}],"schema":"https://github.com/citation-style-language/schema/raw/master/csl-citation.json"} </w:instrText>
            </w:r>
            <w:r w:rsidRPr="00B41C09">
              <w:rPr>
                <w:rFonts w:ascii="Times New Roman" w:hAnsi="Times New Roman" w:cs="Times New Roman"/>
                <w:b w:val="0"/>
                <w:bCs w:val="0"/>
                <w:color w:val="000000" w:themeColor="text1"/>
                <w:sz w:val="24"/>
                <w:szCs w:val="24"/>
                <w:vertAlign w:val="superscript"/>
              </w:rPr>
              <w:fldChar w:fldCharType="separate"/>
            </w:r>
            <w:r w:rsidRPr="00B41C09">
              <w:rPr>
                <w:rFonts w:ascii="Times New Roman" w:hAnsi="Times New Roman" w:cs="Times New Roman"/>
                <w:b w:val="0"/>
                <w:bCs w:val="0"/>
                <w:noProof/>
                <w:color w:val="000000" w:themeColor="text1"/>
                <w:sz w:val="24"/>
                <w:szCs w:val="24"/>
                <w:vertAlign w:val="superscript"/>
              </w:rPr>
              <w:t>26</w:t>
            </w:r>
            <w:r w:rsidRPr="00B41C09">
              <w:rPr>
                <w:rFonts w:ascii="Times New Roman" w:hAnsi="Times New Roman" w:cs="Times New Roman"/>
                <w:b w:val="0"/>
                <w:bCs w:val="0"/>
                <w:color w:val="000000" w:themeColor="text1"/>
                <w:sz w:val="24"/>
                <w:szCs w:val="24"/>
                <w:vertAlign w:val="superscript"/>
              </w:rPr>
              <w:fldChar w:fldCharType="end"/>
            </w:r>
          </w:p>
        </w:tc>
        <w:tc>
          <w:tcPr>
            <w:tcW w:w="1134" w:type="dxa"/>
            <w:tcBorders>
              <w:bottom w:val="single" w:sz="4" w:space="0" w:color="auto"/>
            </w:tcBorders>
          </w:tcPr>
          <w:p w14:paraId="7644F58C"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c>
          <w:tcPr>
            <w:tcW w:w="1370" w:type="dxa"/>
            <w:tcBorders>
              <w:bottom w:val="single" w:sz="4" w:space="0" w:color="auto"/>
            </w:tcBorders>
          </w:tcPr>
          <w:p w14:paraId="4E8D01AE"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383" w:type="dxa"/>
            <w:tcBorders>
              <w:bottom w:val="single" w:sz="4" w:space="0" w:color="auto"/>
            </w:tcBorders>
          </w:tcPr>
          <w:p w14:paraId="128659CA"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c>
          <w:tcPr>
            <w:tcW w:w="1383" w:type="dxa"/>
            <w:tcBorders>
              <w:bottom w:val="single" w:sz="4" w:space="0" w:color="auto"/>
            </w:tcBorders>
          </w:tcPr>
          <w:p w14:paraId="472F4B3C"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c>
          <w:tcPr>
            <w:tcW w:w="1370" w:type="dxa"/>
            <w:tcBorders>
              <w:bottom w:val="single" w:sz="4" w:space="0" w:color="auto"/>
            </w:tcBorders>
          </w:tcPr>
          <w:p w14:paraId="7C66271E"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w:t>
            </w:r>
          </w:p>
        </w:tc>
        <w:tc>
          <w:tcPr>
            <w:tcW w:w="1277" w:type="dxa"/>
            <w:tcBorders>
              <w:bottom w:val="single" w:sz="4" w:space="0" w:color="auto"/>
            </w:tcBorders>
          </w:tcPr>
          <w:p w14:paraId="75F7A06F"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c>
          <w:tcPr>
            <w:tcW w:w="1558" w:type="dxa"/>
            <w:tcBorders>
              <w:bottom w:val="single" w:sz="4" w:space="0" w:color="auto"/>
            </w:tcBorders>
          </w:tcPr>
          <w:p w14:paraId="37D2A9CD" w14:textId="77777777" w:rsidR="004A6D9F" w:rsidRPr="00B0487B" w:rsidRDefault="004A6D9F" w:rsidP="006A6D6A">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p>
        </w:tc>
      </w:tr>
    </w:tbl>
    <w:p w14:paraId="62E453D2" w14:textId="77777777" w:rsidR="004A6D9F" w:rsidRDefault="004A6D9F" w:rsidP="004A6D9F">
      <w:pPr>
        <w:pStyle w:val="Body"/>
        <w:rPr>
          <w:rFonts w:ascii="Times New Roman" w:hAnsi="Times New Roman" w:cs="Times New Roman"/>
          <w:color w:val="000000" w:themeColor="text1"/>
          <w:sz w:val="24"/>
          <w:szCs w:val="24"/>
        </w:rPr>
      </w:pPr>
    </w:p>
    <w:p w14:paraId="6C708736" w14:textId="77777777" w:rsidR="004A6D9F" w:rsidRDefault="004A6D9F" w:rsidP="004A6D9F">
      <w:pPr>
        <w:pBdr>
          <w:top w:val="nil"/>
          <w:left w:val="nil"/>
          <w:bottom w:val="nil"/>
          <w:right w:val="nil"/>
          <w:between w:val="nil"/>
          <w:bar w:val="nil"/>
        </w:pBdr>
        <w:rPr>
          <w:color w:val="000000" w:themeColor="text1"/>
        </w:rPr>
      </w:pPr>
      <w:r>
        <w:rPr>
          <w:i/>
          <w:iCs/>
          <w:color w:val="000000" w:themeColor="text1"/>
        </w:rPr>
        <w:t xml:space="preserve">Note: </w:t>
      </w:r>
      <w:r>
        <w:rPr>
          <w:color w:val="000000" w:themeColor="text1"/>
        </w:rPr>
        <w:t xml:space="preserve">Domain A = Risk of bias due to selection bias; Domain B = Risk of bias due to study design; Domain C = Risk of bias due to confounders; Domain D = Risk of bias due to blinding; Domain E = Risk of bias due to data collection method; Domain F = Risk of bias due to withdrawals and drop-outs. W= weak; M=moderate; S=strong. These terms were used to be concordant with the PHRED quality assessment tool. Global Rating was determined as per the PHRED dictionary </w:t>
      </w:r>
      <w:r>
        <w:rPr>
          <w:color w:val="000000" w:themeColor="text1"/>
        </w:rPr>
        <w:fldChar w:fldCharType="begin"/>
      </w:r>
      <w:r>
        <w:rPr>
          <w:color w:val="000000" w:themeColor="text1"/>
        </w:rPr>
        <w:instrText xml:space="preserve"> ADDIN ZOTERO_ITEM CSL_CITATION {"citationID":"sqp9DXla","properties":{"formattedCitation":"\\super 20\\nosupersub{}","plainCitation":"20","noteIndex":0},"citationItems":[{"id":457,"uris":["http://zotero.org/users/5142732/items/3NHDRVA4"],"itemData":{"id":457,"type":"article-journal","abstract":"Background: Several groups have outlined methodologies for systematic literature reviews of the effectiveness of interventions. The Effective Public Health Practice Project (EPHPP) began in 1998. It...","container-title":"Worldviews on Evidence‐Based Nursing","DOI":"10.1111/j.1524-475X.2004.04006.x","ISSN":"1741-6787","issue":"3","language":"en","page":"176-184","source":"sigmapubs-onlinelibrary-wiley-com.ezproxy.library.uvic.ca","title":"A Process for Systematically Reviewing the Literature: Providing the Research Evidence for Public Health Nursing Interventions","title-short":"A Process for Systematically Reviewing the Literature","volume":"1","author":[{"family":"Thomas","given":"B. H."},{"family":"Ciliska","given":"D."},{"family":"Dobbins","given":"M."},{"family":"Micucci","given":"S."}],"issued":{"date-parts":[["2004",9,1]]}}}],"schema":"https://github.com/citation-style-language/schema/raw/master/csl-citation.json"} </w:instrText>
      </w:r>
      <w:r>
        <w:rPr>
          <w:color w:val="000000" w:themeColor="text1"/>
        </w:rPr>
        <w:fldChar w:fldCharType="separate"/>
      </w:r>
      <w:r w:rsidRPr="0099040E">
        <w:rPr>
          <w:color w:val="000000"/>
          <w:vertAlign w:val="superscript"/>
          <w:lang w:val="en-US"/>
        </w:rPr>
        <w:t>20</w:t>
      </w:r>
      <w:r>
        <w:rPr>
          <w:color w:val="000000" w:themeColor="text1"/>
        </w:rPr>
        <w:fldChar w:fldCharType="end"/>
      </w:r>
      <w:r>
        <w:rPr>
          <w:color w:val="000000" w:themeColor="text1"/>
        </w:rPr>
        <w:t>.</w:t>
      </w:r>
    </w:p>
    <w:p w14:paraId="34002059" w14:textId="77777777" w:rsidR="004A6D9F" w:rsidRDefault="004A6D9F" w:rsidP="004A6D9F">
      <w:pPr>
        <w:pBdr>
          <w:top w:val="nil"/>
          <w:left w:val="nil"/>
          <w:bottom w:val="nil"/>
          <w:right w:val="nil"/>
          <w:between w:val="nil"/>
          <w:bar w:val="nil"/>
        </w:pBdr>
        <w:rPr>
          <w:color w:val="000000" w:themeColor="text1"/>
        </w:rPr>
      </w:pPr>
    </w:p>
    <w:p w14:paraId="7F48D502" w14:textId="77777777" w:rsidR="00A87115" w:rsidRDefault="00A87115"/>
    <w:sectPr w:rsidR="00A87115" w:rsidSect="004A6D9F">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D9F"/>
    <w:rsid w:val="00312DA6"/>
    <w:rsid w:val="004A6D9F"/>
    <w:rsid w:val="00595EBB"/>
    <w:rsid w:val="00A87115"/>
    <w:rsid w:val="00B41C09"/>
    <w:rsid w:val="00E6669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980CC6B"/>
  <w15:chartTrackingRefBased/>
  <w15:docId w15:val="{449A0DF2-7E2D-0D47-9030-0126D2743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D9F"/>
    <w:rPr>
      <w:rFonts w:ascii="Times New Roman" w:eastAsia="Times New Roman" w:hAnsi="Times New Roman" w:cs="Times New Roman"/>
      <w:kern w:val="0"/>
      <w14:ligatures w14:val="none"/>
    </w:rPr>
  </w:style>
  <w:style w:type="paragraph" w:styleId="Heading2">
    <w:name w:val="heading 2"/>
    <w:basedOn w:val="Normal"/>
    <w:next w:val="Normal"/>
    <w:link w:val="Heading2Char"/>
    <w:uiPriority w:val="9"/>
    <w:unhideWhenUsed/>
    <w:qFormat/>
    <w:rsid w:val="004A6D9F"/>
    <w:pPr>
      <w:keepNext/>
      <w:keepLines/>
      <w:pBdr>
        <w:top w:val="nil"/>
        <w:left w:val="nil"/>
        <w:bottom w:val="nil"/>
        <w:right w:val="nil"/>
        <w:between w:val="nil"/>
        <w:bar w:val="nil"/>
      </w:pBdr>
      <w:spacing w:before="40"/>
      <w:outlineLvl w:val="1"/>
    </w:pPr>
    <w:rPr>
      <w:rFonts w:asciiTheme="majorHAnsi" w:eastAsiaTheme="majorEastAsia" w:hAnsiTheme="majorHAnsi" w:cstheme="majorBidi"/>
      <w:color w:val="2F5496" w:themeColor="accent1" w:themeShade="BF"/>
      <w:sz w:val="26"/>
      <w:szCs w:val="26"/>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A6D9F"/>
    <w:rPr>
      <w:rFonts w:asciiTheme="majorHAnsi" w:eastAsiaTheme="majorEastAsia" w:hAnsiTheme="majorHAnsi" w:cstheme="majorBidi"/>
      <w:color w:val="2F5496" w:themeColor="accent1" w:themeShade="BF"/>
      <w:kern w:val="0"/>
      <w:sz w:val="26"/>
      <w:szCs w:val="26"/>
      <w:bdr w:val="nil"/>
      <w:lang w:val="en-US"/>
      <w14:ligatures w14:val="none"/>
    </w:rPr>
  </w:style>
  <w:style w:type="paragraph" w:customStyle="1" w:styleId="Body">
    <w:name w:val="Body"/>
    <w:rsid w:val="004A6D9F"/>
    <w:pPr>
      <w:pBdr>
        <w:top w:val="nil"/>
        <w:left w:val="nil"/>
        <w:bottom w:val="nil"/>
        <w:right w:val="nil"/>
        <w:between w:val="nil"/>
        <w:bar w:val="nil"/>
      </w:pBdr>
    </w:pPr>
    <w:rPr>
      <w:rFonts w:ascii="Helvetica" w:eastAsia="Arial Unicode MS" w:hAnsi="Helvetica" w:cs="Arial Unicode MS"/>
      <w:color w:val="000000"/>
      <w:kern w:val="0"/>
      <w:sz w:val="22"/>
      <w:szCs w:val="22"/>
      <w:bdr w:val="nil"/>
      <w:lang w:val="en-US"/>
      <w14:ligatures w14:val="none"/>
    </w:rPr>
  </w:style>
  <w:style w:type="table" w:styleId="GridTable2">
    <w:name w:val="Grid Table 2"/>
    <w:basedOn w:val="TableNormal"/>
    <w:uiPriority w:val="47"/>
    <w:rsid w:val="004A6D9F"/>
    <w:pPr>
      <w:pBdr>
        <w:top w:val="nil"/>
        <w:left w:val="nil"/>
        <w:bottom w:val="nil"/>
        <w:right w:val="nil"/>
        <w:between w:val="nil"/>
        <w:bar w:val="nil"/>
      </w:pBdr>
    </w:pPr>
    <w:rPr>
      <w:rFonts w:ascii="Times New Roman" w:eastAsia="Arial Unicode MS" w:hAnsi="Times New Roman" w:cs="Times New Roman"/>
      <w:kern w:val="0"/>
      <w:sz w:val="20"/>
      <w:szCs w:val="20"/>
      <w:bdr w:val="nil"/>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5119</Words>
  <Characters>29184</Characters>
  <Application>Microsoft Office Word</Application>
  <DocSecurity>0</DocSecurity>
  <Lines>243</Lines>
  <Paragraphs>68</Paragraphs>
  <ScaleCrop>false</ScaleCrop>
  <Company/>
  <LinksUpToDate>false</LinksUpToDate>
  <CharactersWithSpaces>34235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atodd2@student.ubc.ca</dc:creator>
  <cp:keywords/>
  <dc:description/>
  <cp:lastModifiedBy>atodd2@student.ubc.ca</cp:lastModifiedBy>
  <cp:revision>2</cp:revision>
  <dcterms:created xsi:type="dcterms:W3CDTF">2023-06-24T21:05:00Z</dcterms:created>
  <dcterms:modified xsi:type="dcterms:W3CDTF">2023-09-01T21:47:00Z</dcterms:modified>
</cp:coreProperties>
</file>