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Assessing Calibration and Bias of a Deployed Machine Learning Malnutrition Prediction Model within a Large Healthcare System</w:t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Lathan Liou MPhil</w:t>
      </w:r>
      <w:r w:rsidDel="00000000" w:rsidR="00000000" w:rsidRPr="00000000">
        <w:rPr>
          <w:rFonts w:ascii="Times New Roman" w:cs="Times New Roman" w:eastAsia="Times New Roman" w:hAnsi="Times New Roman"/>
          <w:b w:val="1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, Erick Scott MD</w:t>
      </w:r>
      <w:r w:rsidDel="00000000" w:rsidR="00000000" w:rsidRPr="00000000">
        <w:rPr>
          <w:rFonts w:ascii="Times New Roman" w:cs="Times New Roman" w:eastAsia="Times New Roman" w:hAnsi="Times New Roman"/>
          <w:b w:val="1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, Prathamesh Parchure MS</w:t>
      </w:r>
      <w:r w:rsidDel="00000000" w:rsidR="00000000" w:rsidRPr="00000000">
        <w:rPr>
          <w:rFonts w:ascii="Times New Roman" w:cs="Times New Roman" w:eastAsia="Times New Roman" w:hAnsi="Times New Roman"/>
          <w:b w:val="1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, Yuxia Ouyang</w:t>
      </w:r>
      <w:r w:rsidDel="00000000" w:rsidR="00000000" w:rsidRPr="00000000">
        <w:rPr>
          <w:rFonts w:ascii="Times New Roman" w:cs="Times New Roman" w:eastAsia="Times New Roman" w:hAnsi="Times New Roman"/>
          <w:b w:val="1"/>
          <w:vertAlign w:val="superscript"/>
          <w:rtl w:val="0"/>
        </w:rPr>
        <w:t xml:space="preserve">4,5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, Natalia Egorova</w:t>
      </w:r>
      <w:r w:rsidDel="00000000" w:rsidR="00000000" w:rsidRPr="00000000">
        <w:rPr>
          <w:rFonts w:ascii="Times New Roman" w:cs="Times New Roman" w:eastAsia="Times New Roman" w:hAnsi="Times New Roman"/>
          <w:b w:val="1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, Robert Freeman RN</w:t>
      </w:r>
      <w:r w:rsidDel="00000000" w:rsidR="00000000" w:rsidRPr="00000000">
        <w:rPr>
          <w:rFonts w:ascii="Times New Roman" w:cs="Times New Roman" w:eastAsia="Times New Roman" w:hAnsi="Times New Roman"/>
          <w:b w:val="1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, Ira S. Hofer MD</w:t>
      </w:r>
      <w:r w:rsidDel="00000000" w:rsidR="00000000" w:rsidRPr="00000000">
        <w:rPr>
          <w:rFonts w:ascii="Times New Roman" w:cs="Times New Roman" w:eastAsia="Times New Roman" w:hAnsi="Times New Roman"/>
          <w:b w:val="1"/>
          <w:vertAlign w:val="superscript"/>
          <w:rtl w:val="0"/>
        </w:rPr>
        <w:t xml:space="preserve">5,6,7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, Girish N Nadkarni MD</w:t>
      </w:r>
      <w:r w:rsidDel="00000000" w:rsidR="00000000" w:rsidRPr="00000000">
        <w:rPr>
          <w:rFonts w:ascii="Times New Roman" w:cs="Times New Roman" w:eastAsia="Times New Roman" w:hAnsi="Times New Roman"/>
          <w:b w:val="1"/>
          <w:vertAlign w:val="superscript"/>
          <w:rtl w:val="0"/>
        </w:rPr>
        <w:t xml:space="preserve">6,7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, Prem Timsina PhD</w:t>
      </w:r>
      <w:r w:rsidDel="00000000" w:rsidR="00000000" w:rsidRPr="00000000">
        <w:rPr>
          <w:rFonts w:ascii="Times New Roman" w:cs="Times New Roman" w:eastAsia="Times New Roman" w:hAnsi="Times New Roman"/>
          <w:b w:val="1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, Arash Kia MD</w:t>
      </w:r>
      <w:r w:rsidDel="00000000" w:rsidR="00000000" w:rsidRPr="00000000">
        <w:rPr>
          <w:rFonts w:ascii="Times New Roman" w:cs="Times New Roman" w:eastAsia="Times New Roman" w:hAnsi="Times New Roman"/>
          <w:b w:val="1"/>
          <w:vertAlign w:val="superscript"/>
          <w:rtl w:val="0"/>
        </w:rPr>
        <w:t xml:space="preserve">3,5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, Matthew A Levin MD</w:t>
      </w:r>
      <w:r w:rsidDel="00000000" w:rsidR="00000000" w:rsidRPr="00000000">
        <w:rPr>
          <w:rFonts w:ascii="Times New Roman" w:cs="Times New Roman" w:eastAsia="Times New Roman" w:hAnsi="Times New Roman"/>
          <w:b w:val="1"/>
          <w:vertAlign w:val="superscript"/>
          <w:rtl w:val="0"/>
        </w:rPr>
        <w:t xml:space="preserve">3,5,6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Supplementary Appendix</w:t>
      </w:r>
    </w:p>
    <w:p w:rsidR="00000000" w:rsidDel="00000000" w:rsidP="00000000" w:rsidRDefault="00000000" w:rsidRPr="00000000" w14:paraId="00000006">
      <w:pPr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 1. Calibration Statistics for MUST-Plus Model for Asian Patients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40"/>
        <w:gridCol w:w="2340"/>
        <w:gridCol w:w="2325"/>
        <w:gridCol w:w="2355"/>
        <w:tblGridChange w:id="0">
          <w:tblGrid>
            <w:gridCol w:w="2340"/>
            <w:gridCol w:w="2340"/>
            <w:gridCol w:w="2325"/>
            <w:gridCol w:w="2355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12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No Recalibration (95% CI)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Recalibration in the Large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(95% CI)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Logistic Recalibration (95% CI)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Rescaled Brier Score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-0.01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(-0.26, -0.10)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0.23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(0.19, 0.26)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0.25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(0.22, 0.29)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Calibration Intercept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-1.61 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(-1.74, -1.50)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0.53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(0.41, 0.65)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Calibration Slope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1.63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(1.48, 1.77)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1.63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(1.50, 1.77)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Emax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0.33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(0.30, 0.35)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0.31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(0.22, 0.40)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0.05 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(0.01, 0.10)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Eavg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0.25</w:t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 (0.23, 0.26)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0.05</w:t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(0.04, 0.07)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0.007 </w:t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(0.002, 0.02)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 2. Calibration Statistics for MUST-Plus Model by Type of Payor</w:t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37.142857142857"/>
        <w:gridCol w:w="1337.142857142857"/>
        <w:gridCol w:w="1337.142857142857"/>
        <w:gridCol w:w="1337.142857142857"/>
        <w:gridCol w:w="1337.142857142857"/>
        <w:gridCol w:w="1337.142857142857"/>
        <w:gridCol w:w="1337.142857142857"/>
        <w:tblGridChange w:id="0">
          <w:tblGrid>
            <w:gridCol w:w="1337.142857142857"/>
            <w:gridCol w:w="1337.142857142857"/>
            <w:gridCol w:w="1337.142857142857"/>
            <w:gridCol w:w="1337.142857142857"/>
            <w:gridCol w:w="1337.142857142857"/>
            <w:gridCol w:w="1337.142857142857"/>
            <w:gridCol w:w="1337.142857142857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12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2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No Recalibration</w:t>
            </w:r>
          </w:p>
        </w:tc>
        <w:tc>
          <w:tcPr>
            <w:gridSpan w:val="3"/>
            <w:tcBorders>
              <w:top w:color="000000" w:space="0" w:sz="12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Logistic Recalibration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Medicare</w:t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(95% CI)</w:t>
            </w:r>
          </w:p>
        </w:tc>
        <w:tc>
          <w:tcPr>
            <w:tcBorders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Medicaid</w:t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(95% CI)</w:t>
            </w:r>
          </w:p>
        </w:tc>
        <w:tc>
          <w:tcPr>
            <w:tcBorders>
              <w:left w:color="000000" w:space="0" w:sz="0" w:val="nil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Commercial</w:t>
            </w:r>
          </w:p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(95% CI)</w:t>
            </w:r>
          </w:p>
        </w:tc>
        <w:tc>
          <w:tcPr>
            <w:tcBorders>
              <w:left w:color="000000" w:space="0" w:sz="6" w:val="single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Medicare</w:t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(95% CI)</w:t>
            </w:r>
          </w:p>
        </w:tc>
        <w:tc>
          <w:tcPr>
            <w:tcBorders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Medicaid</w:t>
            </w:r>
          </w:p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(95% CI)</w:t>
            </w:r>
          </w:p>
        </w:tc>
        <w:tc>
          <w:tcPr>
            <w:tcBorders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Commercial</w:t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(95% CI)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Rescaled Brier Score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-0.01 </w:t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(-0.02, -0.01)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0.05 </w:t>
            </w:r>
          </w:p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(0.04, 0.07)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0.26 </w:t>
            </w:r>
          </w:p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(0.26, 0.28)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0.2 (0.19, 0.21)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0.33 </w:t>
            </w:r>
          </w:p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(0.31, 0.35)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0.25</w:t>
            </w:r>
          </w:p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 (0.23, 0.26)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Calibration Intercept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-1.11 </w:t>
            </w:r>
          </w:p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(-1.14, -1.08)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-1.33 </w:t>
            </w:r>
          </w:p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(-1.38, -1.28)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0.55 </w:t>
            </w:r>
          </w:p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(0.50, 0.59)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Calibration Slope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1.55</w:t>
            </w:r>
          </w:p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(1.50, 1.60)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1.54 </w:t>
            </w:r>
          </w:p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(1.47, 1.61)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1.62 </w:t>
            </w:r>
          </w:p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(1.58, 1.67)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Emax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0.25 </w:t>
            </w:r>
          </w:p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(0.24, 0.26)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0.28 </w:t>
            </w:r>
          </w:p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(0.27, 0.29)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0.27 </w:t>
            </w:r>
          </w:p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(0.23, 0.30)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0.01 </w:t>
            </w:r>
          </w:p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(0.008, 0.02)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0.01 </w:t>
            </w:r>
          </w:p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(0.006, 0.04)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0.02 </w:t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(0.006, 0.04)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Eavg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0.18</w:t>
            </w:r>
          </w:p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 (0.17, 0.18)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0.20 </w:t>
            </w:r>
          </w:p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(0.19, 0.21)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0.06 </w:t>
            </w:r>
          </w:p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(0.05, 0.06)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0.005 (0.003, 0.008)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0.003 </w:t>
            </w:r>
          </w:p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(0.002, 0.007)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0.004 </w:t>
            </w:r>
          </w:p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(0.002, 0.008)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2">
      <w:pPr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 3.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Pairwise Empirical Bootstrap Differences in Calibration Intercept and Slope before Recalibration for Type of Payor</w:t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Comparison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Calibration Intercept Mean Difference (P-Value)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Calibration Slope Difference (P-value)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Medicaid - Commercial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0.31 (0)*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-0.007 (0.46)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Medicare - Commercial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0.53 (0)*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0.002 (0.47)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Medicare - Medicaid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0.22 (0)*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0.01 (0.40)</w:t>
            </w:r>
          </w:p>
        </w:tc>
      </w:tr>
    </w:tbl>
    <w:p w:rsidR="00000000" w:rsidDel="00000000" w:rsidP="00000000" w:rsidRDefault="00000000" w:rsidRPr="00000000" w14:paraId="0000009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*denotes statistical significance at Bonferroni adjusted threshold of 0.003</w:t>
      </w:r>
    </w:p>
    <w:p w:rsidR="00000000" w:rsidDel="00000000" w:rsidP="00000000" w:rsidRDefault="00000000" w:rsidRPr="00000000" w14:paraId="0000009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 4.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Calibration Statistics for MUST-Plus Model by Type of Hospital </w:t>
      </w:r>
    </w:p>
    <w:tbl>
      <w:tblPr>
        <w:tblStyle w:val="Table4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37.142857142857"/>
        <w:gridCol w:w="1337.142857142857"/>
        <w:gridCol w:w="1337.142857142857"/>
        <w:gridCol w:w="1337.142857142857"/>
        <w:gridCol w:w="1337.142857142857"/>
        <w:gridCol w:w="1337.142857142857"/>
        <w:gridCol w:w="1337.142857142857"/>
        <w:tblGridChange w:id="0">
          <w:tblGrid>
            <w:gridCol w:w="1337.142857142857"/>
            <w:gridCol w:w="1337.142857142857"/>
            <w:gridCol w:w="1337.142857142857"/>
            <w:gridCol w:w="1337.142857142857"/>
            <w:gridCol w:w="1337.142857142857"/>
            <w:gridCol w:w="1337.142857142857"/>
            <w:gridCol w:w="1337.142857142857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12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2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No Recalibration</w:t>
            </w:r>
          </w:p>
        </w:tc>
        <w:tc>
          <w:tcPr>
            <w:gridSpan w:val="3"/>
            <w:tcBorders>
              <w:top w:color="000000" w:space="0" w:sz="12" w:val="single"/>
              <w:left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Logistic Recalibration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Community Hospital</w:t>
            </w:r>
          </w:p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(95% CI)</w:t>
            </w:r>
          </w:p>
        </w:tc>
        <w:tc>
          <w:tcPr>
            <w:tcBorders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Tertiary Acute Care</w:t>
            </w:r>
          </w:p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(95% CI)</w:t>
            </w:r>
          </w:p>
        </w:tc>
        <w:tc>
          <w:tcPr>
            <w:tcBorders>
              <w:left w:color="000000" w:space="0" w:sz="0" w:val="nil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Quaternary Academic</w:t>
            </w:r>
          </w:p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(95% CI)</w:t>
            </w:r>
          </w:p>
        </w:tc>
        <w:tc>
          <w:tcPr>
            <w:tcBorders>
              <w:left w:color="000000" w:space="0" w:sz="6" w:val="single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Community Hospital</w:t>
            </w:r>
          </w:p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(95% CI)</w:t>
            </w:r>
          </w:p>
        </w:tc>
        <w:tc>
          <w:tcPr>
            <w:tcBorders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Tertiary Acute Care</w:t>
            </w:r>
          </w:p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(95% CI)</w:t>
            </w:r>
          </w:p>
        </w:tc>
        <w:tc>
          <w:tcPr>
            <w:tcBorders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Quaternary Academic</w:t>
            </w:r>
          </w:p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(95% CI)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Rescaled Brier Score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0.06 </w:t>
            </w:r>
          </w:p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(0.05, 0.08)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-0.02 </w:t>
            </w:r>
          </w:p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(-0.04, -0.01)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0.03</w:t>
            </w:r>
          </w:p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 (0.01, 0.03)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0.32 </w:t>
            </w:r>
          </w:p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(0.30, 0.34)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0.22 </w:t>
            </w:r>
          </w:p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(0.21, 0.24)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0.29 </w:t>
            </w:r>
          </w:p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(0.27, 0.30)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Calibration Intercept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-1.23 </w:t>
            </w:r>
          </w:p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(-1.28, -1.18)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-1.22 </w:t>
            </w:r>
          </w:p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(-1.26, -1.17)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-1.30 </w:t>
            </w:r>
          </w:p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(-1.34, -1.26)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Calibration Slope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1.64  </w:t>
            </w:r>
          </w:p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(1.50, 1.60)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1.47 </w:t>
            </w:r>
          </w:p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(1.42, 1.53)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1.58</w:t>
            </w:r>
          </w:p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(1.52, 1.64)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Emax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0.27 </w:t>
            </w:r>
          </w:p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(0.25, 0.28)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0.26 </w:t>
            </w:r>
          </w:p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(0.25, 0.27)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0.28 </w:t>
            </w:r>
          </w:p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(0.27, 0.29)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0.043 </w:t>
            </w:r>
          </w:p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(0.01, 0.08)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0.008</w:t>
            </w:r>
          </w:p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 (0.005, 0.03)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0.02 </w:t>
            </w:r>
          </w:p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(0.01, 0.03)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Eavg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0.19 </w:t>
            </w:r>
          </w:p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(0.19, 0.20)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0.19</w:t>
            </w:r>
          </w:p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 (0.19, 0.20)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0.20 (0.19, 0.20)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0.005 </w:t>
            </w:r>
          </w:p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(0.002, 0.010)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0.003 </w:t>
            </w:r>
          </w:p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(0.002, 0.007)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18"/>
                <w:szCs w:val="18"/>
                <w:highlight w:val="white"/>
                <w:rtl w:val="0"/>
              </w:rPr>
              <w:t xml:space="preserve">0.007 (0.004, 0.01)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1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 5.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Pairwise Empirical Bootstrap Differences in Calibration Intercept and Slope before Recalibration by Type of Hospital</w:t>
      </w:r>
    </w:p>
    <w:tbl>
      <w:tblPr>
        <w:tblStyle w:val="Table5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Comparison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Calibration Intercept Mean Difference (P-Value)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Calibration Slope Difference (P-value)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Tertiary - Community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0.01 (0.37)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-0.17 (0)*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Quaternary - Community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-0.07 (0.02)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-0.06 (0.08)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Quaternary - Tertiary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-0.08 (0.005)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0.11 (0.003)</w:t>
            </w:r>
          </w:p>
        </w:tc>
      </w:tr>
    </w:tbl>
    <w:p w:rsidR="00000000" w:rsidDel="00000000" w:rsidP="00000000" w:rsidRDefault="00000000" w:rsidRPr="00000000" w14:paraId="000000EF">
      <w:pPr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*denotes statistical significance at Bonferroni adjusted threshold of 0.003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  <w:drawing>
                <wp:inline distB="114300" distT="114300" distL="114300" distR="114300">
                  <wp:extent cx="2838450" cy="2882900"/>
                  <wp:effectExtent b="0" l="0" r="0" t="0"/>
                  <wp:docPr id="16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882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  <w:drawing>
                <wp:inline distB="114300" distT="114300" distL="114300" distR="114300">
                  <wp:extent cx="2838450" cy="2882900"/>
                  <wp:effectExtent b="0" l="0" r="0" t="0"/>
                  <wp:docPr id="9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882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  <w:drawing>
                <wp:inline distB="114300" distT="114300" distL="114300" distR="114300">
                  <wp:extent cx="2838450" cy="2882900"/>
                  <wp:effectExtent b="0" l="0" r="0" t="0"/>
                  <wp:docPr id="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882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  <w:drawing>
                <wp:inline distB="114300" distT="114300" distL="114300" distR="114300">
                  <wp:extent cx="2838450" cy="2882900"/>
                  <wp:effectExtent b="0" l="0" r="0" t="0"/>
                  <wp:docPr id="11" name="image14.png"/>
                  <a:graphic>
                    <a:graphicData uri="http://schemas.openxmlformats.org/drawingml/2006/picture">
                      <pic:pic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882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  <w:drawing>
                <wp:inline distB="114300" distT="114300" distL="114300" distR="114300">
                  <wp:extent cx="2838450" cy="2882900"/>
                  <wp:effectExtent b="0" l="0" r="0" t="0"/>
                  <wp:docPr id="4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882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F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  <w:drawing>
                <wp:inline distB="114300" distT="114300" distL="114300" distR="114300">
                  <wp:extent cx="2838450" cy="2882900"/>
                  <wp:effectExtent b="0" l="0" r="0" t="0"/>
                  <wp:docPr id="14" name="image16.png"/>
                  <a:graphic>
                    <a:graphicData uri="http://schemas.openxmlformats.org/drawingml/2006/picture">
                      <pic:pic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882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7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Figure 1.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Histograms of bootstrapped calibration intercepts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left column)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calibration slopes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right column)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A-B) Black and White patients C-D) male and female patients E-F) 2021 and 2022</w:t>
      </w:r>
    </w:p>
    <w:p w:rsidR="00000000" w:rsidDel="00000000" w:rsidP="00000000" w:rsidRDefault="00000000" w:rsidRPr="00000000" w14:paraId="000000F8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2838450" cy="2882900"/>
                  <wp:effectExtent b="0" l="0" r="0" t="0"/>
                  <wp:docPr id="7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882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2838450" cy="2882900"/>
                  <wp:effectExtent b="0" l="0" r="0" t="0"/>
                  <wp:docPr id="1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882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2838450" cy="2882900"/>
                  <wp:effectExtent b="0" l="0" r="0" t="0"/>
                  <wp:docPr id="1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882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  <w:drawing>
                <wp:inline distB="114300" distT="114300" distL="114300" distR="114300">
                  <wp:extent cx="2838450" cy="2882900"/>
                  <wp:effectExtent b="0" l="0" r="0" t="0"/>
                  <wp:docPr id="3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882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E">
      <w:pPr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Figure 2.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Histograms of bootstrapped calibration intercepts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left column)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calibration slopes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right column)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A-B) payor types and C-D) hospital types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360.0" w:type="dxa"/>
        <w:jc w:val="left"/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  <w:drawing>
                <wp:inline distB="114300" distT="114300" distL="114300" distR="114300">
                  <wp:extent cx="1847850" cy="1320800"/>
                  <wp:effectExtent b="0" l="0" r="0" t="0"/>
                  <wp:docPr id="13" name="image15.png"/>
                  <a:graphic>
                    <a:graphicData uri="http://schemas.openxmlformats.org/drawingml/2006/picture">
                      <pic:pic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320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  <w:drawing>
                <wp:inline distB="114300" distT="114300" distL="114300" distR="114300">
                  <wp:extent cx="1847850" cy="1320800"/>
                  <wp:effectExtent b="0" l="0" r="0" t="0"/>
                  <wp:docPr id="6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320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  <w:drawing>
                <wp:inline distB="114300" distT="114300" distL="114300" distR="114300">
                  <wp:extent cx="1847850" cy="1320800"/>
                  <wp:effectExtent b="0" l="0" r="0" t="0"/>
                  <wp:docPr id="15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320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3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Figure 3.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Calibration curves for different payor types. Columns from left to right are curves for No Recalibration, Recalibration-in-the-Large, and Logistic Recalibration. </w:t>
      </w:r>
    </w:p>
    <w:p w:rsidR="00000000" w:rsidDel="00000000" w:rsidP="00000000" w:rsidRDefault="00000000" w:rsidRPr="00000000" w14:paraId="00000104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360.0" w:type="dxa"/>
        <w:jc w:val="left"/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1847850" cy="1320800"/>
                  <wp:effectExtent b="0" l="0" r="0" t="0"/>
                  <wp:docPr id="2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320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  <w:drawing>
                <wp:inline distB="114300" distT="114300" distL="114300" distR="114300">
                  <wp:extent cx="1847850" cy="1320800"/>
                  <wp:effectExtent b="0" l="0" r="0" t="0"/>
                  <wp:docPr id="8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320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1847850" cy="1320800"/>
                  <wp:effectExtent b="0" l="0" r="0" t="0"/>
                  <wp:docPr id="10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320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9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Figure 4.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Calibration curves for different hospital types. Columns from left to right are curves for No Recalibration, Recalibration-in-the-Large, and Logistic Recalibration.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6.png"/><Relationship Id="rId11" Type="http://schemas.openxmlformats.org/officeDocument/2006/relationships/image" Target="media/image16.png"/><Relationship Id="rId10" Type="http://schemas.openxmlformats.org/officeDocument/2006/relationships/image" Target="media/image7.png"/><Relationship Id="rId21" Type="http://schemas.openxmlformats.org/officeDocument/2006/relationships/image" Target="media/image8.png"/><Relationship Id="rId13" Type="http://schemas.openxmlformats.org/officeDocument/2006/relationships/image" Target="media/image4.png"/><Relationship Id="rId12" Type="http://schemas.openxmlformats.org/officeDocument/2006/relationships/image" Target="media/image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4.png"/><Relationship Id="rId15" Type="http://schemas.openxmlformats.org/officeDocument/2006/relationships/image" Target="media/image10.png"/><Relationship Id="rId14" Type="http://schemas.openxmlformats.org/officeDocument/2006/relationships/image" Target="media/image2.png"/><Relationship Id="rId17" Type="http://schemas.openxmlformats.org/officeDocument/2006/relationships/image" Target="media/image12.png"/><Relationship Id="rId16" Type="http://schemas.openxmlformats.org/officeDocument/2006/relationships/image" Target="media/image15.png"/><Relationship Id="rId5" Type="http://schemas.openxmlformats.org/officeDocument/2006/relationships/styles" Target="styles.xml"/><Relationship Id="rId19" Type="http://schemas.openxmlformats.org/officeDocument/2006/relationships/image" Target="media/image9.png"/><Relationship Id="rId6" Type="http://schemas.openxmlformats.org/officeDocument/2006/relationships/image" Target="media/image5.png"/><Relationship Id="rId18" Type="http://schemas.openxmlformats.org/officeDocument/2006/relationships/image" Target="media/image13.png"/><Relationship Id="rId7" Type="http://schemas.openxmlformats.org/officeDocument/2006/relationships/image" Target="media/image1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