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1563B" w14:textId="356B119C" w:rsidR="008A0E31" w:rsidRDefault="00D07D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02008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S:</w:t>
      </w:r>
    </w:p>
    <w:tbl>
      <w:tblPr>
        <w:tblW w:w="100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"/>
        <w:gridCol w:w="3740"/>
        <w:gridCol w:w="4060"/>
        <w:gridCol w:w="1120"/>
      </w:tblGrid>
      <w:tr w:rsidR="0002008A" w:rsidRPr="00732E37" w14:paraId="421F81AF" w14:textId="77777777" w:rsidTr="007A7073">
        <w:tc>
          <w:tcPr>
            <w:tcW w:w="1140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54A576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Primer</w:t>
            </w:r>
          </w:p>
        </w:tc>
        <w:tc>
          <w:tcPr>
            <w:tcW w:w="3740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5C72E3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Forward Primer Sequence (5’ → 3’)</w:t>
            </w:r>
          </w:p>
        </w:tc>
        <w:tc>
          <w:tcPr>
            <w:tcW w:w="4060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B05232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Reverse Primer Sequence (5’ → 3’)</w:t>
            </w:r>
          </w:p>
        </w:tc>
        <w:tc>
          <w:tcPr>
            <w:tcW w:w="1120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4E18F1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Reference</w:t>
            </w:r>
          </w:p>
        </w:tc>
      </w:tr>
      <w:tr w:rsidR="0002008A" w:rsidRPr="00732E37" w14:paraId="6FCB57A7" w14:textId="77777777" w:rsidTr="007A7073">
        <w:tc>
          <w:tcPr>
            <w:tcW w:w="11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BEEFE3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Gapdh</w:t>
            </w:r>
            <w:proofErr w:type="spellEnd"/>
          </w:p>
        </w:tc>
        <w:tc>
          <w:tcPr>
            <w:tcW w:w="37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05C516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CCGCATCTTCTTGTGCAGTG</w:t>
            </w:r>
          </w:p>
        </w:tc>
        <w:tc>
          <w:tcPr>
            <w:tcW w:w="40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66ACDE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GGTAACCAGGCGTCCGATAC</w:t>
            </w:r>
          </w:p>
        </w:tc>
        <w:tc>
          <w:tcPr>
            <w:tcW w:w="11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028C41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This study</w:t>
            </w:r>
          </w:p>
        </w:tc>
      </w:tr>
      <w:tr w:rsidR="0002008A" w:rsidRPr="00732E37" w14:paraId="4970614F" w14:textId="77777777" w:rsidTr="007A7073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EE8ACA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Hprt</w:t>
            </w:r>
            <w:proofErr w:type="spellEnd"/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4F6197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aps/>
                <w:color w:val="000000" w:themeColor="text1"/>
                <w:kern w:val="24"/>
                <w:sz w:val="20"/>
                <w:szCs w:val="20"/>
              </w:rPr>
              <w:t>gaccggttctgtcatgtcg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5FC183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aps/>
                <w:color w:val="000000" w:themeColor="text1"/>
                <w:kern w:val="24"/>
                <w:sz w:val="20"/>
                <w:szCs w:val="20"/>
              </w:rPr>
              <w:t>acctggttcatcatcactaatcac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8F8866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</w:rPr>
              <w:t>11</w:t>
            </w:r>
          </w:p>
        </w:tc>
      </w:tr>
      <w:tr w:rsidR="0002008A" w:rsidRPr="00732E37" w14:paraId="740C7DB6" w14:textId="77777777" w:rsidTr="007A7073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51ECA3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Actb</w:t>
            </w:r>
            <w:proofErr w:type="spellEnd"/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F01A5C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CAACCTTCTTGCAGCTCCTC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2FF9B0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AGGGTCAGGATGCCTCTCTT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8AAC9B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</w:rPr>
              <w:t>12</w:t>
            </w:r>
          </w:p>
        </w:tc>
      </w:tr>
      <w:tr w:rsidR="0002008A" w:rsidRPr="00732E37" w14:paraId="14690534" w14:textId="77777777" w:rsidTr="007A7073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3FB34B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Tbp</w:t>
            </w:r>
            <w:proofErr w:type="spellEnd"/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CE079C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TTCTGGGAAAATGGTGTGC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06AA76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CCCACCATGTTCTGGATCTT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C652F3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</w:rPr>
              <w:t>13</w:t>
            </w:r>
          </w:p>
        </w:tc>
      </w:tr>
      <w:tr w:rsidR="0002008A" w:rsidRPr="00732E37" w14:paraId="77D6F4E9" w14:textId="77777777" w:rsidTr="007A7073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F955F6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Rpl19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638F71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ACCTGGATGCGAAGGATGAG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82AA0E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CCATGAGAATCCGCTTGTTT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C2CA48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</w:rPr>
              <w:t>14</w:t>
            </w:r>
          </w:p>
        </w:tc>
      </w:tr>
      <w:tr w:rsidR="0002008A" w:rsidRPr="00732E37" w14:paraId="15AACFD2" w14:textId="77777777" w:rsidTr="007A7073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7E76CC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Tfrc</w:t>
            </w:r>
            <w:proofErr w:type="spellEnd"/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A0362A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GTTGTTGAGGCAGACCTTCA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4AE318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ATGACTGAGATGGCGGAAAC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F6D089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This study</w:t>
            </w:r>
          </w:p>
        </w:tc>
      </w:tr>
      <w:tr w:rsidR="0002008A" w:rsidRPr="00732E37" w14:paraId="3DEC539F" w14:textId="77777777" w:rsidTr="007A7073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F359AB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B2m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C3DFAC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GTCGTGCTTGCCATTCAGA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688832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ATTTGAGGTGGGTGGAACTG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3DE7A5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</w:rPr>
              <w:t>15</w:t>
            </w:r>
          </w:p>
        </w:tc>
      </w:tr>
      <w:tr w:rsidR="0002008A" w:rsidRPr="00732E37" w14:paraId="6C41AA0C" w14:textId="77777777" w:rsidTr="007A7073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50DAD2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Polr2f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E77EE1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AAAATGCTGAGGAGGAGGGTC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FB80B7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TGGAGTGGTGATACGCTTCTG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85B36F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This study</w:t>
            </w:r>
          </w:p>
        </w:tc>
      </w:tr>
      <w:tr w:rsidR="0002008A" w:rsidRPr="00732E37" w14:paraId="4D7F2F88" w14:textId="77777777" w:rsidTr="007A7073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2590D0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Egf</w:t>
            </w:r>
            <w:proofErr w:type="spellEnd"/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31382D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ACCAACACGGAGGGAGGCTACAA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451486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GCGGTCCACGGATTCAACATACA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315463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</w:rPr>
              <w:t>16</w:t>
            </w:r>
          </w:p>
        </w:tc>
      </w:tr>
      <w:tr w:rsidR="0002008A" w:rsidRPr="00732E37" w14:paraId="6B694D0C" w14:textId="77777777" w:rsidTr="007A7073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4F5EE2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Hif1a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F7BBD9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AAGTCAGCAACGTGGAAGGT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EE5311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CGTCATAGGCGGTTTCTTGT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F587D8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</w:rPr>
              <w:t>17</w:t>
            </w:r>
          </w:p>
        </w:tc>
      </w:tr>
      <w:tr w:rsidR="0002008A" w:rsidRPr="00732E37" w14:paraId="2DDD42FB" w14:textId="77777777" w:rsidTr="007A7073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BDAE8F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Vegfa</w:t>
            </w:r>
            <w:proofErr w:type="spellEnd"/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DE7EB0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AAGTGACCACATTCACTGTGAGCCT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AEFE82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GCTCACCGCCTTGGCTTGTCA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66692B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</w:rPr>
              <w:t>18</w:t>
            </w:r>
          </w:p>
        </w:tc>
      </w:tr>
      <w:tr w:rsidR="0002008A" w:rsidRPr="00732E37" w14:paraId="2233444A" w14:textId="77777777" w:rsidTr="007A7073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5F5F0B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Hepc</w:t>
            </w:r>
            <w:proofErr w:type="spellEnd"/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CDFAE5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GGCAGAAAGCAAGACTGATGAC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1EEB20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ACAGGAATAAATAATGGGGCG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2EEC7E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</w:rPr>
              <w:t>19</w:t>
            </w:r>
          </w:p>
        </w:tc>
      </w:tr>
      <w:tr w:rsidR="0002008A" w:rsidRPr="00732E37" w14:paraId="42F0D650" w14:textId="77777777" w:rsidTr="007A7073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CF8C4C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Epo</w:t>
            </w:r>
            <w:proofErr w:type="spellEnd"/>
          </w:p>
        </w:tc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460909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GAATTGATGTCGCCTCCAGA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D59EC5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TGGAGTAGACCCGGAAGAGCT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38D92F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</w:rPr>
              <w:t>20</w:t>
            </w:r>
          </w:p>
        </w:tc>
      </w:tr>
      <w:tr w:rsidR="0002008A" w:rsidRPr="00732E37" w14:paraId="2272A6EB" w14:textId="77777777" w:rsidTr="007A7073">
        <w:tc>
          <w:tcPr>
            <w:tcW w:w="114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5A86D1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sz w:val="20"/>
                <w:szCs w:val="20"/>
              </w:rPr>
              <w:t>HK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F2CBE8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aps/>
                <w:color w:val="000000" w:themeColor="text1"/>
                <w:kern w:val="24"/>
                <w:sz w:val="20"/>
                <w:szCs w:val="20"/>
              </w:rPr>
              <w:t>tctgggcttcaccttctcat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853DCD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aps/>
                <w:color w:val="000000" w:themeColor="text1"/>
                <w:kern w:val="24"/>
                <w:sz w:val="20"/>
                <w:szCs w:val="20"/>
              </w:rPr>
              <w:t xml:space="preserve">atcaagattccacagtccaggt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A0B5FF" w14:textId="77777777" w:rsidR="0002008A" w:rsidRPr="00732E37" w:rsidRDefault="0002008A" w:rsidP="007A707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732E37">
              <w:rPr>
                <w:rFonts w:ascii="Calibri" w:eastAsia="Times New Roman" w:hAnsi="Calibri" w:cs="Calibri"/>
                <w:color w:val="000000" w:themeColor="text1"/>
                <w:kern w:val="24"/>
                <w:position w:val="6"/>
                <w:sz w:val="20"/>
                <w:szCs w:val="20"/>
                <w:vertAlign w:val="superscript"/>
              </w:rPr>
              <w:t>11</w:t>
            </w:r>
          </w:p>
        </w:tc>
      </w:tr>
    </w:tbl>
    <w:p w14:paraId="1C985344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1 Zhong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HSimons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JW. Direct comparison of GAPDH, beta-actin, cyclophilin, and 28S rRNA as internal standards for quantifying RNA levels under hypoxia.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Biochem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Biophys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Res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Commun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. 1999; 259: 523-526.</w:t>
      </w:r>
    </w:p>
    <w:p w14:paraId="1ABF0650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2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Foldager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CB, Munir, S,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Ulrik-Vinther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M,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Soballe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K, Bunger,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CLind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M. Validation of suitable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house keeping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genes for hypoxia-cultured human chondrocytes. BMC Mol Biol. 2009; 10: 94.</w:t>
      </w:r>
    </w:p>
    <w:p w14:paraId="2D61DDCA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3 Zhang JY, Zhang, F, Hong, CQ, Giuliano, AE, Cui, XJ, Zhou, GJ, Zhang,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GJCui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, YK. Critical protein GAPDH and its regulatory mechanisms in cancer cells. Cancer Biol Med. 2015; 12: 10-22.</w:t>
      </w:r>
    </w:p>
    <w:p w14:paraId="1E86671A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4 Muraoka WT, Granados, JC, Gomez, BI, Nicholson, SE, Chung, KK,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Shupp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JW, Bynum, JA,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Dubick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MABurmeister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, DM. Burn resuscitation strategy influences the gut microbiota-liver axis in swine. Sci Rep. 2020; 10: 15655.</w:t>
      </w:r>
    </w:p>
    <w:p w14:paraId="252E0652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5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Ramakers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C,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Ruijter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JM,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Deprez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RHMoorman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AF. Assumption-free analysis of quantitative real-time polymerase chain reaction (PCR) data.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Neurosci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Lett. 2003; 339: 62-66.</w:t>
      </w:r>
    </w:p>
    <w:p w14:paraId="71B54244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6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Ruijter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JM,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Ramakers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C,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Hoogaars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WM,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Karlen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Y, Bakker, O, van den Hoff,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MJMoorman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, AF. Amplification efficiency: linking baseline and bias in the analysis of quantitative PCR data. Nucleic Acids Res. 2009; 37: e45.</w:t>
      </w:r>
    </w:p>
    <w:p w14:paraId="51BC19AC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7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Karlen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Y, McNair, A,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Perseguers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S, Mazza,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CMermod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, N. Statistical significance of quantitative PCR. BMC Bioinformatics. 2007; 8: 131.</w:t>
      </w:r>
    </w:p>
    <w:p w14:paraId="3831B5C6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8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Vandesompele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J, De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Preter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K,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Pattyn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F,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Poppe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B, Van Roy, N, De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Paepe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ASpeleman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, F. Accurate normalization of real-time quantitative RT-PCR data by geometric averaging of multiple internal control genes. Genome Biol. 2002; 3: RESEARCH0034.</w:t>
      </w:r>
    </w:p>
    <w:p w14:paraId="6617420C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9 Andersen CL, Jensen,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JLOrntoft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, TF. Normalization of real-time quantitative reverse transcription-PCR data: a model-based variance estimation approach to identify genes suited for normalization, applied to bladder and colon cancer data sets. Cancer Res. 2004; 64: 5245-5250.</w:t>
      </w:r>
    </w:p>
    <w:p w14:paraId="254DAD63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10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Pfaffl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MW. A new mathematical model for relative quantification in real-time RT-PCR. Nucleic Acids Res. 2001; 29: e45.</w:t>
      </w:r>
    </w:p>
    <w:p w14:paraId="30017F70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11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Waskova-Arnostova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P,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Kasparova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D,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Elsnicova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B, Novotny, J, Neckar, J, Kolar,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FZurmanova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J. Chronic hypoxia enhances expression and activity of mitochondrial creatine kinase and hexokinase in the rat ventricular myocardium. Cell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Physiol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Biochem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. 2014; 33: 310-320.</w:t>
      </w:r>
    </w:p>
    <w:p w14:paraId="4482C8AC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12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Soultanova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A, Mikulski, Z,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Pfeil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U, Grau,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VKummer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W. Calcitonin Peptide Family Members Are Differentially Regulated by LPS and Inhibit Functions of Rat Alveolar NR8383 Macrophages.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PLoS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One. 2016; 11: e0163483.</w:t>
      </w:r>
    </w:p>
    <w:p w14:paraId="68595848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13 Tan SC,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Carr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CA, Yeoh, KK, Schofield, CJ, Davies,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KEClarke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K. Identification of valid housekeeping genes for quantitative RT-PCR analysis of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cardiosphere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-derived cells preconditioned under hypoxia or with prolyl-4-hydroxylase inhibitors. Mol Biol Rep. 2012; 39: 4857-4867.</w:t>
      </w:r>
    </w:p>
    <w:p w14:paraId="469CAE47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14 Zhou L, Lim, QE, Wan,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GToo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, HP. Normalization with genes encoding ribosomal proteins but not GAPDH provides an accurate quantification of gene expressions in neuronal differentiation of PC12 cells. BMC Genomics. 2010; 11: 75.</w:t>
      </w:r>
    </w:p>
    <w:p w14:paraId="03D6B7C2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15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Yurube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T, Takada, T, Hirata, H, Kakutani, K,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Maeno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K, Zhang, Z, Yamamoto, J,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Doita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M,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Kurosaka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MNishida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K. Modified house-keeping gene expression in a rat tail compression loading-induced disc degeneration model. J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Orthop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Res. 2011; 29: 1284-1290.</w:t>
      </w:r>
    </w:p>
    <w:p w14:paraId="5F543869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16 Deming L,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Ziwei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L,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Xueqiang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GCunshuan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X. Restoration of CpG Methylation in The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Egf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Promoter Region during Rat Liver Regeneration. Cell J. 2015; 17: 576-581.</w:t>
      </w:r>
    </w:p>
    <w:p w14:paraId="3D04F10E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17 Giusti B, Marini, M, Rossi, L,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Lapini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I, Magi, A,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Capalbo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A,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Lapalombella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R, di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Tullio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S,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Samaja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M, Esposito, F et al. Gene expression profile of rat left ventricles reveals persisting changes following chronic mild exercise protocol: implications for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cardioprotection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. BMC Genomics. 2009; 10: 342.</w:t>
      </w:r>
    </w:p>
    <w:p w14:paraId="01A088EC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18 Han L, Li, J, Chen, Y, Zhang, M, Qian, L, Chen, Y, Wu, Z, Xu,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YLi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J. Human Urinary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Kallidinogenase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Promotes Angiogenesis and Cerebral Perfusion in Experimental Stroke.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PLoS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One. 2015; 10: e0134543.</w:t>
      </w:r>
    </w:p>
    <w:p w14:paraId="06B16941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19 Merle U, Fein, E,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Gehrke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SG,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Stremmel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WKulaksiz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, H. The iron regulatory peptide hepcidin is expressed in the heart and regulated by hypoxia and inflammation. Endocrinology. 2007; 148: 2663-2668.</w:t>
      </w:r>
    </w:p>
    <w:p w14:paraId="5F1F99D6" w14:textId="77777777" w:rsidR="0002008A" w:rsidRDefault="0002008A" w:rsidP="0002008A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20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Kletkiewicz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 H,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Hyjek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M, Jaworski, K,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Nowakowska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 xml:space="preserve">,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ARogalska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16"/>
          <w:szCs w:val="16"/>
        </w:rPr>
        <w:t>, J. Activation of hypoxia-inducible factor-1alpha in rat brain after perinatal anoxia: role of body temperature. Int J Hyperthermia. 2018; 34: 824-833.</w:t>
      </w:r>
    </w:p>
    <w:p w14:paraId="24E00A5C" w14:textId="77777777" w:rsidR="00D07D23" w:rsidRPr="00D07D23" w:rsidRDefault="00D07D23">
      <w:pPr>
        <w:rPr>
          <w:rFonts w:ascii="Times New Roman" w:hAnsi="Times New Roman" w:cs="Times New Roman"/>
          <w:sz w:val="24"/>
          <w:szCs w:val="24"/>
        </w:rPr>
      </w:pPr>
    </w:p>
    <w:sectPr w:rsidR="00D07D23" w:rsidRPr="00D07D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D23"/>
    <w:rsid w:val="0002008A"/>
    <w:rsid w:val="002910E5"/>
    <w:rsid w:val="007A3BE8"/>
    <w:rsid w:val="008A0E31"/>
    <w:rsid w:val="00CE2E2C"/>
    <w:rsid w:val="00D0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E0A31"/>
  <w15:chartTrackingRefBased/>
  <w15:docId w15:val="{0F2975FA-E4DA-4809-867E-053A5F8BA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200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769</Words>
  <Characters>4385</Characters>
  <Application>Microsoft Office Word</Application>
  <DocSecurity>0</DocSecurity>
  <Lines>36</Lines>
  <Paragraphs>10</Paragraphs>
  <ScaleCrop>false</ScaleCrop>
  <Company>Defense Health Agency</Company>
  <LinksUpToDate>false</LinksUpToDate>
  <CharactersWithSpaces>5144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Wu, Xiaowu CIV USARMY USAISR (USA)</dc:creator>
  <cp:keywords/>
  <dc:description/>
  <cp:lastModifiedBy>Wu, Xiaowu CIV USARMY USAISR (USA)</cp:lastModifiedBy>
  <cp:revision>2</cp:revision>
  <dcterms:created xsi:type="dcterms:W3CDTF">2023-10-11T17:47:00Z</dcterms:created>
  <dcterms:modified xsi:type="dcterms:W3CDTF">2023-10-11T17:47:00Z</dcterms:modified>
</cp:coreProperties>
</file>