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4FC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0406446" w14:textId="48B6EB34" w:rsidR="008D5BFA" w:rsidRDefault="008D5BFA" w:rsidP="008D5BFA">
      <w:pPr>
        <w:pStyle w:val="EndNoteBibliography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2962AB77" wp14:editId="4AF589DE">
            <wp:extent cx="5274310" cy="155067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5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9E0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FE17EA0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>Fig. S1. Synthesis route of PEG-SS-PLA</w:t>
      </w:r>
      <w:r>
        <w:rPr>
          <w:rFonts w:hint="eastAsia"/>
          <w:sz w:val="24"/>
          <w:szCs w:val="24"/>
        </w:rPr>
        <w:t xml:space="preserve"> </w:t>
      </w:r>
    </w:p>
    <w:p w14:paraId="08C3C06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8B9139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F31A8C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F25A09B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18F35E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E12848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772103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DE4250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46C854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24206FB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A128D46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4C271DA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2966D3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FE9D47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887C29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B424A5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92BD4B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18B23E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1EE1996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65844EB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358B26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CC111C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5D2E804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71B9F3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9B70E6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EB0DCD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214DFF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5E13264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B57057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47A5A1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4DFCBE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89D12D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CE87A0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D9D3F2C" w14:textId="19A7CBE7" w:rsidR="008D5BFA" w:rsidRDefault="008D5BFA" w:rsidP="008D5BFA">
      <w:pPr>
        <w:pStyle w:val="EndNoteBibliography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958AF0D" wp14:editId="189EA836">
            <wp:extent cx="5274310" cy="244348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D476A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AF96B79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Fig. S2. Synthesis route of cRGD-PEG-PLA.</w:t>
      </w:r>
    </w:p>
    <w:p w14:paraId="2D9CE31D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76C1A76C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7E40DCE8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967A818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38A86547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2F42365A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A2BE135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206B5ECF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220F9A6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61635F6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2D210459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66B085F9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D1091C7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FB53D7C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07048EC0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4E500EA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7060EE71" w14:textId="64CB7A6A" w:rsidR="008D5BFA" w:rsidRDefault="008D5BFA" w:rsidP="008D5BFA">
      <w:pPr>
        <w:pStyle w:val="EndNoteBibliography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204CF74F" wp14:editId="57795555">
            <wp:simplePos x="0" y="0"/>
            <wp:positionH relativeFrom="margin">
              <wp:align>left</wp:align>
            </wp:positionH>
            <wp:positionV relativeFrom="paragraph">
              <wp:posOffset>339725</wp:posOffset>
            </wp:positionV>
            <wp:extent cx="4961890" cy="7654925"/>
            <wp:effectExtent l="0" t="0" r="0" b="3175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90" cy="765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A8524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16A0128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Fig.S3. Structural identification of PEG-SS-PLA(a) and cRGD-PEG-PLA(b).</w:t>
      </w:r>
    </w:p>
    <w:p w14:paraId="1ABB2351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8468E5B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65CFE7D0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73FCFD96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4B995A54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52B25A7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7350490A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6A0EE883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8FAC85F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27E5DC19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38398107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117AA22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3E6A3DB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228E9AA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06990830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37DBBC5B" w14:textId="2605758E" w:rsidR="008D5BFA" w:rsidRDefault="008D5BFA" w:rsidP="008D5BFA">
      <w:pPr>
        <w:pStyle w:val="EndNoteBibliography"/>
        <w:rPr>
          <w:b/>
          <w:bCs/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3B85B6E" wp14:editId="38DD8A0A">
            <wp:simplePos x="0" y="0"/>
            <wp:positionH relativeFrom="margin">
              <wp:align>left</wp:align>
            </wp:positionH>
            <wp:positionV relativeFrom="paragraph">
              <wp:posOffset>274320</wp:posOffset>
            </wp:positionV>
            <wp:extent cx="5274310" cy="2440305"/>
            <wp:effectExtent l="0" t="0" r="2540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D5BB44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397DC8C4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>Fig. S4.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Cell viability study of the nanocomposites by CCK8 assay in U87 cells. </w:t>
      </w:r>
      <w:r>
        <w:rPr>
          <w:sz w:val="24"/>
          <w:szCs w:val="24"/>
        </w:rPr>
        <w:t xml:space="preserve">Synergistic effects of DOX and Fisetin in the NPs carrier system on cytotoxicity in U87 cells. CCK-8 assay was used to assess the cytotoxicity of blank NPs, DOX/NPs, and Fis-DOX/NPs from 0 μg/ml to 0.5 μg/ml at 24 h (a) and 48 h (b). N=3. </w:t>
      </w:r>
    </w:p>
    <w:p w14:paraId="298BCF5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39ED33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F18BF5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370490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5AECA7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D9A1C2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C371E1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98975FA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97FBEB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4C3D2C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77A494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95AF87A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1FB0A36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6C35B56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F93C20B" w14:textId="00C606CD" w:rsidR="008D5BFA" w:rsidRDefault="008D5BFA" w:rsidP="008D5BFA">
      <w:pPr>
        <w:pStyle w:val="EndNoteBibliography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2985A9D" wp14:editId="6BE30F12">
            <wp:simplePos x="0" y="0"/>
            <wp:positionH relativeFrom="margin">
              <wp:align>center</wp:align>
            </wp:positionH>
            <wp:positionV relativeFrom="paragraph">
              <wp:posOffset>334010</wp:posOffset>
            </wp:positionV>
            <wp:extent cx="4293870" cy="719010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719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7FBA2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Fig. S5. </w:t>
      </w:r>
      <w:r>
        <w:rPr>
          <w:sz w:val="24"/>
          <w:szCs w:val="24"/>
        </w:rPr>
        <w:t xml:space="preserve">Flow cytometry analysis of the uptake of Dox in GL-261 cells and U87-MG after different treatments. </w:t>
      </w:r>
    </w:p>
    <w:p w14:paraId="75CD554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14EA14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08DD1B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BB37122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E0817C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784A222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64CA35C" w14:textId="7CB3C748" w:rsidR="008D5BFA" w:rsidRDefault="008D5BFA" w:rsidP="008D5BFA">
      <w:pPr>
        <w:pStyle w:val="EndNoteBibliography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9D8EFBB" wp14:editId="5CCE9840">
            <wp:simplePos x="0" y="0"/>
            <wp:positionH relativeFrom="margin">
              <wp:align>left</wp:align>
            </wp:positionH>
            <wp:positionV relativeFrom="paragraph">
              <wp:posOffset>262255</wp:posOffset>
            </wp:positionV>
            <wp:extent cx="5268595" cy="5441950"/>
            <wp:effectExtent l="0" t="0" r="8255" b="635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544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3ABF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4889DF0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>Fig. S6.</w:t>
      </w:r>
      <w:r>
        <w:rPr>
          <w:rFonts w:cs="Times New Roman"/>
          <w:sz w:val="21"/>
        </w:rPr>
        <w:t xml:space="preserve"> </w:t>
      </w:r>
      <w:r>
        <w:rPr>
          <w:b/>
          <w:bCs/>
          <w:sz w:val="24"/>
          <w:szCs w:val="24"/>
        </w:rPr>
        <w:t xml:space="preserve">Analysis of cell cycle in U87-MG cells. </w:t>
      </w:r>
      <w:r>
        <w:rPr>
          <w:sz w:val="24"/>
          <w:szCs w:val="24"/>
        </w:rPr>
        <w:t>Synergistic effects of DOX and Fisetin in the NPs carrier system cell cycle arrest in U87 cells. (a) Flow cytometric analysis. U87 cells were treated with blank NPs, DOX/NPs, and Fis-DOX/NPs at 0.125 μg/ml for 24 h. (b) Populations of cells at G0/G1, S, and G2/M phases were displayed as percentages of the whole cell population.</w:t>
      </w:r>
    </w:p>
    <w:p w14:paraId="081FC20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564399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1028A5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982B4DA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660E956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EE44F6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7C7D180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27BD1197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B588B86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2EED59F7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62A11ABE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598BC5D6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62318246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205FA7F9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0BBCE8E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0FEFE1EC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00BAE764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D4B93D7" w14:textId="69A23E76" w:rsidR="008D5BFA" w:rsidRDefault="008D5BFA" w:rsidP="008D5BFA">
      <w:pPr>
        <w:pStyle w:val="EndNoteBibliography"/>
        <w:rPr>
          <w:b/>
          <w:bCs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1271C9B4" wp14:editId="673B5113">
            <wp:simplePos x="0" y="0"/>
            <wp:positionH relativeFrom="margin">
              <wp:align>left</wp:align>
            </wp:positionH>
            <wp:positionV relativeFrom="paragraph">
              <wp:posOffset>318770</wp:posOffset>
            </wp:positionV>
            <wp:extent cx="5274310" cy="2440940"/>
            <wp:effectExtent l="0" t="0" r="254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34E88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1D98C24A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>Fig. S7.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Apoptosis assay of U87-MG cells.</w:t>
      </w:r>
      <w:r>
        <w:rPr>
          <w:sz w:val="24"/>
          <w:szCs w:val="24"/>
        </w:rPr>
        <w:t xml:space="preserve"> Synergistic effects of DOX and Fisetin in the NPs carrier system on tumor cell apoptosis. U87 cells were treated with blank NPs, DOX/NPs and Fis-DOX/NPs at concentrations of 0 μg/ml and 0.0625 μg/ml for 24 h. (a)(b) Cells were collected and stained with Annexin V and PI for flow cytometric analysis. </w:t>
      </w:r>
    </w:p>
    <w:p w14:paraId="08624AF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DE243B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C4C8B7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F90033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2D92A4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037CDF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7E482D2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47B9E3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5706EE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55A869B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CEAAC1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1D9E37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EF96EDB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21E9AC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B25A31B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DEF2D94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BB480D4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6BEF472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6B4926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86257B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FCB9B1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10A71A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8B66CB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9752436" w14:textId="3FC52F3A" w:rsidR="008D5BFA" w:rsidRDefault="008D5BFA" w:rsidP="008D5BFA">
      <w:pPr>
        <w:pStyle w:val="EndNoteBibliography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3253C01B" wp14:editId="1953D2A8">
            <wp:simplePos x="0" y="0"/>
            <wp:positionH relativeFrom="margin">
              <wp:align>left</wp:align>
            </wp:positionH>
            <wp:positionV relativeFrom="paragraph">
              <wp:posOffset>291465</wp:posOffset>
            </wp:positionV>
            <wp:extent cx="5266690" cy="2263140"/>
            <wp:effectExtent l="0" t="0" r="0" b="381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AF7E6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004E295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>Fig. S8.</w:t>
      </w:r>
      <w:r>
        <w:rPr>
          <w:sz w:val="24"/>
          <w:szCs w:val="24"/>
        </w:rPr>
        <w:t xml:space="preserve"> Western blot analysis of U87-MG Cell. </w:t>
      </w:r>
    </w:p>
    <w:p w14:paraId="0675588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ED20A2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ADD906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0FAA04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9E2C4B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BA177E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C82719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34CE4C2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7F0A8B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6853DD6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0A20DEA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3FC954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BF8E69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6B3287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2242F8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13F2C4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F924D0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AA2BA7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FD88A1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137C31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345397A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1BAE68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A2A570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55A8CA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DD2B0F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6DBECD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E18D5C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9CE3AE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7B6F40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0BBB1D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BA2591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E4105AD" w14:textId="7AD82018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51FD8ABF" wp14:editId="23B8927A">
            <wp:simplePos x="0" y="0"/>
            <wp:positionH relativeFrom="margin">
              <wp:align>left</wp:align>
            </wp:positionH>
            <wp:positionV relativeFrom="paragraph">
              <wp:posOffset>342265</wp:posOffset>
            </wp:positionV>
            <wp:extent cx="5274310" cy="3327400"/>
            <wp:effectExtent l="0" t="0" r="2540" b="635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2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37F69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>Fig. S9.</w:t>
      </w:r>
      <w:r>
        <w:rPr>
          <w:sz w:val="24"/>
          <w:szCs w:val="24"/>
        </w:rPr>
        <w:t xml:space="preserve"> Toxicity assessment in H&amp;E staining with pathological section.</w:t>
      </w:r>
      <w:r>
        <w:rPr>
          <w:rFonts w:hint="eastAsia"/>
          <w:sz w:val="24"/>
          <w:szCs w:val="24"/>
        </w:rPr>
        <w:t xml:space="preserve"> </w:t>
      </w:r>
    </w:p>
    <w:p w14:paraId="32BBB68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655917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BBB305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73A61D4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5C7F554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31B864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1FA7DC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1B8E390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CFEC6BB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51ACF5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09153E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24BFB0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7EA84B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AF2A22C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39443A3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097A2DB8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F38A83D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B9AEF13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71D2673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FCFB055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4DAC7BA1" w14:textId="7ADA26F5" w:rsidR="008D5BFA" w:rsidRDefault="008D5BFA" w:rsidP="008D5BFA">
      <w:pPr>
        <w:pStyle w:val="EndNoteBibliography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6C0B169" wp14:editId="2401F9D5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5268595" cy="4790440"/>
            <wp:effectExtent l="0" t="0" r="825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479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0FA5A7" w14:textId="77777777" w:rsidR="008D5BFA" w:rsidRDefault="008D5BFA" w:rsidP="008D5BFA">
      <w:pPr>
        <w:pStyle w:val="EndNoteBibliography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Fig. S10. </w:t>
      </w:r>
      <w:r>
        <w:rPr>
          <w:sz w:val="24"/>
          <w:szCs w:val="24"/>
        </w:rPr>
        <w:t>Toxicity assessment in serologic biochemical analysis.</w:t>
      </w:r>
    </w:p>
    <w:p w14:paraId="0C52F387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5553F42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268B02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553B8916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806E98E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6C3AE13F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9E026F9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1743E651" w14:textId="77777777" w:rsidR="008D5BFA" w:rsidRDefault="008D5BFA" w:rsidP="008D5BFA">
      <w:pPr>
        <w:pStyle w:val="EndNoteBibliography"/>
        <w:rPr>
          <w:sz w:val="24"/>
          <w:szCs w:val="24"/>
        </w:rPr>
      </w:pPr>
    </w:p>
    <w:p w14:paraId="22E76C52" w14:textId="77777777" w:rsidR="008D5BFA" w:rsidRDefault="008D5BFA" w:rsidP="008D5BFA">
      <w:pPr>
        <w:pStyle w:val="EndNoteBibliography"/>
        <w:rPr>
          <w:b/>
          <w:bCs/>
          <w:sz w:val="24"/>
          <w:szCs w:val="24"/>
        </w:rPr>
      </w:pPr>
    </w:p>
    <w:p w14:paraId="63D6E73B" w14:textId="77777777" w:rsidR="00562A6F" w:rsidRDefault="00562A6F"/>
    <w:sectPr w:rsidR="00562A6F">
      <w:footerReference w:type="default" r:id="rId14"/>
      <w:pgSz w:w="11906" w:h="16838"/>
      <w:pgMar w:top="1440" w:right="1800" w:bottom="1440" w:left="1800" w:header="851" w:footer="992" w:gutter="0"/>
      <w:lnNumType w:countBy="1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356CA" w14:textId="77777777" w:rsidR="00000000" w:rsidRDefault="00000000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0395446D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BFA"/>
    <w:rsid w:val="00562A6F"/>
    <w:rsid w:val="008D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FC225"/>
  <w15:chartTrackingRefBased/>
  <w15:docId w15:val="{6D89FE2E-15A9-4654-BED3-666D4E3E9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BFA"/>
    <w:pPr>
      <w:spacing w:after="0" w:line="240" w:lineRule="atLeast"/>
    </w:pPr>
    <w:rPr>
      <w:rFonts w:ascii="Calibri" w:eastAsia="SimSun" w:hAnsi="Calibri" w:cs="Times New Roman"/>
      <w:sz w:val="21"/>
      <w:szCs w:val="21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rsid w:val="008D5BF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5BFA"/>
    <w:rPr>
      <w:rFonts w:ascii="Calibri" w:eastAsia="SimSun" w:hAnsi="Calibri" w:cs="Times New Roman"/>
      <w:sz w:val="18"/>
      <w:szCs w:val="18"/>
      <w:lang w:eastAsia="zh-CN"/>
      <w14:ligatures w14:val="none"/>
    </w:rPr>
  </w:style>
  <w:style w:type="paragraph" w:customStyle="1" w:styleId="EndNoteBibliography">
    <w:name w:val="EndNote Bibliography"/>
    <w:basedOn w:val="Normal"/>
    <w:link w:val="EndNoteBibliography0"/>
    <w:rsid w:val="008D5BFA"/>
    <w:pPr>
      <w:spacing w:line="240" w:lineRule="auto"/>
    </w:pPr>
    <w:rPr>
      <w:rFonts w:cs="Calibri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qFormat/>
    <w:rsid w:val="008D5BFA"/>
    <w:rPr>
      <w:rFonts w:ascii="Calibri" w:eastAsia="SimSun" w:hAnsi="Calibri" w:cs="Calibri"/>
      <w:sz w:val="20"/>
      <w:szCs w:val="21"/>
      <w:lang w:eastAsia="zh-CN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8D5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254</Words>
  <Characters>1452</Characters>
  <Application>Microsoft Office Word</Application>
  <DocSecurity>0</DocSecurity>
  <Lines>12</Lines>
  <Paragraphs>3</Paragraphs>
  <ScaleCrop>false</ScaleCrop>
  <Company>SpringerNature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2023-10-10T10:25:00Z</dcterms:created>
  <dcterms:modified xsi:type="dcterms:W3CDTF">2023-10-10T10:25:00Z</dcterms:modified>
</cp:coreProperties>
</file>