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32E59" w14:textId="7AD5352B" w:rsidR="003C5770" w:rsidRPr="00D77851" w:rsidRDefault="00A1107A" w:rsidP="00D77851">
      <w:pPr>
        <w:pStyle w:val="Heading1"/>
        <w:spacing w:line="480" w:lineRule="auto"/>
        <w:rPr>
          <w:rFonts w:ascii="Times New Roman" w:hAnsi="Times New Roman" w:cs="Times New Roman"/>
          <w:color w:val="auto"/>
        </w:rPr>
      </w:pPr>
      <w:bookmarkStart w:id="0" w:name="_Toc96772220"/>
      <w:r w:rsidRPr="00D77851">
        <w:rPr>
          <w:rFonts w:ascii="Times New Roman" w:hAnsi="Times New Roman" w:cs="Times New Roman"/>
          <w:color w:val="auto"/>
        </w:rPr>
        <w:t>Supplementary materials A</w:t>
      </w:r>
      <w:bookmarkEnd w:id="0"/>
    </w:p>
    <w:p w14:paraId="3A048C3F" w14:textId="133560A9" w:rsidR="00A1107A" w:rsidRPr="00D77851" w:rsidRDefault="009E5586" w:rsidP="00616713">
      <w:pPr>
        <w:spacing w:line="480" w:lineRule="auto"/>
        <w:rPr>
          <w:rFonts w:ascii="Times New Roman" w:eastAsiaTheme="majorEastAsia" w:hAnsi="Times New Roman" w:cs="Times New Roman"/>
          <w:sz w:val="20"/>
          <w:szCs w:val="20"/>
        </w:rPr>
      </w:pPr>
      <w:r w:rsidRPr="00D77851">
        <w:rPr>
          <w:rFonts w:ascii="Times New Roman" w:hAnsi="Times New Roman" w:cs="Times New Roman"/>
          <w:sz w:val="20"/>
          <w:szCs w:val="20"/>
        </w:rPr>
        <w:t>Confirmatory Factor Analysis (CFA) and Exploratory Factor Analysis (</w:t>
      </w:r>
      <w:proofErr w:type="spellStart"/>
      <w:r w:rsidRPr="00D77851">
        <w:rPr>
          <w:rFonts w:ascii="Times New Roman" w:hAnsi="Times New Roman" w:cs="Times New Roman"/>
          <w:sz w:val="20"/>
          <w:szCs w:val="20"/>
        </w:rPr>
        <w:t>EFA</w:t>
      </w:r>
      <w:proofErr w:type="spellEnd"/>
      <w:r w:rsidRPr="00D77851">
        <w:rPr>
          <w:rFonts w:ascii="Times New Roman" w:hAnsi="Times New Roman" w:cs="Times New Roman"/>
          <w:sz w:val="20"/>
          <w:szCs w:val="20"/>
        </w:rPr>
        <w:t xml:space="preserve">) to assess factor loadings for the Structural Equational Model (SEM) used in </w:t>
      </w:r>
      <w:r w:rsidR="00A1107A" w:rsidRPr="00D77851">
        <w:rPr>
          <w:rFonts w:ascii="Times New Roman" w:hAnsi="Times New Roman" w:cs="Times New Roman"/>
          <w:sz w:val="20"/>
          <w:szCs w:val="20"/>
        </w:rPr>
        <w:t>‘</w:t>
      </w:r>
      <w:r w:rsidR="00A1107A" w:rsidRPr="00D77851">
        <w:rPr>
          <w:rFonts w:ascii="Times New Roman" w:eastAsiaTheme="majorEastAsia" w:hAnsi="Times New Roman" w:cs="Times New Roman"/>
          <w:sz w:val="20"/>
          <w:szCs w:val="20"/>
        </w:rPr>
        <w:t>Facets of mindfulness act as a mediator between stressful life experiences, and stressful combat experiences, and Post-Traumatic Stress Symptoms (PTS-S) in UK Military Veterans</w:t>
      </w:r>
    </w:p>
    <w:p w14:paraId="2081DF40" w14:textId="3203ABB2" w:rsidR="00A1107A" w:rsidRDefault="00A1107A" w:rsidP="00616713">
      <w:pPr>
        <w:spacing w:line="480" w:lineRule="auto"/>
        <w:rPr>
          <w:rFonts w:ascii="Times New Roman" w:eastAsiaTheme="majorEastAsia" w:hAnsi="Times New Roman" w:cs="Times New Roman"/>
          <w:bCs/>
          <w:sz w:val="20"/>
          <w:szCs w:val="20"/>
        </w:rPr>
      </w:pPr>
      <w:r w:rsidRPr="00862E4A">
        <w:rPr>
          <w:rFonts w:ascii="Times New Roman" w:eastAsiaTheme="majorEastAsia" w:hAnsi="Times New Roman" w:cs="Times New Roman"/>
          <w:bCs/>
          <w:sz w:val="20"/>
          <w:szCs w:val="20"/>
        </w:rPr>
        <w:t>Harper, L., Jones, A., Goodwin, L. &amp; Gillespie, S</w:t>
      </w:r>
    </w:p>
    <w:sdt>
      <w:sdtPr>
        <w:id w:val="-369693655"/>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76DD28BF" w14:textId="77777777" w:rsidR="00D77851" w:rsidRDefault="00D77851" w:rsidP="00D77851">
          <w:pPr>
            <w:pStyle w:val="TOCHeading"/>
            <w:spacing w:line="480" w:lineRule="auto"/>
            <w:rPr>
              <w:noProof/>
            </w:rPr>
          </w:pPr>
          <w:r w:rsidRPr="00D77851">
            <w:rPr>
              <w:rFonts w:ascii="Times New Roman" w:hAnsi="Times New Roman" w:cs="Times New Roman"/>
              <w:color w:val="auto"/>
            </w:rPr>
            <w:t>Contents</w:t>
          </w:r>
          <w:r w:rsidRPr="00D77851">
            <w:rPr>
              <w:rFonts w:ascii="Times New Roman" w:hAnsi="Times New Roman" w:cs="Times New Roman"/>
            </w:rPr>
            <w:fldChar w:fldCharType="begin"/>
          </w:r>
          <w:r w:rsidRPr="00D77851">
            <w:rPr>
              <w:rFonts w:ascii="Times New Roman" w:hAnsi="Times New Roman" w:cs="Times New Roman"/>
            </w:rPr>
            <w:instrText xml:space="preserve"> TOC \o "1-3" \h \z \u </w:instrText>
          </w:r>
          <w:r w:rsidRPr="00D77851">
            <w:rPr>
              <w:rFonts w:ascii="Times New Roman" w:hAnsi="Times New Roman" w:cs="Times New Roman"/>
            </w:rPr>
            <w:fldChar w:fldCharType="separate"/>
          </w:r>
        </w:p>
        <w:p w14:paraId="1573A6C9" w14:textId="5800134D" w:rsidR="00D77851" w:rsidRDefault="00D77851" w:rsidP="00D77851">
          <w:pPr>
            <w:pStyle w:val="TOC1"/>
            <w:tabs>
              <w:tab w:val="right" w:leader="dot" w:pos="9016"/>
            </w:tabs>
            <w:spacing w:line="480" w:lineRule="auto"/>
            <w:rPr>
              <w:rFonts w:eastAsiaTheme="minorEastAsia"/>
              <w:noProof/>
              <w:lang w:eastAsia="en-GB"/>
            </w:rPr>
          </w:pPr>
          <w:hyperlink w:anchor="_Toc96772221" w:history="1">
            <w:r w:rsidRPr="00100806">
              <w:rPr>
                <w:rStyle w:val="Hyperlink"/>
                <w:rFonts w:ascii="Times New Roman" w:hAnsi="Times New Roman" w:cs="Times New Roman"/>
                <w:noProof/>
              </w:rPr>
              <w:t>Rationale</w:t>
            </w:r>
            <w:r>
              <w:rPr>
                <w:noProof/>
                <w:webHidden/>
              </w:rPr>
              <w:tab/>
            </w:r>
            <w:r>
              <w:rPr>
                <w:noProof/>
                <w:webHidden/>
              </w:rPr>
              <w:fldChar w:fldCharType="begin"/>
            </w:r>
            <w:r>
              <w:rPr>
                <w:noProof/>
                <w:webHidden/>
              </w:rPr>
              <w:instrText xml:space="preserve"> PAGEREF _Toc96772221 \h </w:instrText>
            </w:r>
            <w:r>
              <w:rPr>
                <w:noProof/>
                <w:webHidden/>
              </w:rPr>
            </w:r>
            <w:r>
              <w:rPr>
                <w:noProof/>
                <w:webHidden/>
              </w:rPr>
              <w:fldChar w:fldCharType="separate"/>
            </w:r>
            <w:r>
              <w:rPr>
                <w:noProof/>
                <w:webHidden/>
              </w:rPr>
              <w:t>2</w:t>
            </w:r>
            <w:r>
              <w:rPr>
                <w:noProof/>
                <w:webHidden/>
              </w:rPr>
              <w:fldChar w:fldCharType="end"/>
            </w:r>
          </w:hyperlink>
        </w:p>
        <w:p w14:paraId="10D22A50" w14:textId="671D24B8" w:rsidR="00D77851" w:rsidRDefault="00D77851" w:rsidP="00D77851">
          <w:pPr>
            <w:pStyle w:val="TOC1"/>
            <w:tabs>
              <w:tab w:val="right" w:leader="dot" w:pos="9016"/>
            </w:tabs>
            <w:spacing w:line="480" w:lineRule="auto"/>
            <w:rPr>
              <w:rFonts w:eastAsiaTheme="minorEastAsia"/>
              <w:noProof/>
              <w:lang w:eastAsia="en-GB"/>
            </w:rPr>
          </w:pPr>
          <w:hyperlink w:anchor="_Toc96772222" w:history="1">
            <w:r w:rsidRPr="00100806">
              <w:rPr>
                <w:rStyle w:val="Hyperlink"/>
                <w:rFonts w:ascii="Times New Roman" w:hAnsi="Times New Roman" w:cs="Times New Roman"/>
                <w:noProof/>
              </w:rPr>
              <w:t>Methods</w:t>
            </w:r>
            <w:r>
              <w:rPr>
                <w:noProof/>
                <w:webHidden/>
              </w:rPr>
              <w:tab/>
            </w:r>
            <w:r>
              <w:rPr>
                <w:noProof/>
                <w:webHidden/>
              </w:rPr>
              <w:fldChar w:fldCharType="begin"/>
            </w:r>
            <w:r>
              <w:rPr>
                <w:noProof/>
                <w:webHidden/>
              </w:rPr>
              <w:instrText xml:space="preserve"> PAGEREF _Toc96772222 \h </w:instrText>
            </w:r>
            <w:r>
              <w:rPr>
                <w:noProof/>
                <w:webHidden/>
              </w:rPr>
            </w:r>
            <w:r>
              <w:rPr>
                <w:noProof/>
                <w:webHidden/>
              </w:rPr>
              <w:fldChar w:fldCharType="separate"/>
            </w:r>
            <w:r>
              <w:rPr>
                <w:noProof/>
                <w:webHidden/>
              </w:rPr>
              <w:t>2</w:t>
            </w:r>
            <w:r>
              <w:rPr>
                <w:noProof/>
                <w:webHidden/>
              </w:rPr>
              <w:fldChar w:fldCharType="end"/>
            </w:r>
          </w:hyperlink>
        </w:p>
        <w:p w14:paraId="69AE08DD" w14:textId="53E26B3B" w:rsidR="00D77851" w:rsidRDefault="00D77851" w:rsidP="00D77851">
          <w:pPr>
            <w:pStyle w:val="TOC1"/>
            <w:tabs>
              <w:tab w:val="right" w:leader="dot" w:pos="9016"/>
            </w:tabs>
            <w:spacing w:line="480" w:lineRule="auto"/>
            <w:rPr>
              <w:rFonts w:eastAsiaTheme="minorEastAsia"/>
              <w:noProof/>
              <w:lang w:eastAsia="en-GB"/>
            </w:rPr>
          </w:pPr>
          <w:hyperlink w:anchor="_Toc96772223" w:history="1">
            <w:r w:rsidRPr="00100806">
              <w:rPr>
                <w:rStyle w:val="Hyperlink"/>
                <w:rFonts w:ascii="Times New Roman" w:hAnsi="Times New Roman" w:cs="Times New Roman"/>
                <w:noProof/>
              </w:rPr>
              <w:t>Results</w:t>
            </w:r>
            <w:r>
              <w:rPr>
                <w:noProof/>
                <w:webHidden/>
              </w:rPr>
              <w:tab/>
            </w:r>
            <w:r>
              <w:rPr>
                <w:noProof/>
                <w:webHidden/>
              </w:rPr>
              <w:fldChar w:fldCharType="begin"/>
            </w:r>
            <w:r>
              <w:rPr>
                <w:noProof/>
                <w:webHidden/>
              </w:rPr>
              <w:instrText xml:space="preserve"> PAGEREF _Toc96772223 \h </w:instrText>
            </w:r>
            <w:r>
              <w:rPr>
                <w:noProof/>
                <w:webHidden/>
              </w:rPr>
            </w:r>
            <w:r>
              <w:rPr>
                <w:noProof/>
                <w:webHidden/>
              </w:rPr>
              <w:fldChar w:fldCharType="separate"/>
            </w:r>
            <w:r>
              <w:rPr>
                <w:noProof/>
                <w:webHidden/>
              </w:rPr>
              <w:t>3</w:t>
            </w:r>
            <w:r>
              <w:rPr>
                <w:noProof/>
                <w:webHidden/>
              </w:rPr>
              <w:fldChar w:fldCharType="end"/>
            </w:r>
          </w:hyperlink>
        </w:p>
        <w:p w14:paraId="54970344" w14:textId="03F28B64" w:rsidR="00D77851" w:rsidRDefault="00D77851" w:rsidP="00D77851">
          <w:pPr>
            <w:pStyle w:val="TOC2"/>
            <w:tabs>
              <w:tab w:val="right" w:leader="dot" w:pos="9016"/>
            </w:tabs>
            <w:spacing w:line="480" w:lineRule="auto"/>
            <w:rPr>
              <w:rFonts w:eastAsiaTheme="minorEastAsia"/>
              <w:noProof/>
              <w:lang w:eastAsia="en-GB"/>
            </w:rPr>
          </w:pPr>
          <w:hyperlink w:anchor="_Toc96772224" w:history="1">
            <w:r w:rsidRPr="00100806">
              <w:rPr>
                <w:rStyle w:val="Hyperlink"/>
                <w:rFonts w:ascii="Times New Roman" w:hAnsi="Times New Roman" w:cs="Times New Roman"/>
                <w:noProof/>
              </w:rPr>
              <w:t>Post-traumatic stress</w:t>
            </w:r>
            <w:r w:rsidRPr="00100806">
              <w:rPr>
                <w:rStyle w:val="Hyperlink"/>
                <w:rFonts w:ascii="Times New Roman" w:hAnsi="Times New Roman" w:cs="Times New Roman"/>
                <w:i/>
                <w:iCs/>
                <w:noProof/>
              </w:rPr>
              <w:t>.</w:t>
            </w:r>
            <w:r>
              <w:rPr>
                <w:noProof/>
                <w:webHidden/>
              </w:rPr>
              <w:tab/>
            </w:r>
            <w:r>
              <w:rPr>
                <w:noProof/>
                <w:webHidden/>
              </w:rPr>
              <w:fldChar w:fldCharType="begin"/>
            </w:r>
            <w:r>
              <w:rPr>
                <w:noProof/>
                <w:webHidden/>
              </w:rPr>
              <w:instrText xml:space="preserve"> PAGEREF _Toc96772224 \h </w:instrText>
            </w:r>
            <w:r>
              <w:rPr>
                <w:noProof/>
                <w:webHidden/>
              </w:rPr>
            </w:r>
            <w:r>
              <w:rPr>
                <w:noProof/>
                <w:webHidden/>
              </w:rPr>
              <w:fldChar w:fldCharType="separate"/>
            </w:r>
            <w:r>
              <w:rPr>
                <w:noProof/>
                <w:webHidden/>
              </w:rPr>
              <w:t>3</w:t>
            </w:r>
            <w:r>
              <w:rPr>
                <w:noProof/>
                <w:webHidden/>
              </w:rPr>
              <w:fldChar w:fldCharType="end"/>
            </w:r>
          </w:hyperlink>
        </w:p>
        <w:p w14:paraId="406520A5" w14:textId="705EF9B4" w:rsidR="00D77851" w:rsidRDefault="00D77851" w:rsidP="00D77851">
          <w:pPr>
            <w:pStyle w:val="TOC2"/>
            <w:tabs>
              <w:tab w:val="right" w:leader="dot" w:pos="9016"/>
            </w:tabs>
            <w:spacing w:line="480" w:lineRule="auto"/>
            <w:rPr>
              <w:rFonts w:eastAsiaTheme="minorEastAsia"/>
              <w:noProof/>
              <w:lang w:eastAsia="en-GB"/>
            </w:rPr>
          </w:pPr>
          <w:hyperlink w:anchor="_Toc96772225" w:history="1">
            <w:r w:rsidRPr="00100806">
              <w:rPr>
                <w:rStyle w:val="Hyperlink"/>
                <w:rFonts w:ascii="Times New Roman" w:hAnsi="Times New Roman" w:cs="Times New Roman"/>
                <w:noProof/>
              </w:rPr>
              <w:t>Mindfulness</w:t>
            </w:r>
            <w:r w:rsidRPr="00100806">
              <w:rPr>
                <w:rStyle w:val="Hyperlink"/>
                <w:rFonts w:ascii="Times New Roman" w:hAnsi="Times New Roman" w:cs="Times New Roman"/>
                <w:i/>
                <w:iCs/>
                <w:noProof/>
              </w:rPr>
              <w:t>.</w:t>
            </w:r>
            <w:r>
              <w:rPr>
                <w:noProof/>
                <w:webHidden/>
              </w:rPr>
              <w:tab/>
            </w:r>
            <w:r>
              <w:rPr>
                <w:noProof/>
                <w:webHidden/>
              </w:rPr>
              <w:fldChar w:fldCharType="begin"/>
            </w:r>
            <w:r>
              <w:rPr>
                <w:noProof/>
                <w:webHidden/>
              </w:rPr>
              <w:instrText xml:space="preserve"> PAGEREF _Toc96772225 \h </w:instrText>
            </w:r>
            <w:r>
              <w:rPr>
                <w:noProof/>
                <w:webHidden/>
              </w:rPr>
            </w:r>
            <w:r>
              <w:rPr>
                <w:noProof/>
                <w:webHidden/>
              </w:rPr>
              <w:fldChar w:fldCharType="separate"/>
            </w:r>
            <w:r>
              <w:rPr>
                <w:noProof/>
                <w:webHidden/>
              </w:rPr>
              <w:t>4</w:t>
            </w:r>
            <w:r>
              <w:rPr>
                <w:noProof/>
                <w:webHidden/>
              </w:rPr>
              <w:fldChar w:fldCharType="end"/>
            </w:r>
          </w:hyperlink>
        </w:p>
        <w:p w14:paraId="02A224B9" w14:textId="034E19B4" w:rsidR="00D77851" w:rsidRDefault="00D77851" w:rsidP="00D77851">
          <w:pPr>
            <w:pStyle w:val="TOC1"/>
            <w:tabs>
              <w:tab w:val="right" w:leader="dot" w:pos="9016"/>
            </w:tabs>
            <w:spacing w:line="480" w:lineRule="auto"/>
            <w:rPr>
              <w:rFonts w:eastAsiaTheme="minorEastAsia"/>
              <w:noProof/>
              <w:lang w:eastAsia="en-GB"/>
            </w:rPr>
          </w:pPr>
          <w:hyperlink w:anchor="_Toc96772226" w:history="1">
            <w:r w:rsidRPr="00100806">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_Toc96772226 \h </w:instrText>
            </w:r>
            <w:r>
              <w:rPr>
                <w:noProof/>
                <w:webHidden/>
              </w:rPr>
            </w:r>
            <w:r>
              <w:rPr>
                <w:noProof/>
                <w:webHidden/>
              </w:rPr>
              <w:fldChar w:fldCharType="separate"/>
            </w:r>
            <w:r>
              <w:rPr>
                <w:noProof/>
                <w:webHidden/>
              </w:rPr>
              <w:t>7</w:t>
            </w:r>
            <w:r>
              <w:rPr>
                <w:noProof/>
                <w:webHidden/>
              </w:rPr>
              <w:fldChar w:fldCharType="end"/>
            </w:r>
          </w:hyperlink>
        </w:p>
        <w:p w14:paraId="21678B53" w14:textId="41487175" w:rsidR="00D77851" w:rsidRDefault="00D77851" w:rsidP="00D77851">
          <w:pPr>
            <w:pStyle w:val="TOC1"/>
            <w:tabs>
              <w:tab w:val="right" w:leader="dot" w:pos="9016"/>
            </w:tabs>
            <w:spacing w:line="480" w:lineRule="auto"/>
            <w:rPr>
              <w:rFonts w:eastAsiaTheme="minorEastAsia"/>
              <w:noProof/>
              <w:lang w:eastAsia="en-GB"/>
            </w:rPr>
          </w:pPr>
          <w:hyperlink w:anchor="_Toc96772227" w:history="1">
            <w:r w:rsidRPr="00100806">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_Toc96772227 \h </w:instrText>
            </w:r>
            <w:r>
              <w:rPr>
                <w:noProof/>
                <w:webHidden/>
              </w:rPr>
            </w:r>
            <w:r>
              <w:rPr>
                <w:noProof/>
                <w:webHidden/>
              </w:rPr>
              <w:fldChar w:fldCharType="separate"/>
            </w:r>
            <w:r>
              <w:rPr>
                <w:noProof/>
                <w:webHidden/>
              </w:rPr>
              <w:t>8</w:t>
            </w:r>
            <w:r>
              <w:rPr>
                <w:noProof/>
                <w:webHidden/>
              </w:rPr>
              <w:fldChar w:fldCharType="end"/>
            </w:r>
          </w:hyperlink>
        </w:p>
        <w:p w14:paraId="51DEA9C6" w14:textId="34A8E252" w:rsidR="00D77851" w:rsidRPr="00D77851" w:rsidRDefault="00D77851" w:rsidP="00616713">
          <w:pPr>
            <w:spacing w:line="480" w:lineRule="auto"/>
          </w:pPr>
          <w:r w:rsidRPr="00D77851">
            <w:rPr>
              <w:rFonts w:ascii="Times New Roman" w:hAnsi="Times New Roman" w:cs="Times New Roman"/>
              <w:b/>
              <w:bCs/>
              <w:noProof/>
            </w:rPr>
            <w:fldChar w:fldCharType="end"/>
          </w:r>
        </w:p>
      </w:sdtContent>
    </w:sdt>
    <w:p w14:paraId="548FF3CA" w14:textId="77777777" w:rsidR="00D77851" w:rsidRDefault="00D77851">
      <w:pPr>
        <w:rPr>
          <w:rFonts w:ascii="Times New Roman" w:eastAsiaTheme="majorEastAsia" w:hAnsi="Times New Roman" w:cs="Times New Roman"/>
          <w:sz w:val="32"/>
          <w:szCs w:val="32"/>
        </w:rPr>
      </w:pPr>
      <w:bookmarkStart w:id="1" w:name="_Toc96772221"/>
      <w:r>
        <w:rPr>
          <w:rFonts w:ascii="Times New Roman" w:hAnsi="Times New Roman" w:cs="Times New Roman"/>
        </w:rPr>
        <w:br w:type="page"/>
      </w:r>
    </w:p>
    <w:p w14:paraId="32DE1BEA" w14:textId="4DFF41E6" w:rsidR="00A1107A" w:rsidRPr="00D77851" w:rsidRDefault="00A1107A" w:rsidP="00D77851">
      <w:pPr>
        <w:pStyle w:val="Heading1"/>
        <w:spacing w:line="480" w:lineRule="auto"/>
        <w:rPr>
          <w:rFonts w:ascii="Times New Roman" w:hAnsi="Times New Roman" w:cs="Times New Roman"/>
          <w:color w:val="auto"/>
        </w:rPr>
      </w:pPr>
      <w:r w:rsidRPr="00D77851">
        <w:rPr>
          <w:rFonts w:ascii="Times New Roman" w:hAnsi="Times New Roman" w:cs="Times New Roman"/>
          <w:color w:val="auto"/>
        </w:rPr>
        <w:lastRenderedPageBreak/>
        <w:t>Rationale</w:t>
      </w:r>
      <w:bookmarkEnd w:id="1"/>
      <w:r w:rsidRPr="00D77851">
        <w:rPr>
          <w:rFonts w:ascii="Times New Roman" w:hAnsi="Times New Roman" w:cs="Times New Roman"/>
          <w:color w:val="auto"/>
        </w:rPr>
        <w:t xml:space="preserve"> </w:t>
      </w:r>
    </w:p>
    <w:p w14:paraId="11D520E6" w14:textId="52EBD5F0" w:rsidR="00A1107A" w:rsidRPr="00862E4A" w:rsidRDefault="009E5586" w:rsidP="00616713">
      <w:pPr>
        <w:spacing w:line="480" w:lineRule="auto"/>
        <w:ind w:firstLine="720"/>
        <w:rPr>
          <w:rFonts w:ascii="Times New Roman" w:eastAsiaTheme="majorEastAsia" w:hAnsi="Times New Roman" w:cs="Times New Roman"/>
          <w:bCs/>
          <w:sz w:val="20"/>
          <w:szCs w:val="20"/>
        </w:rPr>
      </w:pPr>
      <w:r w:rsidRPr="00862E4A">
        <w:rPr>
          <w:rStyle w:val="CommentReference"/>
          <w:rFonts w:ascii="Times New Roman" w:hAnsi="Times New Roman" w:cs="Times New Roman"/>
          <w:sz w:val="20"/>
          <w:szCs w:val="20"/>
        </w:rPr>
        <w:t>Two CFA</w:t>
      </w:r>
      <w:r w:rsidRPr="00862E4A">
        <w:rPr>
          <w:rStyle w:val="CommentReference"/>
          <w:rFonts w:ascii="Times New Roman" w:hAnsi="Times New Roman" w:cs="Times New Roman"/>
          <w:sz w:val="20"/>
          <w:szCs w:val="20"/>
        </w:rPr>
        <w:t>’s</w:t>
      </w:r>
      <w:r w:rsidRPr="00862E4A">
        <w:rPr>
          <w:rStyle w:val="CommentReference"/>
          <w:rFonts w:ascii="Times New Roman" w:hAnsi="Times New Roman" w:cs="Times New Roman"/>
          <w:sz w:val="20"/>
          <w:szCs w:val="20"/>
        </w:rPr>
        <w:t xml:space="preserve"> were used to test latent variables</w:t>
      </w:r>
      <w:r w:rsidRPr="00862E4A">
        <w:rPr>
          <w:rStyle w:val="CommentReference"/>
          <w:rFonts w:ascii="Times New Roman" w:hAnsi="Times New Roman" w:cs="Times New Roman"/>
          <w:sz w:val="20"/>
          <w:szCs w:val="20"/>
        </w:rPr>
        <w:t>, before running a Structural Equation Model</w:t>
      </w:r>
      <w:r w:rsidRPr="00862E4A">
        <w:rPr>
          <w:rStyle w:val="CommentReference"/>
          <w:rFonts w:ascii="Times New Roman" w:hAnsi="Times New Roman" w:cs="Times New Roman"/>
          <w:sz w:val="20"/>
          <w:szCs w:val="20"/>
        </w:rPr>
        <w:t xml:space="preserve">, as recommended by </w:t>
      </w:r>
      <w:proofErr w:type="spellStart"/>
      <w:r w:rsidRPr="00862E4A">
        <w:rPr>
          <w:rStyle w:val="CommentReference"/>
          <w:rFonts w:ascii="Times New Roman" w:hAnsi="Times New Roman" w:cs="Times New Roman"/>
          <w:sz w:val="20"/>
          <w:szCs w:val="20"/>
        </w:rPr>
        <w:t>Nachtigall</w:t>
      </w:r>
      <w:proofErr w:type="spellEnd"/>
      <w:r w:rsidRPr="00862E4A">
        <w:rPr>
          <w:rStyle w:val="CommentReference"/>
          <w:rFonts w:ascii="Times New Roman" w:hAnsi="Times New Roman" w:cs="Times New Roman"/>
          <w:sz w:val="20"/>
          <w:szCs w:val="20"/>
        </w:rPr>
        <w:t xml:space="preserve"> and colleagues </w:t>
      </w:r>
      <w:r w:rsidRPr="00862E4A">
        <w:rPr>
          <w:rStyle w:val="CommentReference"/>
          <w:rFonts w:ascii="Times New Roman" w:hAnsi="Times New Roman" w:cs="Times New Roman"/>
          <w:sz w:val="20"/>
          <w:szCs w:val="20"/>
        </w:rPr>
        <w:fldChar w:fldCharType="begin" w:fldLock="1"/>
      </w:r>
      <w:r w:rsidRPr="00862E4A">
        <w:rPr>
          <w:rStyle w:val="CommentReference"/>
          <w:rFonts w:ascii="Times New Roman" w:hAnsi="Times New Roman" w:cs="Times New Roman"/>
          <w:sz w:val="20"/>
          <w:szCs w:val="20"/>
        </w:rPr>
        <w:instrText>ADDIN CSL_CITATION {"citationItems":[{"id":"ITEM-1","itemData":{"author":[{"dropping-particle":"","family":"Nachtigall","given":"C.","non-dropping-particle":"","parse-names":false,"suffix":""},{"dropping-particle":"","family":"Kroehne","given":"U","non-dropping-particle":"","parse-names":false,"suffix":""},{"dropping-particle":"","family":"Funke","given":"F","non-dropping-particle":"","parse-names":false,"suffix":""},{"dropping-particle":"","family":"Steyer","given":"R","non-dropping-particle":"","parse-names":false,"suffix":""}],"container-title":"Methods of Psychological Research Online","id":"ITEM-1","issue":"2","issued":{"date-parts":[["2003"]]},"page":"1-22","title":"(Why) should we use SEM? Pros and cons of structural equation modeling","type":"article-journal","volume":"8"},"uris":["http://www.mendeley.com/documents/?uuid=6b95d5d1-068d-44ce-9cb6-22e82abc2fbd"]}],"mendeley":{"formattedCitation":"[1]","plainTextFormattedCitation":"[1]","previouslyFormattedCitation":"[1]"},"properties":{"noteIndex":0},"schema":"https://github.com/citation-style-language/schema/raw/master/csl-citation.json"}</w:instrText>
      </w:r>
      <w:r w:rsidRPr="00862E4A">
        <w:rPr>
          <w:rStyle w:val="CommentReference"/>
          <w:rFonts w:ascii="Times New Roman" w:hAnsi="Times New Roman" w:cs="Times New Roman"/>
          <w:sz w:val="20"/>
          <w:szCs w:val="20"/>
        </w:rPr>
        <w:fldChar w:fldCharType="separate"/>
      </w:r>
      <w:r w:rsidRPr="00862E4A">
        <w:rPr>
          <w:rStyle w:val="CommentReference"/>
          <w:rFonts w:ascii="Times New Roman" w:hAnsi="Times New Roman" w:cs="Times New Roman"/>
          <w:noProof/>
          <w:sz w:val="20"/>
          <w:szCs w:val="20"/>
        </w:rPr>
        <w:t>[1]</w:t>
      </w:r>
      <w:r w:rsidRPr="00862E4A">
        <w:rPr>
          <w:rStyle w:val="CommentReference"/>
          <w:rFonts w:ascii="Times New Roman" w:hAnsi="Times New Roman" w:cs="Times New Roman"/>
          <w:sz w:val="20"/>
          <w:szCs w:val="20"/>
        </w:rPr>
        <w:fldChar w:fldCharType="end"/>
      </w:r>
      <w:r w:rsidRPr="00862E4A">
        <w:rPr>
          <w:rFonts w:ascii="Times New Roman" w:hAnsi="Times New Roman" w:cs="Times New Roman"/>
          <w:sz w:val="20"/>
          <w:szCs w:val="20"/>
        </w:rPr>
        <w:t xml:space="preserve">. There were no concerns regarding the CFA fit for the PCL-5, given its strong psychometric evidence </w:t>
      </w:r>
      <w:r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{"citationItems":[{"id":"ITEM-1","itemData":{"DOI":"10.1037/pas0000260","abstract":"On behalf of the STRONG STAR Consortium The Posttraumatic Stress Disorder Checklist (PCL-5; Weathers et al., 2013) was recently revised to reflect the changed diagnostic criteria for posttraumatic stress disorder (PTSD) in the fifth edition of the Diagnostic and Statistical Manual of Mental Disorders (DSM-5; American Psychiatric Association, 2013). We investigated the psychometric properties of PCL-5 scores in a large cohort (N 912) of","author":[{"dropping-particle":"","family":"Wortmann","given":"Jennifer H","non-dropping-particle":"","parse-names":false,"suffix":""},{"dropping-particle":"","family":"Jordan","given":"Alexander H","non-dropping-particle":"","parse-names":false,"suffix":""},{"dropping-particle":"","family":"Weathers","given":"Frank W","non-dropping-particle":"","parse-names":false,"suffix":""},{"dropping-particle":"","family":"Resick","given":"Patricia A","non-dropping-particle":"","parse-names":false,"suffix":""},{"dropping-particle":"","family":"Dondanville","given":"Katherine A","non-dropping-particle":"","parse-names":false,"suffix":""},{"dropping-particle":"","family":"Hall-Clark","given":"Brittany","non-dropping-particle":"","parse-names":false,"suffix":""},{"dropping-particle":"","family":"Foa","given":"Edna B","non-dropping-particle":"","parse-names":false,"suffix":""},{"dropping-particle":"","family":"Young-McCaughan","given":"Stacey","non-dropping-particle":"","parse-names":false,"suffix":""},{"dropping-particle":"","family":"Yarvis","given":"Jeffrey S","non-dropping-particle":"","parse-names":false,"suffix":""},{"dropping-particle":"","family":"Hembree","given":"Elizabeth A","non-dropping-particle":"","parse-names":false,"suffix":""},{"dropping-particle":"","family":"Mintz","given":"Jim","non-dropping-particle":"","parse-names":false,"suffix":""},{"dropping-particle":"","family":"Peterson","given":"Alan L","non-dropping-particle":"","parse-names":false,"suffix":""},{"dropping-particle":"","family":"Litz","given":"Brett T","non-dropping-particle":"","parse-names":false,"suffix":""}],"container-title":"Psychological Assessment In the public domain 2016","id":"ITEM-1","issue":"11","issued":{"date-parts":[["2016"]]},"page":"1392-1403","title":"Psychometric analysis of the PTSD checklist-5 (PCL-5) among treatment-seeking military service Mmmbers","type":"article-journal","volume":"28"},"uris":["http://www.mendeley.com/documents/?uuid=635d6e2e-59f6-4451-b70c-26714ab6e85e"]},{"id":"ITEM-2","itemData":{"DOI":"10.1037/pas0000254","ISSN":"1939-134X","author":[{"dropping-particle":"","family":"Bovin","given":"Michelle J.","non-dropping-particle":"","parse-names":false,"suffix":""},{"dropping-particle":"","family":"Marx","given":"Brian P.","non-dropping-particle":"","parse-names":false,"suffix":""},{"dropping-particle":"","family":"Weathers","given":"Frank W.","non-dropping-particle":"","parse-names":false,"suffix":""},{"dropping-particle":"","family":"Gallagher","given":"Matthew W.","non-dropping-particle":"","parse-names":false,"suffix":""},{"dropping-particle":"","family":"Rodriguez","given":"Paola","non-dropping-particle":"","parse-names":false,"suffix":""},{"dropping-particle":"","family":"Schnurr","given":"Paula P.","non-dropping-particle":"","parse-names":false,"suffix":""},{"dropping-particle":"","family":"Keane","given":"Terence M.","non-dropping-particle":"","parse-names":false,"suffix":""}],"container-title":"Psychological Assessment","id":"ITEM-2","issue":"11","issued":{"date-parts":[["2016","11"]]},"page":"1379-1391","title":"Psychometric properties of the PTSD checklist for diagnostic and statistical manual of mental disorders – fifth edition (PCL-5) in veterans.","type":"article-journal","volume":"28"},"uris":["http://www.mendeley.com/documents/?uuid=977bdad9-d193-4e6b-a35c-02abc492b8ea"]}],"mendeley":{"formattedCitation":"[2], [3]","plainTextFormattedCitation":"[2], [3]","previouslyFormattedCitation":"[2], [3]"},"properties":{"noteIndex":0},"schema":"https://github.com/citation-style-language/schema/raw/master/csl-citation.json"}</w:instrText>
      </w:r>
      <w:r w:rsidRPr="00862E4A">
        <w:rPr>
          <w:rFonts w:ascii="Times New Roman" w:hAnsi="Times New Roman" w:cs="Times New Roman"/>
          <w:sz w:val="20"/>
          <w:szCs w:val="20"/>
        </w:rPr>
        <w:fldChar w:fldCharType="separate"/>
      </w:r>
      <w:r w:rsidR="00616713" w:rsidRPr="00862E4A">
        <w:rPr>
          <w:rFonts w:ascii="Times New Roman" w:hAnsi="Times New Roman" w:cs="Times New Roman"/>
          <w:noProof/>
          <w:sz w:val="20"/>
          <w:szCs w:val="20"/>
        </w:rPr>
        <w:t>[2], [3]</w:t>
      </w:r>
      <w:r w:rsidRPr="00862E4A">
        <w:rPr>
          <w:rFonts w:ascii="Times New Roman" w:hAnsi="Times New Roman" w:cs="Times New Roman"/>
          <w:sz w:val="20"/>
          <w:szCs w:val="20"/>
        </w:rPr>
        <w:fldChar w:fldCharType="end"/>
      </w:r>
      <w:r w:rsidRPr="00862E4A">
        <w:rPr>
          <w:rFonts w:ascii="Times New Roman" w:hAnsi="Times New Roman" w:cs="Times New Roman"/>
          <w:sz w:val="20"/>
          <w:szCs w:val="20"/>
        </w:rPr>
        <w:t xml:space="preserve">. </w:t>
      </w:r>
      <w:r w:rsidRPr="00862E4A">
        <w:rPr>
          <w:rFonts w:ascii="Times New Roman" w:hAnsi="Times New Roman" w:cs="Times New Roman"/>
          <w:sz w:val="20"/>
          <w:szCs w:val="20"/>
        </w:rPr>
        <w:t>However, as</w:t>
      </w:r>
      <w:r w:rsidR="00A1107A" w:rsidRPr="00862E4A">
        <w:rPr>
          <w:rFonts w:ascii="Times New Roman" w:hAnsi="Times New Roman" w:cs="Times New Roman"/>
          <w:sz w:val="20"/>
          <w:szCs w:val="20"/>
        </w:rPr>
        <w:t xml:space="preserve"> research has reported psychometric issues in the latent structure and replicability of the </w:t>
      </w:r>
      <w:proofErr w:type="spellStart"/>
      <w:r w:rsidR="00A1107A" w:rsidRPr="00862E4A">
        <w:rPr>
          <w:rFonts w:ascii="Times New Roman" w:hAnsi="Times New Roman" w:cs="Times New Roman"/>
          <w:sz w:val="20"/>
          <w:szCs w:val="20"/>
        </w:rPr>
        <w:t>FFMQ</w:t>
      </w:r>
      <w:proofErr w:type="spellEnd"/>
      <w:r w:rsidR="00A1107A" w:rsidRPr="00862E4A">
        <w:rPr>
          <w:rFonts w:ascii="Times New Roman" w:hAnsi="Times New Roman" w:cs="Times New Roman"/>
          <w:sz w:val="20"/>
          <w:szCs w:val="20"/>
        </w:rPr>
        <w:t xml:space="preserve">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{"citationItems":[{"id":"ITEM-1","itemData":{"DOI":"10.1177/1073191119873718","ISSN":"15523489","PMID":"31609133","abstract":"The Five Facets Mindfulness Questionnaire (FFMQ) is a popular tool in mindfulness research. However, its psychometric qualities and its replicability have caused controversy. This study carried out a psychometric review and a conceptual replication of the FFMQ latent structure. The review showed that previous validation studies of the FFMQ used nonoptimal methods. In addition, this conceptual replication study tested the structure of the FFMQ using frequentist and Bayesian techniques. The original structure did not provide a good fit with both techniques, while the proposed alternative provided mixed results. We also found systematic fit improvements in both techniques when the Observe facet was excluded and method factors were included. With these findings, we conclude that the conceptual replication of the FFMQ’s structure failed. Alternatively, we propose a new provisional FFMQ model with a set of recommendations regarding its application. Future research proposals on improving techniques and models toward mindfulness assessment are also presented and discussed.","author":[{"dropping-particle":"","family":"Lecuona","given":"Oscar","non-dropping-particle":"","parse-names":false,"suffix":""},{"dropping-particle":"","family":"García-Garzón","given":"Eduardo","non-dropping-particle":"","parse-names":false,"suffix":""},{"dropping-particle":"","family":"García-Rubio","given":"Carlos","non-dropping-particle":"","parse-names":false,"suffix":""},{"dropping-particle":"","family":"Rodríguez-Carvajal","given":"Raquel","non-dropping-particle":"","parse-names":false,"suffix":""}],"container-title":"Assessment","id":"ITEM-1","issue":"5","issued":{"date-parts":[["2020","7","1"]]},"page":"859-872","publisher":"SAGE Publications Inc.","title":"A Psychometric Review and Conceptual Replication Study of the Five Facets Mindfulness Questionnaire Latent Structure","type":"article-journal","volume":"27"},"uris":["http://www.mendeley.com/documents/?uuid=28c25fba-5636-4630-b350-e2dc5bc7fd58"]}],"mendeley":{"formattedCitation":"[4]","plainTextFormattedCitation":"[4]","previouslyFormattedCitation":"[4]"},"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00616713" w:rsidRPr="00862E4A">
        <w:rPr>
          <w:rFonts w:ascii="Times New Roman" w:hAnsi="Times New Roman" w:cs="Times New Roman"/>
          <w:noProof/>
          <w:sz w:val="20"/>
          <w:szCs w:val="20"/>
        </w:rPr>
        <w:t>[4]</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w:t>
      </w:r>
      <w:r w:rsidRPr="00862E4A">
        <w:rPr>
          <w:rFonts w:ascii="Times New Roman" w:hAnsi="Times New Roman" w:cs="Times New Roman"/>
          <w:sz w:val="20"/>
          <w:szCs w:val="20"/>
        </w:rPr>
        <w:t xml:space="preserve">the research team proposed that, if </w:t>
      </w:r>
      <w:r w:rsidR="00A1107A" w:rsidRPr="00862E4A">
        <w:rPr>
          <w:rFonts w:ascii="Times New Roman" w:hAnsi="Times New Roman" w:cs="Times New Roman"/>
          <w:sz w:val="20"/>
          <w:szCs w:val="20"/>
        </w:rPr>
        <w:t>the CFA was not an acceptable fit</w:t>
      </w:r>
      <w:r w:rsidRPr="00862E4A">
        <w:rPr>
          <w:rFonts w:ascii="Times New Roman" w:hAnsi="Times New Roman" w:cs="Times New Roman"/>
          <w:sz w:val="20"/>
          <w:szCs w:val="20"/>
        </w:rPr>
        <w:t xml:space="preserve"> for the </w:t>
      </w:r>
      <w:proofErr w:type="spellStart"/>
      <w:r w:rsidRPr="00862E4A">
        <w:rPr>
          <w:rFonts w:ascii="Times New Roman" w:hAnsi="Times New Roman" w:cs="Times New Roman"/>
          <w:sz w:val="20"/>
          <w:szCs w:val="20"/>
        </w:rPr>
        <w:t>FFMQ</w:t>
      </w:r>
      <w:proofErr w:type="spellEnd"/>
      <w:r w:rsidR="00A1107A" w:rsidRPr="00862E4A">
        <w:rPr>
          <w:rFonts w:ascii="Times New Roman" w:hAnsi="Times New Roman" w:cs="Times New Roman"/>
          <w:sz w:val="20"/>
          <w:szCs w:val="20"/>
        </w:rPr>
        <w:t>, an Exploratory Factor Analysis (</w:t>
      </w:r>
      <w:proofErr w:type="spellStart"/>
      <w:r w:rsidR="00A1107A" w:rsidRPr="00862E4A">
        <w:rPr>
          <w:rFonts w:ascii="Times New Roman" w:hAnsi="Times New Roman" w:cs="Times New Roman"/>
          <w:sz w:val="20"/>
          <w:szCs w:val="20"/>
        </w:rPr>
        <w:t>EFA</w:t>
      </w:r>
      <w:proofErr w:type="spellEnd"/>
      <w:r w:rsidR="00A1107A" w:rsidRPr="00862E4A">
        <w:rPr>
          <w:rFonts w:ascii="Times New Roman" w:hAnsi="Times New Roman" w:cs="Times New Roman"/>
          <w:sz w:val="20"/>
          <w:szCs w:val="20"/>
        </w:rPr>
        <w:t xml:space="preserve">) would be required to assess the factor loadings of the </w:t>
      </w:r>
      <w:proofErr w:type="spellStart"/>
      <w:r w:rsidR="00A1107A" w:rsidRPr="00862E4A">
        <w:rPr>
          <w:rFonts w:ascii="Times New Roman" w:hAnsi="Times New Roman" w:cs="Times New Roman"/>
          <w:sz w:val="20"/>
          <w:szCs w:val="20"/>
        </w:rPr>
        <w:t>FMMQ</w:t>
      </w:r>
      <w:proofErr w:type="spellEnd"/>
      <w:r w:rsidR="00A1107A" w:rsidRPr="00862E4A">
        <w:rPr>
          <w:rFonts w:ascii="Times New Roman" w:hAnsi="Times New Roman" w:cs="Times New Roman"/>
          <w:sz w:val="20"/>
          <w:szCs w:val="20"/>
        </w:rPr>
        <w:t xml:space="preserve"> in this dataset.</w:t>
      </w:r>
      <w:r w:rsidRPr="00862E4A">
        <w:rPr>
          <w:rFonts w:ascii="Times New Roman" w:hAnsi="Times New Roman" w:cs="Times New Roman"/>
          <w:sz w:val="20"/>
          <w:szCs w:val="20"/>
        </w:rPr>
        <w:t xml:space="preserve"> </w:t>
      </w:r>
      <w:r w:rsidR="00A1107A" w:rsidRPr="00862E4A">
        <w:rPr>
          <w:rFonts w:ascii="Times New Roman" w:hAnsi="Times New Roman" w:cs="Times New Roman"/>
          <w:sz w:val="20"/>
          <w:szCs w:val="20"/>
        </w:rPr>
        <w:t xml:space="preserve">It is proposed that this method would offer the most reliable findings within the overall Structural Equation Model (SEM) to test the hypothesis in this research. There are not currently any measures of mindfulness which offer a sound methodological basis, as highlighted in </w:t>
      </w:r>
      <w:proofErr w:type="spellStart"/>
      <w:r w:rsidR="00A1107A" w:rsidRPr="00862E4A">
        <w:rPr>
          <w:rFonts w:ascii="Times New Roman" w:hAnsi="Times New Roman" w:cs="Times New Roman"/>
          <w:sz w:val="20"/>
          <w:szCs w:val="20"/>
        </w:rPr>
        <w:t>Lucuona</w:t>
      </w:r>
      <w:proofErr w:type="spellEnd"/>
      <w:r w:rsidR="00A1107A" w:rsidRPr="00862E4A">
        <w:rPr>
          <w:rFonts w:ascii="Times New Roman" w:hAnsi="Times New Roman" w:cs="Times New Roman"/>
          <w:sz w:val="20"/>
          <w:szCs w:val="20"/>
        </w:rPr>
        <w:t xml:space="preserve"> and colleagues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{"citationItems":[{"id":"ITEM-1","itemData":{"DOI":"10.1177/1073191119873718","ISSN":"15523489","PMID":"31609133","abstract":"The Five Facets Mindfulness Questionnaire (FFMQ) is a popular tool in mindfulness research. However, its psychometric qualities and its replicability have caused controversy. This study carried out a psychometric review and a conceptual replication of the FFMQ latent structure. The review showed that previous validation studies of the FFMQ used nonoptimal methods. In addition, this conceptual replication study tested the structure of the FFMQ using frequentist and Bayesian techniques. The original structure did not provide a good fit with both techniques, while the proposed alternative provided mixed results. We also found systematic fit improvements in both techniques when the Observe facet was excluded and method factors were included. With these findings, we conclude that the conceptual replication of the FFMQ’s structure failed. Alternatively, we propose a new provisional FFMQ model with a set of recommendations regarding its application. Future research proposals on improving techniques and models toward mindfulness assessment are also presented and discussed.","author":[{"dropping-particle":"","family":"Lecuona","given":"Oscar","non-dropping-particle":"","parse-names":false,"suffix":""},{"dropping-particle":"","family":"García-Garzón","given":"Eduardo","non-dropping-particle":"","parse-names":false,"suffix":""},{"dropping-particle":"","family":"García-Rubio","given":"Carlos","non-dropping-particle":"","parse-names":false,"suffix":""},{"dropping-particle":"","family":"Rodríguez-Carvajal","given":"Raquel","non-dropping-particle":"","parse-names":false,"suffix":""}],"container-title":"Assessment","id":"ITEM-1","issue":"5","issued":{"date-parts":[["2020","7","1"]]},"page":"859-872","publisher":"SAGE Publications Inc.","title":"A Psychometric Review and Conceptual Replication Study of the Five Facets Mindfulness Questionnaire Latent Structure","type":"article-journal","volume":"27"},"uris":["http://www.mendeley.com/documents/?uuid=28c25fba-5636-4630-b350-e2dc5bc7fd58"]}],"mendeley":{"formattedCitation":"[4]","plainTextFormattedCitation":"[4]","previouslyFormattedCitation":"[4]"},"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00616713" w:rsidRPr="00862E4A">
        <w:rPr>
          <w:rFonts w:ascii="Times New Roman" w:hAnsi="Times New Roman" w:cs="Times New Roman"/>
          <w:noProof/>
          <w:sz w:val="20"/>
          <w:szCs w:val="20"/>
        </w:rPr>
        <w:t>[4]</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psychometric review of the </w:t>
      </w:r>
      <w:proofErr w:type="spellStart"/>
      <w:r w:rsidR="00A1107A" w:rsidRPr="00862E4A">
        <w:rPr>
          <w:rFonts w:ascii="Times New Roman" w:hAnsi="Times New Roman" w:cs="Times New Roman"/>
          <w:sz w:val="20"/>
          <w:szCs w:val="20"/>
        </w:rPr>
        <w:t>FFMQ</w:t>
      </w:r>
      <w:proofErr w:type="spellEnd"/>
      <w:r w:rsidR="00A1107A" w:rsidRPr="00862E4A">
        <w:rPr>
          <w:rFonts w:ascii="Times New Roman" w:hAnsi="Times New Roman" w:cs="Times New Roman"/>
          <w:sz w:val="20"/>
          <w:szCs w:val="20"/>
        </w:rPr>
        <w:t xml:space="preserve">. </w:t>
      </w:r>
    </w:p>
    <w:p w14:paraId="40ED7451" w14:textId="1A8CD4E5" w:rsidR="00A1107A" w:rsidRPr="00D77851" w:rsidRDefault="00A1107A" w:rsidP="00D77851">
      <w:pPr>
        <w:pStyle w:val="Heading1"/>
        <w:spacing w:line="480" w:lineRule="auto"/>
        <w:rPr>
          <w:rFonts w:ascii="Times New Roman" w:hAnsi="Times New Roman" w:cs="Times New Roman"/>
          <w:color w:val="auto"/>
        </w:rPr>
      </w:pPr>
      <w:bookmarkStart w:id="2" w:name="_Toc96772222"/>
      <w:r w:rsidRPr="00D77851">
        <w:rPr>
          <w:rFonts w:ascii="Times New Roman" w:hAnsi="Times New Roman" w:cs="Times New Roman"/>
          <w:color w:val="auto"/>
        </w:rPr>
        <w:t>Methods</w:t>
      </w:r>
      <w:bookmarkEnd w:id="2"/>
    </w:p>
    <w:p w14:paraId="62C4F57A" w14:textId="5BB59765" w:rsidR="009E5586" w:rsidRPr="00862E4A" w:rsidRDefault="00616713" w:rsidP="00616713">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 xml:space="preserve">Amos Version 26 </w:t>
      </w:r>
      <w:r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{"citationItems":[{"id":"ITEM-1","itemData":{"author":[{"dropping-particle":"","family":"Arbuckle","given":"J.L","non-dropping-particle":"","parse-names":false,"suffix":""}],"id":"ITEM-1","issued":{"date-parts":[["2019"]]},"publisher":"IMB SPSS","publisher-place":"Chicago","title":"Amos (Version 26.0)","type":"article"},"uris":["http://www.mendeley.com/documents/?uuid=7d00b4af-32ce-4bbf-9728-faf5cd30b632"]}],"mendeley":{"formattedCitation":"[5]","plainTextFormattedCitation":"[5]","previouslyFormattedCitation":"[5]"},"properties":{"noteIndex":0},"schema":"https://github.com/citation-style-language/schema/raw/master/csl-citation.json"}</w:instrText>
      </w:r>
      <w:r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[5]</w:t>
      </w:r>
      <w:r w:rsidRPr="00862E4A">
        <w:rPr>
          <w:rFonts w:ascii="Times New Roman" w:hAnsi="Times New Roman" w:cs="Times New Roman"/>
          <w:sz w:val="20"/>
          <w:szCs w:val="20"/>
        </w:rPr>
        <w:fldChar w:fldCharType="end"/>
      </w:r>
      <w:r w:rsidRPr="00862E4A">
        <w:rPr>
          <w:rFonts w:ascii="Times New Roman" w:hAnsi="Times New Roman" w:cs="Times New Roman"/>
          <w:sz w:val="20"/>
          <w:szCs w:val="20"/>
        </w:rPr>
        <w:t xml:space="preserve"> was used for Confirmatory Factor Analysis (CFA)</w:t>
      </w:r>
      <w:r w:rsidRPr="00862E4A">
        <w:rPr>
          <w:rFonts w:ascii="Times New Roman" w:hAnsi="Times New Roman" w:cs="Times New Roman"/>
          <w:sz w:val="20"/>
          <w:szCs w:val="20"/>
        </w:rPr>
        <w:t xml:space="preserve">. </w:t>
      </w:r>
      <w:r w:rsidR="009E5586" w:rsidRPr="00862E4A">
        <w:rPr>
          <w:rFonts w:ascii="Times New Roman" w:hAnsi="Times New Roman" w:cs="Times New Roman"/>
          <w:sz w:val="20"/>
          <w:szCs w:val="20"/>
        </w:rPr>
        <w:t xml:space="preserve">Model fit </w:t>
      </w:r>
      <w:r w:rsidR="009E5586" w:rsidRPr="00862E4A">
        <w:rPr>
          <w:rFonts w:ascii="Times New Roman" w:hAnsi="Times New Roman" w:cs="Times New Roman"/>
          <w:sz w:val="20"/>
          <w:szCs w:val="20"/>
        </w:rPr>
        <w:t>for CFAs were</w:t>
      </w:r>
      <w:r w:rsidR="009E5586" w:rsidRPr="00862E4A">
        <w:rPr>
          <w:rFonts w:ascii="Times New Roman" w:hAnsi="Times New Roman" w:cs="Times New Roman"/>
          <w:sz w:val="20"/>
          <w:szCs w:val="20"/>
        </w:rPr>
        <w:t xml:space="preserve"> assessed through examination of: normed </w:t>
      </w:r>
      <w:r w:rsidR="009E5586" w:rsidRPr="00862E4A">
        <w:rPr>
          <w:rFonts w:ascii="Times New Roman" w:hAnsi="Times New Roman" w:cs="Times New Roman"/>
          <w:i/>
          <w:iCs/>
          <w:sz w:val="20"/>
          <w:szCs w:val="20"/>
        </w:rPr>
        <w:t>X</w:t>
      </w:r>
      <w:r w:rsidR="009E5586" w:rsidRPr="00862E4A">
        <w:rPr>
          <w:rFonts w:ascii="Times New Roman" w:hAnsi="Times New Roman" w:cs="Times New Roman"/>
          <w:sz w:val="20"/>
          <w:szCs w:val="20"/>
          <w:vertAlign w:val="superscript"/>
        </w:rPr>
        <w:t xml:space="preserve">2 </w:t>
      </w:r>
      <w:r w:rsidR="009E5586" w:rsidRPr="00862E4A">
        <w:rPr>
          <w:rFonts w:ascii="Times New Roman" w:hAnsi="Times New Roman" w:cs="Times New Roman"/>
          <w:sz w:val="20"/>
          <w:szCs w:val="20"/>
        </w:rPr>
        <w:t>statistic (</w:t>
      </w:r>
      <w:r w:rsidR="009E5586" w:rsidRPr="00862E4A">
        <w:rPr>
          <w:rFonts w:ascii="Times New Roman" w:hAnsi="Times New Roman" w:cs="Times New Roman"/>
          <w:i/>
          <w:iCs/>
          <w:sz w:val="20"/>
          <w:szCs w:val="20"/>
        </w:rPr>
        <w:t>X</w:t>
      </w:r>
      <w:r w:rsidR="009E5586" w:rsidRPr="00862E4A">
        <w:rPr>
          <w:rFonts w:ascii="Times New Roman" w:hAnsi="Times New Roman" w:cs="Times New Roman"/>
          <w:sz w:val="20"/>
          <w:szCs w:val="20"/>
          <w:vertAlign w:val="superscript"/>
        </w:rPr>
        <w:t>2</w:t>
      </w:r>
      <w:r w:rsidR="009E5586" w:rsidRPr="00862E4A">
        <w:rPr>
          <w:rFonts w:ascii="Times New Roman" w:hAnsi="Times New Roman" w:cs="Times New Roman"/>
          <w:sz w:val="20"/>
          <w:szCs w:val="20"/>
        </w:rPr>
        <w:t>/df), Comparative Fit Index (CFI), Tucker-Lewis Index (TLI), Standardised Root Mean Square Residual (</w:t>
      </w:r>
      <w:proofErr w:type="spellStart"/>
      <w:r w:rsidR="009E5586" w:rsidRPr="00862E4A">
        <w:rPr>
          <w:rFonts w:ascii="Times New Roman" w:hAnsi="Times New Roman" w:cs="Times New Roman"/>
          <w:sz w:val="20"/>
          <w:szCs w:val="20"/>
        </w:rPr>
        <w:t>SRMR</w:t>
      </w:r>
      <w:proofErr w:type="spellEnd"/>
      <w:r w:rsidR="009E5586" w:rsidRPr="00862E4A">
        <w:rPr>
          <w:rFonts w:ascii="Times New Roman" w:hAnsi="Times New Roman" w:cs="Times New Roman"/>
          <w:sz w:val="20"/>
          <w:szCs w:val="20"/>
        </w:rPr>
        <w:t>), and Root Mean Square Error of Approximation (</w:t>
      </w:r>
      <w:proofErr w:type="spellStart"/>
      <w:r w:rsidR="009E5586" w:rsidRPr="00862E4A">
        <w:rPr>
          <w:rFonts w:ascii="Times New Roman" w:hAnsi="Times New Roman" w:cs="Times New Roman"/>
          <w:sz w:val="20"/>
          <w:szCs w:val="20"/>
        </w:rPr>
        <w:t>RMSEA</w:t>
      </w:r>
      <w:proofErr w:type="spellEnd"/>
      <w:r w:rsidR="009E5586" w:rsidRPr="00862E4A">
        <w:rPr>
          <w:rFonts w:ascii="Times New Roman" w:hAnsi="Times New Roman" w:cs="Times New Roman"/>
          <w:sz w:val="20"/>
          <w:szCs w:val="20"/>
        </w:rPr>
        <w:t xml:space="preserve">), as recommended by Brown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{"citationItems":[{"id":"ITEM-1","itemData":{"ISBN":"978-1-4625-1536-3","author":[{"dropping-particle":"","family":"Brown","given":"Timothy A","non-dropping-particle":"","parse-names":false,"suffix":""}],"edition":"Second Edi","id":"ITEM-1","issued":{"date-parts":[["2015"]]},"publisher":"The Guilford Press","publisher-place":"New York, NY","title":"Confirmatory Factor Analysis for Applied Research","type":"book"},"uris":["http://www.mendeley.com/documents/?uuid=c5d7a282-a9a4-4106-a0b5-e427cb996b21"]}],"mendeley":{"formattedCitation":"[6]","plainTextFormattedCitation":"[6]","previouslyFormattedCitation":"[6]"},"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[6]</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xml:space="preserve"> pp. 71-75. Normed </w:t>
      </w:r>
      <w:r w:rsidR="009E5586" w:rsidRPr="00862E4A">
        <w:rPr>
          <w:rFonts w:ascii="Times New Roman" w:hAnsi="Times New Roman" w:cs="Times New Roman"/>
          <w:i/>
          <w:iCs/>
          <w:sz w:val="20"/>
          <w:szCs w:val="20"/>
        </w:rPr>
        <w:t>X</w:t>
      </w:r>
      <w:r w:rsidR="009E5586" w:rsidRPr="00862E4A">
        <w:rPr>
          <w:rFonts w:ascii="Times New Roman" w:hAnsi="Times New Roman" w:cs="Times New Roman"/>
          <w:sz w:val="20"/>
          <w:szCs w:val="20"/>
          <w:vertAlign w:val="superscript"/>
        </w:rPr>
        <w:t>2</w:t>
      </w:r>
      <w:r w:rsidR="009E5586" w:rsidRPr="00862E4A">
        <w:rPr>
          <w:rFonts w:ascii="Times New Roman" w:hAnsi="Times New Roman" w:cs="Times New Roman"/>
          <w:sz w:val="20"/>
          <w:szCs w:val="20"/>
        </w:rPr>
        <w:t xml:space="preserve">/df ratios of &lt; 2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{"citationItems":[{"id":"ITEM-1","itemData":{"author":[{"dropping-particle":"","family":"Ullman","given":"J B","non-dropping-particle":"","parse-names":false,"suffix":""}],"container-title":"Using Multivariate Statistics","edition":"4th Editio","editor":[{"dropping-particle":"","family":"Tabachnick","given":"B G","non-dropping-particle":"","parse-names":false,"suffix":""},{"dropping-particle":"","family":"Fidell","given":"L S","non-dropping-particle":"","parse-names":false,"suffix":""}],"id":"ITEM-1","issued":{"date-parts":[["2001"]]},"page":"653-771","publisher":"Allyn &amp; Bacon","publisher-place":"Needham Heights, MA","title":"Structural equation modeling","type":"chapter"},"uris":["http://www.mendeley.com/documents/?uuid=a87c1801-3c88-49d6-a07b-9064f96d761f"]}],"mendeley":{"formattedCitation":"[7]","plainTextFormattedCitation":"[7]","previouslyFormattedCitation":"[7]"},"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[7]</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xml:space="preserve"> and CFI and TLI &lt; 0.9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{"citationItems":[{"id":"ITEM-1","itemData":{"DOI":"10.1037/0033-2909.107.2.238","ISSN":"00332909","PMID":"2320703","abstract":"Normed and nonnormed fit indexes are frequently used as adjuncts to chi-square statistics for evaluating the fit of a structural model. A drawback of existing indexes is that they estimate no known population parameters. A new coefficient is proposed to summarize the relative reduction in the noncentrality parameters of two nested models. Two estimators of the coefficient yield new normed (CFI) and nonnormed (FI) fit indexes. CFI avoids the underestimation of fit often noted in small samples for Bentler and Bonett's (1980) normed fit index (NFI). FI is a linear function of Bentler and Bonett's non-normed fit index (NNFI) that avoids the extreme underestimation and overestimation often found in NNFI. Asymptotically, CFI, FI, NFI, and a new index developed by Bollen are equivalent measures of comparative fit, whereas NNFI measures relative fit by comparing noncentrality per degree of freedom. All of the indexes are generalized to permit use of Wald and Lagrange multiplier statistics. An example illustrates the behavior of these indexes under conditions of correct specification and misspecification. The new fit indexes perform very well at all sample sizes.","author":[{"dropping-particle":"","family":"Bentler","given":"P. M.","non-dropping-particle":"","parse-names":false,"suffix":""}],"container-title":"Psychological Bulletin","id":"ITEM-1","issue":"2","issued":{"date-parts":[["1990"]]},"page":"238-246","publisher":"American Psychological Association Inc.","title":"Comparative fit indexes in structural models","type":"article-journal","volume":"107"},"uris":["http://www.mendeley.com/documents/?uuid=e639f84e-614c-4ef2-84ee-247b9167daa7"]}],"mendeley":{"formattedCitation":"[8]","plainTextFormattedCitation":"[8]","previouslyFormattedCitation":"[8]"},"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[8]</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xml:space="preserve"> were considered acceptable fit. </w:t>
      </w:r>
      <w:proofErr w:type="spellStart"/>
      <w:r w:rsidR="009E5586" w:rsidRPr="00862E4A">
        <w:rPr>
          <w:rFonts w:ascii="Times New Roman" w:hAnsi="Times New Roman" w:cs="Times New Roman"/>
          <w:sz w:val="20"/>
          <w:szCs w:val="20"/>
        </w:rPr>
        <w:t>SRMR</w:t>
      </w:r>
      <w:proofErr w:type="spellEnd"/>
      <w:r w:rsidR="009E5586" w:rsidRPr="00862E4A">
        <w:rPr>
          <w:rFonts w:ascii="Times New Roman" w:hAnsi="Times New Roman" w:cs="Times New Roman"/>
          <w:sz w:val="20"/>
          <w:szCs w:val="20"/>
        </w:rPr>
        <w:t xml:space="preserve"> values close to 0.08 were considered good fit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{"citationItems":[{"id":"ITEM-1","itemData":{"DOI":"10.1080/10705519909540118","ISSN":"10705511","abstract":"This article examines the adequacy of the \"rules of thumb\" conventional cutoff criteria and several new alternatives for various fit indexes used to evaluate model fit in practice. Using a 2-index presentation strategy, which includes using the maximum likelihood (ML)-based standardized root mean squared residual (SRMR) and supplementing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 © 1999, Lawrence Erlbaum Associates, Inc.","author":[{"dropping-particle":"","family":"Hu","given":"Li Tze","non-dropping-particle":"","parse-names":false,"suffix":""},{"dropping-particle":"","family":"Bentler","given":"Peter M.","non-dropping-particle":"","parse-names":false,"suffix":""}],"container-title":"Structural Equation Modeling","id":"ITEM-1","issue":"1","issued":{"date-parts":[["1999"]]},"page":"1-55","title":"Cutoff criteria for fit indexes in covariance structure analysis: Conventional criteria versus new alternatives","type":"article-journal","volume":"6"},"uris":["http://www.mendeley.com/documents/?uuid=d53d8346-9d93-4885-b540-25cbb0c45626"]}],"mendeley":{"formattedCitation":"[9]","plainTextFormattedCitation":"[9]","previouslyFormattedCitation":"[9]"},"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[9]</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xml:space="preserve">. </w:t>
      </w:r>
      <w:proofErr w:type="spellStart"/>
      <w:r w:rsidR="009E5586" w:rsidRPr="00862E4A">
        <w:rPr>
          <w:rFonts w:ascii="Times New Roman" w:hAnsi="Times New Roman" w:cs="Times New Roman"/>
          <w:sz w:val="20"/>
          <w:szCs w:val="20"/>
        </w:rPr>
        <w:t>RMSEA</w:t>
      </w:r>
      <w:proofErr w:type="spellEnd"/>
      <w:r w:rsidR="009E5586" w:rsidRPr="00862E4A">
        <w:rPr>
          <w:rFonts w:ascii="Times New Roman" w:hAnsi="Times New Roman" w:cs="Times New Roman"/>
          <w:sz w:val="20"/>
          <w:szCs w:val="20"/>
        </w:rPr>
        <w:t xml:space="preserve"> &lt; 0.05 was considered good, &gt; 0.05 to &lt; 0.08 was acceptable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{"citationItems":[{"id":"ITEM-1","itemData":{"author":[{"dropping-particle":"","family":"Browne","given":"Michael W.","non-dropping-particle":"","parse-names":false,"suffix":""},{"dropping-particle":"","family":"Cudeck","given":"R","non-dropping-particle":"","parse-names":false,"suffix":""}],"container-title":"Testing structural equation models","editor":[{"dropping-particle":"","family":"Bollen","given":"K.A","non-dropping-particle":"","parse-names":false,"suffix":""},{"dropping-particle":"","family":"Long","given":"J.S","non-dropping-particle":"","parse-names":false,"suffix":""}],"id":"ITEM-1","issued":{"date-parts":[["1993"]]},"page":"136-162","publisher":"Sage","publisher-place":"Newbury Park, CA","title":"Alternative ways of assessing model fit","type":"chapter"},"uris":["http://www.mendeley.com/documents/?uuid=0dac92f3-76b9-469c-9fad-5c11344876f9"]}],"mendeley":{"formattedCitation":"[10]","plainTextFormattedCitation":"[10]","previouslyFormattedCitation":"[10]"},"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[10]</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xml:space="preserve"> and &gt; 0.08 to &lt; 0.1 was mediocre </w:t>
      </w:r>
      <w:r w:rsidR="009E5586"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{"citationItems":[{"id":"ITEM-1","itemData":{"DOI":"10.1037/1082-989X.1.2.130","ISSN":"1082989X","abstract":"A framework for hypothesis testing and power analysis in the assessment of fit of covariance structure models is presented. We emphasize the value of confidence intervals for fit indices, and we stress the relationship of confidence intervals to a framework for hypothesis testing. The approach allows for testing null hypotheses of not-good fit, reversing the role of the null hypothesis in conventional tests of model fit, so that a significant result provides strong support for good fit. The approach also allows for direct estimation of power, where effect size is defined in terms of a null and alternative value of the root-mean-square error of approximation fit index proposed by J. H. Steiger and J. M. Lind (1980). It is also feasible to determine minimum sample size required to achieve a given level of power for any test of fit in this framework. Computer programs and examples are provided for power analyses and calculation of minimum sample sizes. Copyright 1996 by the American Psychological Association, Inc.","author":[{"dropping-particle":"","family":"MacCallum","given":"Robert C.","non-dropping-particle":"","parse-names":false,"suffix":""},{"dropping-particle":"","family":"Browne","given":"Michael W.","non-dropping-particle":"","parse-names":false,"suffix":""},{"dropping-particle":"","family":"Sugawara","given":"Hazuki M.","non-dropping-particle":"","parse-names":false,"suffix":""}],"container-title":"Psychological Methods","id":"ITEM-1","issue":"2","issued":{"date-parts":[["1996"]]},"page":"130-149","publisher":"American Psychological Association Inc.","title":"Power analysis and determination of sample size for covariance structure modeling","type":"article-journal","volume":"1"},"uris":["http://www.mendeley.com/documents/?uuid=afafa529-f397-48d8-9b69-f15bdbcb92b8"]}],"mendeley":{"formattedCitation":"[11]","plainTextFormattedCitation":"[11]","previouslyFormattedCitation":"[11]"},"properties":{"noteIndex":0},"schema":"https://github.com/citation-style-language/schema/raw/master/csl-citation.json"}</w:instrText>
      </w:r>
      <w:r w:rsidR="009E5586"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[11]</w:t>
      </w:r>
      <w:r w:rsidR="009E5586" w:rsidRPr="00862E4A">
        <w:rPr>
          <w:rFonts w:ascii="Times New Roman" w:hAnsi="Times New Roman" w:cs="Times New Roman"/>
          <w:sz w:val="20"/>
          <w:szCs w:val="20"/>
        </w:rPr>
        <w:fldChar w:fldCharType="end"/>
      </w:r>
      <w:r w:rsidR="009E5586" w:rsidRPr="00862E4A">
        <w:rPr>
          <w:rFonts w:ascii="Times New Roman" w:hAnsi="Times New Roman" w:cs="Times New Roman"/>
          <w:sz w:val="20"/>
          <w:szCs w:val="20"/>
        </w:rPr>
        <w:t>. Values were determined after inspection of the modification indices, and conclusions about the fit of the model took all measures into account</w:t>
      </w:r>
    </w:p>
    <w:p w14:paraId="433C990D" w14:textId="49540EBA" w:rsidR="00A1107A" w:rsidRPr="00862E4A" w:rsidRDefault="00616713" w:rsidP="00616713">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 xml:space="preserve">R </w:t>
      </w:r>
      <w:r w:rsidRPr="00862E4A">
        <w:rPr>
          <w:rFonts w:ascii="Times New Roman" w:hAnsi="Times New Roman" w:cs="Times New Roman"/>
          <w:sz w:val="20"/>
          <w:szCs w:val="20"/>
        </w:rPr>
        <w:t xml:space="preserve">Studio </w:t>
      </w:r>
      <w:r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{"citationItems":[{"id":"ITEM-1","itemData":{"author":[{"dropping-particle":"","family":"R Core Team","given":"","non-dropping-particle":"","parse-names":false,"suffix":""}],"id":"ITEM-1","issued":{"date-parts":[["2017"]]},"publisher":"R Foundation for Statistical Computing","publisher-place":"Vienna, Austria","title":"R: A language and environment for statistical computing","type":"article"},"uris":["http://www.mendeley.com/documents/?uuid=48233fbb-cf4c-44c1-85f9-c2b3ef57d6b4"]}],"mendeley":{"formattedCitation":"[12]","plainTextFormattedCitation":"[12]","previouslyFormattedCitation":"[12]"},"properties":{"noteIndex":0},"schema":"https://github.com/citation-style-language/schema/raw/master/csl-citation.json"}</w:instrText>
      </w:r>
      <w:r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[12]</w:t>
      </w:r>
      <w:r w:rsidRPr="00862E4A">
        <w:rPr>
          <w:rFonts w:ascii="Times New Roman" w:hAnsi="Times New Roman" w:cs="Times New Roman"/>
          <w:sz w:val="20"/>
          <w:szCs w:val="20"/>
        </w:rPr>
        <w:fldChar w:fldCharType="end"/>
      </w:r>
      <w:r w:rsidRPr="00862E4A">
        <w:rPr>
          <w:rFonts w:ascii="Times New Roman" w:hAnsi="Times New Roman" w:cs="Times New Roman"/>
          <w:sz w:val="20"/>
          <w:szCs w:val="20"/>
        </w:rPr>
        <w:t xml:space="preserve"> was used for Exploratory Factor Analysis (</w:t>
      </w:r>
      <w:proofErr w:type="spellStart"/>
      <w:r w:rsidRPr="00862E4A">
        <w:rPr>
          <w:rFonts w:ascii="Times New Roman" w:hAnsi="Times New Roman" w:cs="Times New Roman"/>
          <w:sz w:val="20"/>
          <w:szCs w:val="20"/>
        </w:rPr>
        <w:t>EFA</w:t>
      </w:r>
      <w:proofErr w:type="spellEnd"/>
      <w:r w:rsidRPr="00862E4A">
        <w:rPr>
          <w:rFonts w:ascii="Times New Roman" w:hAnsi="Times New Roman" w:cs="Times New Roman"/>
          <w:sz w:val="20"/>
          <w:szCs w:val="20"/>
        </w:rPr>
        <w:t>)</w:t>
      </w:r>
      <w:r w:rsidRPr="00862E4A">
        <w:rPr>
          <w:rFonts w:ascii="Times New Roman" w:hAnsi="Times New Roman" w:cs="Times New Roman"/>
          <w:sz w:val="20"/>
          <w:szCs w:val="20"/>
        </w:rPr>
        <w:t>, t</w:t>
      </w:r>
      <w:r w:rsidR="00A1107A" w:rsidRPr="00862E4A">
        <w:rPr>
          <w:rFonts w:ascii="Times New Roman" w:hAnsi="Times New Roman" w:cs="Times New Roman"/>
          <w:sz w:val="20"/>
          <w:szCs w:val="20"/>
        </w:rPr>
        <w:t xml:space="preserve">o assess the factor loadings of the </w:t>
      </w:r>
      <w:proofErr w:type="spellStart"/>
      <w:r w:rsidR="00A1107A" w:rsidRPr="00862E4A">
        <w:rPr>
          <w:rFonts w:ascii="Times New Roman" w:hAnsi="Times New Roman" w:cs="Times New Roman"/>
          <w:sz w:val="20"/>
          <w:szCs w:val="20"/>
        </w:rPr>
        <w:t>FFMQ</w:t>
      </w:r>
      <w:proofErr w:type="spellEnd"/>
      <w:r w:rsidR="00A1107A" w:rsidRPr="00862E4A">
        <w:rPr>
          <w:rFonts w:ascii="Times New Roman" w:hAnsi="Times New Roman" w:cs="Times New Roman"/>
          <w:sz w:val="20"/>
          <w:szCs w:val="20"/>
        </w:rPr>
        <w:t xml:space="preserve"> in this dataset. As the data were ordinal, they were treated as </w:t>
      </w:r>
      <w:proofErr w:type="spellStart"/>
      <w:r w:rsidR="00A1107A" w:rsidRPr="00862E4A">
        <w:rPr>
          <w:rFonts w:ascii="Times New Roman" w:hAnsi="Times New Roman" w:cs="Times New Roman"/>
          <w:sz w:val="20"/>
          <w:szCs w:val="20"/>
        </w:rPr>
        <w:t>polychoric</w:t>
      </w:r>
      <w:proofErr w:type="spellEnd"/>
      <w:r w:rsidR="00A1107A" w:rsidRPr="00862E4A">
        <w:rPr>
          <w:rFonts w:ascii="Times New Roman" w:hAnsi="Times New Roman" w:cs="Times New Roman"/>
          <w:sz w:val="20"/>
          <w:szCs w:val="20"/>
        </w:rPr>
        <w:t xml:space="preserve">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{"citationItems":[{"id":"ITEM-1","itemData":{"DOI":"10.1007/s11135-008-9190-y","abstract":"Given that the use of Likert scales is increasingly common in the field of social research it is necessary to determine which methodology is the most suitable for analysing the data obtained; although, given the categorization of these scales, the results should be treated as ordinal data it is often the case that they are analysed using techniques designed for cardinal measures. One of the most widely used techniques for studying the construct validity of data is factor analysis, whether exploratory or confirmatory, and this method uses correlation matrices (generally Pearson) to obtain factor solutions. In this context, and by means of simulation studies, we aim to illustrate the advantages of using polychoric rather than Pearson correlations, taking into account that the latter require quantitative variables measured in intervals, and that the relationship between these variables has to be monotonic. The results show that the solutions obtained using polychoric correlations provide a more accurate reproduction of the measurement model used to generate the data.","author":[{"dropping-particle":"","family":"Holgado-Tello","given":"Francisco","non-dropping-particle":"","parse-names":false,"suffix":""},{"dropping-particle":"","family":"Moscoso","given":"Salvador","non-dropping-particle":"","parse-names":false,"suffix":""},{"dropping-particle":"","family":"Barbero-García","given":"Isabel","non-dropping-particle":"","parse-names":false,"suffix":""},{"dropping-particle":"","family":"Vila","given":"Enrique","non-dropping-particle":"","parse-names":false,"suffix":""},{"dropping-particle":"","family":"Holgado -Tello","given":"Francisco Pablo","non-dropping-particle":"","parse-names":false,"suffix":""},{"dropping-particle":"","family":"Chacón -Moscoso","given":"Salvador","non-dropping-particle":"","parse-names":false,"suffix":""},{"dropping-particle":"","family":"Barbero -García","given":"Isabel","non-dropping-particle":"","parse-names":false,"suffix":""},{"dropping-particle":"","family":"Vila -Abad","given":"Enrique","non-dropping-particle":"","parse-names":false,"suffix":""},{"dropping-particle":"","family":"Holgado-Tello","given":"F P","non-dropping-particle":"","parse-names":false,"suffix":""},{"dropping-particle":"","family":"Barbero-García","given":"I","non-dropping-particle":"","parse-names":false,"suffix":""},{"dropping-particle":"","family":"Vila-Abad","given":"· E","non-dropping-particle":"","parse-names":false,"suffix":""},{"dropping-particle":"","family":"Vila-Abad","given":"E","non-dropping-particle":"","parse-names":false,"suffix":""},{"dropping-particle":"","family":"Chacón-Moscoso","given":"S","non-dropping-particle":"","parse-names":false,"suffix":""}],"container-title":"Qual Quant","id":"ITEM-1","issued":{"date-parts":[["2010"]]},"page":"153-166","title":"Polychoric versus Pearson correlations in Exploratory and Confirmatory Factor Analysis with ordinal variables","type":"article-journal","volume":"44"},"uris":["http://www.mendeley.com/documents/?uuid=0c4b0eba-e0f7-4859-b03b-9066cea18f13"]}],"mendeley":{"formattedCitation":"[13]","plainTextFormattedCitation":"[13]","previouslyFormattedCitation":"[13]"},"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[13]</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Data were acceptable for </w:t>
      </w:r>
      <w:proofErr w:type="spellStart"/>
      <w:r w:rsidR="00A1107A" w:rsidRPr="00862E4A">
        <w:rPr>
          <w:rFonts w:ascii="Times New Roman" w:hAnsi="Times New Roman" w:cs="Times New Roman"/>
          <w:sz w:val="20"/>
          <w:szCs w:val="20"/>
        </w:rPr>
        <w:t>EFA</w:t>
      </w:r>
      <w:proofErr w:type="spellEnd"/>
      <w:r w:rsidR="00A1107A" w:rsidRPr="00862E4A">
        <w:rPr>
          <w:rFonts w:ascii="Times New Roman" w:hAnsi="Times New Roman" w:cs="Times New Roman"/>
          <w:sz w:val="20"/>
          <w:szCs w:val="20"/>
        </w:rPr>
        <w:t xml:space="preserve"> if the Keiser-Meyer-Olkin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{"citationItems":[{"id":"ITEM-1","itemData":{"DOI":"10.1007/BF02291575","ISSN":"00333123","abstract":"An index of factorial simplicity, employing the quartimax transformational criteria of Carroll, Wrigley and Neuhaus, and Saunders, is developed. This index is both for each row separately and for a factor pattern matrix as a whole. The index varies between zero and one. The problem of calibrating the index is discussed. © 1974 Psychometric Society.","author":[{"dropping-particle":"","family":"Kaiser","given":"Henry F.","non-dropping-particle":"","parse-names":false,"suffix":""}],"container-title":"Psychometrika","id":"ITEM-1","issue":"1","issued":{"date-parts":[["1974","3"]]},"page":"31-36","publisher":"Springer-Verlag","title":"An index of factorial simplicity","type":"article-journal","volume":"39"},"uris":["http://www.mendeley.com/documents/?uuid=d70dc3d0-ab79-4c4e-826b-42cbe9a8ec16"]}],"mendeley":{"formattedCitation":"[14]","plainTextFormattedCitation":"[14]","previouslyFormattedCitation":"[14]"},"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[14]</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was above 0.5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{"citationItems":[{"id":"ITEM-1","itemData":{"author":[{"dropping-particle":"","family":"Hutcheson","given":"Graeme D","non-dropping-particle":"","parse-names":false,"suffix":""},{"dropping-particle":"","family":"Sofroniou","given":"Nick","non-dropping-particle":"","parse-names":false,"suffix":""}],"id":"ITEM-1","issued":{"date-parts":[["1999"]]},"publisher":"SAGE Publications Ltd","publisher-place":"London, UK","title":"The Multivariate Social Scientist","type":"book"},"uris":["http://www.mendeley.com/documents/?uuid=b037a38f-bd09-4f1b-8f5c-0cb58900b3be"]}],"mendeley":{"formattedCitation":"[15]","plainTextFormattedCitation":"[15]","previouslyFormattedCitation":"[15]"},"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[15]</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and the Bartlett Test of Sphericity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{"citationItems":[{"id":"ITEM-1","itemData":{"DOI":"10.1111/j.2044-8317.1950.tb00285.x","ISSN":"0950561X","author":[{"dropping-particle":"","family":"Bartlett","given":"M.S","non-dropping-particle":"","parse-names":false,"suffix":""}],"container-title":"British Journal of Statistical Psychology","id":"ITEM-1","issue":"2","issued":{"date-parts":[["1950","6","1"]]},"page":"77-85","publisher":"John Wiley &amp; Sons, Ltd","title":"Tests of significance in factor analysis","type":"article-journal","volume":"3"},"uris":["http://www.mendeley.com/documents/?uuid=6991d63d-3de5-442f-bc17-ac8e4ace9aa8"]}],"mendeley":{"formattedCitation":"[16]","plainTextFormattedCitation":"[16]","previouslyFormattedCitation":"[16]"},"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[16]</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was statistically significant at </w:t>
      </w:r>
      <w:r w:rsidR="00A1107A" w:rsidRPr="00862E4A">
        <w:rPr>
          <w:rFonts w:ascii="Times New Roman" w:hAnsi="Times New Roman" w:cs="Times New Roman"/>
          <w:i/>
          <w:iCs/>
          <w:sz w:val="20"/>
          <w:szCs w:val="20"/>
        </w:rPr>
        <w:t xml:space="preserve">p </w:t>
      </w:r>
      <w:r w:rsidR="00A1107A" w:rsidRPr="00862E4A">
        <w:rPr>
          <w:rFonts w:ascii="Times New Roman" w:hAnsi="Times New Roman" w:cs="Times New Roman"/>
          <w:sz w:val="20"/>
          <w:szCs w:val="20"/>
        </w:rPr>
        <w:t xml:space="preserve">&lt; .05. A parallel analysis, using the Monte-Carlo simulation method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{"citationItems":[{"id":"ITEM-1","itemData":{"DOI":"10.1177/0013164495055003002","ISSN":"0013-1644","abstract":"One of the most important decisions that can be made in the use of factor analysis is the number of factors to retain. Numerous studies have consistently shown that Horn’s parallel analysis is the most nearly accurate methodology for determining the number of factors to retain in an exploratory factor analysis. Although Horn’s procedure is relatively accurate, it still tends to error in the direction of indicating the retention of one or two more factors than is actually warranted or of retaining poorly defined factors. A modification of Horn’s parallel analysis based on Monte Carlo simulation of the null distributions of the eigenvalues generated from a population correlation identity matrix is introduced. This modification allows identification of any desired upper 1 - a percentile, such as the 95th percentile of this set of distributions. The 1 - ax percentile then can be used to determine whether an eigenvalue is larger than what could be expected by chance. Horn based his original procedure on the average eigenvalues derived from this set of distributions. The modified procedure reduces the tendency of the parallel analysis methodology to overextract. An example is provided that demonstrates this capability. A demonstration is also given that indicates that the parallel analysis procedure and its modification are insensitive to the distributional characteristics of the data used to generate the eigenvalue distributions. © 1995, Sage Publications. All rights reserved.","author":[{"dropping-particle":"","family":"Glorfeld","given":"Louis W.","non-dropping-particle":"","parse-names":false,"suffix":""}],"container-title":"Educational and Psychological Measurement","id":"ITEM-1","issue":"3","issued":{"date-parts":[["1995","6"]]},"page":"377-393","publisher":"Sage PublicationsSage CA: Thousand Oaks, CA","title":"An Improvement on Horn's Parallel Analysis Methodology for Selecting the Correct Number of Factors to Retain","type":"article-journal","volume":"55"},"uris":["http://www.mendeley.com/documents/?uuid=cc1d0211-827b-4998-85aa-5090411a15bf"]}],"mendeley":{"formattedCitation":"[17]","plainTextFormattedCitation":"[17]","previouslyFormattedCitation":"[17]"},"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[17]</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and a scree-plot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{"citationItems":[{"id":"ITEM-1","itemData":{"DOI":"10.1207/s15327906mbr0102_10","ISSN":"15327906","abstract":"(1966). The Scree Test For The Number Of Factors. Multivariate Behavioral Research: Vol. 1, No. 2, pp. 245-276.","author":[{"dropping-particle":"","family":"Cattell","given":"Raymond B.","non-dropping-particle":"","parse-names":false,"suffix":""}],"container-title":"Multivariate Behavioral Research","id":"ITEM-1","issue":"2","issued":{"date-parts":[["1966","4"]]},"page":"245-276","publisher":" Lawrence Erlbaum Associates, Inc. ","title":"The scree test for the number of factors","type":"article-journal","volume":"1"},"uris":["http://www.mendeley.com/documents/?uuid=d1e82908-9726-46b6-989f-659da928c5d2"]}],"mendeley":{"formattedCitation":"[18]","plainTextFormattedCitation":"[18]","previouslyFormattedCitation":"[18]"},"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[18]</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were used to identify an initial factor solution, which was followed by a principle component analysis with oblique rotation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{"citationItems":[{"id":"ITEM-1","itemData":{"ISBN":"0340807636","ISSN":"0974-1011","abstract":"Principal Component Analysis (PCA) and Exploratory Factor Analysis (EFA) are both variable reduction techniques. There are distinct differences between PCA and EFA. Similarities and differences between PCA and EFA are studied in this paper. Principal Components retained account for a maximal amount of variance of observed variables while Factors account for common variance in the data. PCA decomposes correlation matrix while EFA decomposes adjusted correlation matrix. Exploring basic theory of multivariate analysis, which involves a mathematical procedure to transform a number of correlated variables into a number of uncorrelated variables have been studied, compared and analyzed for better performance.","author":[{"dropping-particle":"","family":"Parul","given":"Ms","non-dropping-particle":"","parse-names":false,"suffix":""},{"dropping-particle":"","family":"Jain","given":"M","non-dropping-particle":"","parse-names":false,"suffix":""},{"dropping-particle":"","family":"Shandliya","given":"K","non-dropping-particle":"","parse-names":false,"suffix":""}],"container-title":"International Journal Of Computer Science And Applications","id":"ITEM-1","issue":"2","issued":{"date-parts":[["2013"]]},"page":"373-375","title":"A survey paper on comparative study between Principal Component Analysis (PCA) and Exploratory Factor Analysis (EFA)","type":"article-journal","volume":"6"},"uris":["http://www.mendeley.com/documents/?uuid=d5b3df58-f589-41f0-a395-b865285a19dd"]}],"mendeley":{"formattedCitation":"[19]","plainTextFormattedCitation":"[19]","previouslyFormattedCitation":"[19]"},"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[19]</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Items were removed if they had no loadings &gt; 0.5, had loadings of &gt; 0.35 on more than one factor, or if the factor was &lt; 0.6 with &gt; 0.2 on at least two other loadings </w:t>
      </w:r>
      <w:r w:rsidR="00A1107A"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Nunnally","given":"J.C","non-dropping-particle":"","parse-names":false,"suffix":""},{"dropping-particle":"","family":"Bernstein","given":"I.H","non-dropping-particle":"","parse-names":false,"suffix":""}],"edition":"3rd","id":"ITEM-1","issued":{"date-parts":[["1994"]]},"publisher":"McGraw-Hill","publisher-place":"New York, NY","title":"Psychometric theory","type":"book"},"uris":["http://www.mendeley.com/documents/?uuid=7e4ed77b-5516-478c-bbbb-e7f095f5779c"]}],"mendeley":{"formattedCitation":"[20]","plainTextFormattedCitation":"[20]","previouslyFormattedCitation":"[20]"},"properties":{"noteIndex":0},"schema":"https://github.com/citation-style-language/schema/raw/master/csl-citation.json"}</w:instrText>
      </w:r>
      <w:r w:rsidR="00A1107A" w:rsidRPr="00862E4A">
        <w:rPr>
          <w:rFonts w:ascii="Times New Roman" w:hAnsi="Times New Roman" w:cs="Times New Roman"/>
          <w:sz w:val="20"/>
          <w:szCs w:val="20"/>
        </w:rPr>
        <w:fldChar w:fldCharType="separate"/>
      </w:r>
      <w:r w:rsidRPr="00862E4A">
        <w:rPr>
          <w:rFonts w:ascii="Times New Roman" w:hAnsi="Times New Roman" w:cs="Times New Roman"/>
          <w:noProof/>
          <w:sz w:val="20"/>
          <w:szCs w:val="20"/>
        </w:rPr>
        <w:t>[20]</w:t>
      </w:r>
      <w:r w:rsidR="00A1107A" w:rsidRPr="00862E4A">
        <w:rPr>
          <w:rFonts w:ascii="Times New Roman" w:hAnsi="Times New Roman" w:cs="Times New Roman"/>
          <w:sz w:val="20"/>
          <w:szCs w:val="20"/>
        </w:rPr>
        <w:fldChar w:fldCharType="end"/>
      </w:r>
      <w:r w:rsidR="00A1107A" w:rsidRPr="00862E4A">
        <w:rPr>
          <w:rFonts w:ascii="Times New Roman" w:hAnsi="Times New Roman" w:cs="Times New Roman"/>
          <w:sz w:val="20"/>
          <w:szCs w:val="20"/>
        </w:rPr>
        <w:t xml:space="preserve">. </w:t>
      </w:r>
    </w:p>
    <w:p w14:paraId="181B2967" w14:textId="3A5CCE3D" w:rsidR="00A1107A" w:rsidRPr="00D77851" w:rsidRDefault="00A1107A" w:rsidP="00D77851">
      <w:pPr>
        <w:pStyle w:val="Heading1"/>
        <w:spacing w:line="480" w:lineRule="auto"/>
        <w:rPr>
          <w:rFonts w:ascii="Times New Roman" w:hAnsi="Times New Roman" w:cs="Times New Roman"/>
          <w:color w:val="auto"/>
        </w:rPr>
      </w:pPr>
      <w:bookmarkStart w:id="3" w:name="_Toc96772223"/>
      <w:r w:rsidRPr="00D77851">
        <w:rPr>
          <w:rFonts w:ascii="Times New Roman" w:hAnsi="Times New Roman" w:cs="Times New Roman"/>
          <w:color w:val="auto"/>
        </w:rPr>
        <w:lastRenderedPageBreak/>
        <w:t>Results</w:t>
      </w:r>
      <w:bookmarkEnd w:id="3"/>
      <w:r w:rsidRPr="00D77851">
        <w:rPr>
          <w:rFonts w:ascii="Times New Roman" w:hAnsi="Times New Roman" w:cs="Times New Roman"/>
          <w:color w:val="auto"/>
        </w:rPr>
        <w:t xml:space="preserve"> </w:t>
      </w:r>
    </w:p>
    <w:p w14:paraId="59916866" w14:textId="12DDD0FA" w:rsidR="00D138BF" w:rsidRPr="00D77851" w:rsidRDefault="00616713" w:rsidP="00D77851">
      <w:pPr>
        <w:pStyle w:val="Heading2"/>
        <w:spacing w:line="480" w:lineRule="auto"/>
        <w:rPr>
          <w:rFonts w:ascii="Times New Roman" w:hAnsi="Times New Roman" w:cs="Times New Roman"/>
          <w:color w:val="auto"/>
        </w:rPr>
      </w:pPr>
      <w:bookmarkStart w:id="4" w:name="_Toc73721423"/>
      <w:bookmarkStart w:id="5" w:name="_Toc73722661"/>
      <w:bookmarkStart w:id="6" w:name="_Toc73722783"/>
      <w:bookmarkStart w:id="7" w:name="_Toc74061474"/>
      <w:bookmarkStart w:id="8" w:name="_Toc96772224"/>
      <w:r w:rsidRPr="00D77851">
        <w:rPr>
          <w:rFonts w:ascii="Times New Roman" w:hAnsi="Times New Roman" w:cs="Times New Roman"/>
          <w:color w:val="auto"/>
        </w:rPr>
        <w:t>Post-traumatic stress</w:t>
      </w:r>
      <w:r w:rsidRPr="00D77851">
        <w:rPr>
          <w:rFonts w:ascii="Times New Roman" w:hAnsi="Times New Roman" w:cs="Times New Roman"/>
          <w:i/>
          <w:iCs/>
          <w:color w:val="auto"/>
        </w:rPr>
        <w:t>.</w:t>
      </w:r>
      <w:bookmarkEnd w:id="8"/>
      <w:r w:rsidRPr="00D77851">
        <w:rPr>
          <w:rFonts w:ascii="Times New Roman" w:hAnsi="Times New Roman" w:cs="Times New Roman"/>
          <w:color w:val="auto"/>
        </w:rPr>
        <w:t xml:space="preserve"> </w:t>
      </w:r>
    </w:p>
    <w:p w14:paraId="7C3C0E3A" w14:textId="3C09DC8D" w:rsidR="00616713" w:rsidRPr="00862E4A" w:rsidRDefault="00616713" w:rsidP="00D138BF">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 xml:space="preserve">A CFA of the PCL-5 was carried out, to test the factor loading of latent variables, outlined </w:t>
      </w:r>
      <w:r w:rsidR="00D138BF" w:rsidRPr="00862E4A">
        <w:rPr>
          <w:rFonts w:ascii="Times New Roman" w:hAnsi="Times New Roman" w:cs="Times New Roman"/>
          <w:sz w:val="20"/>
          <w:szCs w:val="20"/>
        </w:rPr>
        <w:t>in figure 1</w:t>
      </w:r>
      <w:r w:rsidRPr="00862E4A">
        <w:rPr>
          <w:rFonts w:ascii="Times New Roman" w:hAnsi="Times New Roman" w:cs="Times New Roman"/>
          <w:sz w:val="20"/>
          <w:szCs w:val="20"/>
        </w:rPr>
        <w:t>. This demonstrated an acceptable fit for the data (</w:t>
      </w:r>
      <w:r w:rsidRPr="00862E4A">
        <w:rPr>
          <w:rFonts w:ascii="Times New Roman" w:hAnsi="Times New Roman" w:cs="Times New Roman"/>
          <w:i/>
          <w:iCs/>
          <w:sz w:val="20"/>
          <w:szCs w:val="20"/>
        </w:rPr>
        <w:t>X</w:t>
      </w:r>
      <w:r w:rsidRPr="00862E4A">
        <w:rPr>
          <w:rFonts w:ascii="Times New Roman" w:hAnsi="Times New Roman" w:cs="Times New Roman"/>
          <w:i/>
          <w:iCs/>
          <w:sz w:val="20"/>
          <w:szCs w:val="20"/>
          <w:vertAlign w:val="superscript"/>
        </w:rPr>
        <w:t>2</w:t>
      </w:r>
      <w:r w:rsidRPr="00862E4A">
        <w:rPr>
          <w:rFonts w:ascii="Times New Roman" w:hAnsi="Times New Roman" w:cs="Times New Roman"/>
          <w:i/>
          <w:iCs/>
          <w:sz w:val="20"/>
          <w:szCs w:val="20"/>
        </w:rPr>
        <w:t xml:space="preserve">/df </w:t>
      </w:r>
      <w:r w:rsidRPr="00862E4A">
        <w:rPr>
          <w:rFonts w:ascii="Times New Roman" w:hAnsi="Times New Roman" w:cs="Times New Roman"/>
          <w:sz w:val="20"/>
          <w:szCs w:val="20"/>
        </w:rPr>
        <w:t xml:space="preserve">= 3.372, </w:t>
      </w:r>
      <w:r w:rsidRPr="00862E4A">
        <w:rPr>
          <w:rFonts w:ascii="Times New Roman" w:hAnsi="Times New Roman" w:cs="Times New Roman"/>
          <w:i/>
          <w:iCs/>
          <w:sz w:val="20"/>
          <w:szCs w:val="20"/>
        </w:rPr>
        <w:t xml:space="preserve">CFI </w:t>
      </w:r>
      <w:r w:rsidRPr="00862E4A">
        <w:rPr>
          <w:rFonts w:ascii="Times New Roman" w:hAnsi="Times New Roman" w:cs="Times New Roman"/>
          <w:sz w:val="20"/>
          <w:szCs w:val="20"/>
        </w:rPr>
        <w:t xml:space="preserve">= 0.943, </w:t>
      </w:r>
      <w:r w:rsidRPr="00862E4A">
        <w:rPr>
          <w:rFonts w:ascii="Times New Roman" w:hAnsi="Times New Roman" w:cs="Times New Roman"/>
          <w:i/>
          <w:iCs/>
          <w:sz w:val="20"/>
          <w:szCs w:val="20"/>
        </w:rPr>
        <w:t xml:space="preserve">TLI </w:t>
      </w:r>
      <w:r w:rsidRPr="00862E4A">
        <w:rPr>
          <w:rFonts w:ascii="Times New Roman" w:hAnsi="Times New Roman" w:cs="Times New Roman"/>
          <w:sz w:val="20"/>
          <w:szCs w:val="20"/>
        </w:rPr>
        <w:t xml:space="preserve">= 0.933, </w:t>
      </w:r>
      <w:proofErr w:type="spellStart"/>
      <w:r w:rsidRPr="00862E4A">
        <w:rPr>
          <w:rFonts w:ascii="Times New Roman" w:hAnsi="Times New Roman" w:cs="Times New Roman"/>
          <w:i/>
          <w:iCs/>
          <w:sz w:val="20"/>
          <w:szCs w:val="20"/>
        </w:rPr>
        <w:t>SRMR</w:t>
      </w:r>
      <w:proofErr w:type="spellEnd"/>
      <w:r w:rsidRPr="00862E4A">
        <w:rPr>
          <w:rFonts w:ascii="Times New Roman" w:hAnsi="Times New Roman" w:cs="Times New Roman"/>
          <w:i/>
          <w:iCs/>
          <w:sz w:val="20"/>
          <w:szCs w:val="20"/>
        </w:rPr>
        <w:t xml:space="preserve"> </w:t>
      </w:r>
      <w:r w:rsidRPr="00862E4A">
        <w:rPr>
          <w:rFonts w:ascii="Times New Roman" w:hAnsi="Times New Roman" w:cs="Times New Roman"/>
          <w:sz w:val="20"/>
          <w:szCs w:val="20"/>
        </w:rPr>
        <w:t xml:space="preserve">= 0.0412, </w:t>
      </w:r>
      <w:proofErr w:type="spellStart"/>
      <w:r w:rsidRPr="00862E4A">
        <w:rPr>
          <w:rFonts w:ascii="Times New Roman" w:hAnsi="Times New Roman" w:cs="Times New Roman"/>
          <w:i/>
          <w:iCs/>
          <w:sz w:val="20"/>
          <w:szCs w:val="20"/>
        </w:rPr>
        <w:t>RMSEA</w:t>
      </w:r>
      <w:proofErr w:type="spellEnd"/>
      <w:r w:rsidRPr="00862E4A">
        <w:rPr>
          <w:rFonts w:ascii="Times New Roman" w:hAnsi="Times New Roman" w:cs="Times New Roman"/>
          <w:i/>
          <w:iCs/>
          <w:sz w:val="20"/>
          <w:szCs w:val="20"/>
        </w:rPr>
        <w:t xml:space="preserve"> </w:t>
      </w:r>
      <w:r w:rsidRPr="00862E4A">
        <w:rPr>
          <w:rFonts w:ascii="Times New Roman" w:hAnsi="Times New Roman" w:cs="Times New Roman"/>
          <w:sz w:val="20"/>
          <w:szCs w:val="20"/>
        </w:rPr>
        <w:t>= 0.074), with covariance pathways for two items within the Negative alterations cluster. Standard factor loadings indicated that all items appropriately reflected their underlying latent variables (</w:t>
      </w:r>
      <w:r w:rsidRPr="00862E4A">
        <w:rPr>
          <w:rFonts w:ascii="Times New Roman" w:hAnsi="Times New Roman" w:cs="Times New Roman"/>
          <w:i/>
          <w:iCs/>
          <w:sz w:val="20"/>
          <w:szCs w:val="20"/>
        </w:rPr>
        <w:t xml:space="preserve">p </w:t>
      </w:r>
      <w:r w:rsidRPr="00862E4A">
        <w:rPr>
          <w:rFonts w:ascii="Times New Roman" w:hAnsi="Times New Roman" w:cs="Times New Roman"/>
          <w:sz w:val="20"/>
          <w:szCs w:val="20"/>
        </w:rPr>
        <w:t xml:space="preserve">&lt; 0.001)  </w:t>
      </w:r>
    </w:p>
    <w:p w14:paraId="78F136E2" w14:textId="77777777" w:rsidR="00D138BF" w:rsidRPr="00862E4A" w:rsidRDefault="00D138BF" w:rsidP="00D138BF">
      <w:pPr>
        <w:jc w:val="center"/>
        <w:rPr>
          <w:rFonts w:ascii="Times New Roman" w:hAnsi="Times New Roman" w:cs="Times New Roman"/>
          <w:sz w:val="20"/>
          <w:szCs w:val="20"/>
        </w:rPr>
      </w:pPr>
      <w:r w:rsidRPr="00862E4A">
        <w:rPr>
          <w:rFonts w:ascii="Times New Roman" w:hAnsi="Times New Roman" w:cs="Times New Roman"/>
          <w:noProof/>
          <w:sz w:val="20"/>
          <w:szCs w:val="20"/>
        </w:rPr>
        <w:drawing>
          <wp:inline distT="0" distB="0" distL="0" distR="0" wp14:anchorId="41AE2C9B" wp14:editId="51F1FDCA">
            <wp:extent cx="5840770" cy="6143625"/>
            <wp:effectExtent l="0" t="0" r="7620" b="0"/>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pic:cNvPicPr/>
                  </pic:nvPicPr>
                  <pic:blipFill rotWithShape="1">
                    <a:blip r:embed="rId7" cstate="print">
                      <a:extLst>
                        <a:ext uri="{28A0092B-C50C-407E-A947-70E740481C1C}">
                          <a14:useLocalDpi xmlns:a14="http://schemas.microsoft.com/office/drawing/2010/main" val="0"/>
                        </a:ext>
                      </a:extLst>
                    </a:blip>
                    <a:srcRect l="4654" t="17514" r="5605" b="15726"/>
                    <a:stretch/>
                  </pic:blipFill>
                  <pic:spPr bwMode="auto">
                    <a:xfrm>
                      <a:off x="0" y="0"/>
                      <a:ext cx="5844066" cy="6147092"/>
                    </a:xfrm>
                    <a:prstGeom prst="rect">
                      <a:avLst/>
                    </a:prstGeom>
                    <a:ln>
                      <a:noFill/>
                    </a:ln>
                    <a:extLst>
                      <a:ext uri="{53640926-AAD7-44D8-BBD7-CCE9431645EC}">
                        <a14:shadowObscured xmlns:a14="http://schemas.microsoft.com/office/drawing/2010/main"/>
                      </a:ext>
                    </a:extLst>
                  </pic:spPr>
                </pic:pic>
              </a:graphicData>
            </a:graphic>
          </wp:inline>
        </w:drawing>
      </w:r>
    </w:p>
    <w:p w14:paraId="58D36A9F" w14:textId="7BCE7AA9" w:rsidR="00D138BF" w:rsidRPr="00862E4A" w:rsidRDefault="00D138BF" w:rsidP="00D138BF">
      <w:pPr>
        <w:rPr>
          <w:rFonts w:ascii="Times New Roman" w:hAnsi="Times New Roman" w:cs="Times New Roman"/>
          <w:sz w:val="20"/>
          <w:szCs w:val="20"/>
        </w:rPr>
      </w:pPr>
      <w:bookmarkStart w:id="9" w:name="_Toc73718548"/>
      <w:bookmarkStart w:id="10" w:name="_Toc73720267"/>
      <w:r w:rsidRPr="00862E4A">
        <w:rPr>
          <w:rFonts w:ascii="Times New Roman" w:hAnsi="Times New Roman" w:cs="Times New Roman"/>
          <w:sz w:val="20"/>
          <w:szCs w:val="20"/>
        </w:rPr>
        <w:t>Figure</w:t>
      </w:r>
      <w:r w:rsidRPr="00862E4A">
        <w:rPr>
          <w:rFonts w:ascii="Times New Roman" w:hAnsi="Times New Roman" w:cs="Times New Roman"/>
          <w:sz w:val="20"/>
          <w:szCs w:val="20"/>
        </w:rPr>
        <w:t xml:space="preserve"> 1</w:t>
      </w:r>
      <w:r w:rsidRPr="00862E4A">
        <w:rPr>
          <w:rFonts w:ascii="Times New Roman" w:hAnsi="Times New Roman" w:cs="Times New Roman"/>
          <w:sz w:val="20"/>
          <w:szCs w:val="20"/>
        </w:rPr>
        <w:t>. Confirmatory Factor Analysis model of the PCL-5 with standardised factor loadings (values with unidirectional arrows), error terms (circled values), and covariances (values with bidirectional arrows).</w:t>
      </w:r>
      <w:bookmarkEnd w:id="9"/>
      <w:bookmarkEnd w:id="10"/>
      <w:r w:rsidRPr="00862E4A">
        <w:rPr>
          <w:rFonts w:ascii="Times New Roman" w:hAnsi="Times New Roman" w:cs="Times New Roman"/>
          <w:sz w:val="20"/>
          <w:szCs w:val="20"/>
        </w:rPr>
        <w:t xml:space="preserve"> </w:t>
      </w:r>
    </w:p>
    <w:p w14:paraId="615ED095" w14:textId="77777777" w:rsidR="00D138BF" w:rsidRPr="00862E4A" w:rsidRDefault="00D138BF" w:rsidP="00D138BF">
      <w:pPr>
        <w:spacing w:line="480" w:lineRule="auto"/>
        <w:ind w:firstLine="720"/>
        <w:rPr>
          <w:rFonts w:ascii="Times New Roman" w:hAnsi="Times New Roman" w:cs="Times New Roman"/>
          <w:sz w:val="20"/>
          <w:szCs w:val="20"/>
        </w:rPr>
      </w:pPr>
    </w:p>
    <w:p w14:paraId="355098BA" w14:textId="77777777" w:rsidR="00D138BF" w:rsidRPr="00D77851" w:rsidRDefault="00616713" w:rsidP="00D77851">
      <w:pPr>
        <w:pStyle w:val="Heading2"/>
        <w:spacing w:line="480" w:lineRule="auto"/>
        <w:rPr>
          <w:rFonts w:ascii="Times New Roman" w:hAnsi="Times New Roman" w:cs="Times New Roman"/>
          <w:i/>
          <w:iCs/>
          <w:color w:val="auto"/>
        </w:rPr>
      </w:pPr>
      <w:bookmarkStart w:id="11" w:name="_Toc96772225"/>
      <w:r w:rsidRPr="00D77851">
        <w:rPr>
          <w:rFonts w:ascii="Times New Roman" w:hAnsi="Times New Roman" w:cs="Times New Roman"/>
          <w:color w:val="auto"/>
        </w:rPr>
        <w:t>Mindfulness</w:t>
      </w:r>
      <w:r w:rsidRPr="00D77851">
        <w:rPr>
          <w:rFonts w:ascii="Times New Roman" w:hAnsi="Times New Roman" w:cs="Times New Roman"/>
          <w:i/>
          <w:iCs/>
          <w:color w:val="auto"/>
        </w:rPr>
        <w:t>.</w:t>
      </w:r>
      <w:bookmarkEnd w:id="11"/>
      <w:r w:rsidRPr="00D77851">
        <w:rPr>
          <w:rFonts w:ascii="Times New Roman" w:hAnsi="Times New Roman" w:cs="Times New Roman"/>
          <w:i/>
          <w:iCs/>
          <w:color w:val="auto"/>
        </w:rPr>
        <w:t xml:space="preserve"> </w:t>
      </w:r>
    </w:p>
    <w:p w14:paraId="2E7896D2" w14:textId="271CD4D5" w:rsidR="00616713" w:rsidRPr="00862E4A" w:rsidRDefault="00616713" w:rsidP="00D138BF">
      <w:pPr>
        <w:spacing w:line="480" w:lineRule="auto"/>
        <w:ind w:firstLine="567"/>
        <w:rPr>
          <w:rFonts w:ascii="Times New Roman" w:hAnsi="Times New Roman" w:cs="Times New Roman"/>
          <w:sz w:val="20"/>
          <w:szCs w:val="20"/>
        </w:rPr>
      </w:pPr>
      <w:r w:rsidRPr="00862E4A">
        <w:rPr>
          <w:rFonts w:ascii="Times New Roman" w:hAnsi="Times New Roman" w:cs="Times New Roman"/>
          <w:sz w:val="20"/>
          <w:szCs w:val="20"/>
        </w:rPr>
        <w:t xml:space="preserve">A CFA of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with latent variables for Observe, Describe, Act with awareness, Non-judge and Non-react, and an overarching Mindfulness latent variable, was not a good fit for the data (</w:t>
      </w:r>
      <w:r w:rsidRPr="00862E4A">
        <w:rPr>
          <w:rFonts w:ascii="Times New Roman" w:hAnsi="Times New Roman" w:cs="Times New Roman"/>
          <w:i/>
          <w:iCs/>
          <w:sz w:val="20"/>
          <w:szCs w:val="20"/>
        </w:rPr>
        <w:t>X</w:t>
      </w:r>
      <w:r w:rsidRPr="00862E4A">
        <w:rPr>
          <w:rFonts w:ascii="Times New Roman" w:hAnsi="Times New Roman" w:cs="Times New Roman"/>
          <w:i/>
          <w:iCs/>
          <w:sz w:val="20"/>
          <w:szCs w:val="20"/>
          <w:vertAlign w:val="superscript"/>
        </w:rPr>
        <w:t>2</w:t>
      </w:r>
      <w:r w:rsidRPr="00862E4A">
        <w:rPr>
          <w:rFonts w:ascii="Times New Roman" w:hAnsi="Times New Roman" w:cs="Times New Roman"/>
          <w:i/>
          <w:iCs/>
          <w:sz w:val="20"/>
          <w:szCs w:val="20"/>
        </w:rPr>
        <w:t xml:space="preserve">/df </w:t>
      </w:r>
      <w:r w:rsidRPr="00862E4A">
        <w:rPr>
          <w:rFonts w:ascii="Times New Roman" w:hAnsi="Times New Roman" w:cs="Times New Roman"/>
          <w:sz w:val="20"/>
          <w:szCs w:val="20"/>
        </w:rPr>
        <w:t xml:space="preserve">= 3.215, </w:t>
      </w:r>
      <w:r w:rsidRPr="00862E4A">
        <w:rPr>
          <w:rFonts w:ascii="Times New Roman" w:hAnsi="Times New Roman" w:cs="Times New Roman"/>
          <w:i/>
          <w:iCs/>
          <w:sz w:val="20"/>
          <w:szCs w:val="20"/>
        </w:rPr>
        <w:t xml:space="preserve">CFI </w:t>
      </w:r>
      <w:r w:rsidRPr="00862E4A">
        <w:rPr>
          <w:rFonts w:ascii="Times New Roman" w:hAnsi="Times New Roman" w:cs="Times New Roman"/>
          <w:sz w:val="20"/>
          <w:szCs w:val="20"/>
        </w:rPr>
        <w:t xml:space="preserve">= 0.814, </w:t>
      </w:r>
      <w:r w:rsidRPr="00862E4A">
        <w:rPr>
          <w:rFonts w:ascii="Times New Roman" w:hAnsi="Times New Roman" w:cs="Times New Roman"/>
          <w:i/>
          <w:iCs/>
          <w:sz w:val="20"/>
          <w:szCs w:val="20"/>
        </w:rPr>
        <w:t xml:space="preserve">TLI </w:t>
      </w:r>
      <w:r w:rsidRPr="00862E4A">
        <w:rPr>
          <w:rFonts w:ascii="Times New Roman" w:hAnsi="Times New Roman" w:cs="Times New Roman"/>
          <w:sz w:val="20"/>
          <w:szCs w:val="20"/>
        </w:rPr>
        <w:t xml:space="preserve">= 0.802, </w:t>
      </w:r>
      <w:proofErr w:type="spellStart"/>
      <w:r w:rsidRPr="00862E4A">
        <w:rPr>
          <w:rFonts w:ascii="Times New Roman" w:hAnsi="Times New Roman" w:cs="Times New Roman"/>
          <w:i/>
          <w:iCs/>
          <w:sz w:val="20"/>
          <w:szCs w:val="20"/>
        </w:rPr>
        <w:t>SRMR</w:t>
      </w:r>
      <w:proofErr w:type="spellEnd"/>
      <w:r w:rsidRPr="00862E4A">
        <w:rPr>
          <w:rFonts w:ascii="Times New Roman" w:hAnsi="Times New Roman" w:cs="Times New Roman"/>
          <w:i/>
          <w:iCs/>
          <w:sz w:val="20"/>
          <w:szCs w:val="20"/>
        </w:rPr>
        <w:t xml:space="preserve"> </w:t>
      </w:r>
      <w:r w:rsidRPr="00862E4A">
        <w:rPr>
          <w:rFonts w:ascii="Times New Roman" w:hAnsi="Times New Roman" w:cs="Times New Roman"/>
          <w:sz w:val="20"/>
          <w:szCs w:val="20"/>
        </w:rPr>
        <w:t xml:space="preserve">= 0.124, </w:t>
      </w:r>
      <w:proofErr w:type="spellStart"/>
      <w:r w:rsidRPr="00862E4A">
        <w:rPr>
          <w:rFonts w:ascii="Times New Roman" w:hAnsi="Times New Roman" w:cs="Times New Roman"/>
          <w:i/>
          <w:iCs/>
          <w:sz w:val="20"/>
          <w:szCs w:val="20"/>
        </w:rPr>
        <w:t>RMSEA</w:t>
      </w:r>
      <w:proofErr w:type="spellEnd"/>
      <w:r w:rsidRPr="00862E4A">
        <w:rPr>
          <w:rFonts w:ascii="Times New Roman" w:hAnsi="Times New Roman" w:cs="Times New Roman"/>
          <w:i/>
          <w:iCs/>
          <w:sz w:val="20"/>
          <w:szCs w:val="20"/>
        </w:rPr>
        <w:t xml:space="preserve"> </w:t>
      </w:r>
      <w:r w:rsidRPr="00862E4A">
        <w:rPr>
          <w:rFonts w:ascii="Times New Roman" w:hAnsi="Times New Roman" w:cs="Times New Roman"/>
          <w:sz w:val="20"/>
          <w:szCs w:val="20"/>
        </w:rPr>
        <w:t>= 0.071), nor did it fit the data without an overarching Mindfulness latent variable (</w:t>
      </w:r>
      <w:r w:rsidRPr="00862E4A">
        <w:rPr>
          <w:rFonts w:ascii="Times New Roman" w:hAnsi="Times New Roman" w:cs="Times New Roman"/>
          <w:i/>
          <w:iCs/>
          <w:sz w:val="20"/>
          <w:szCs w:val="20"/>
        </w:rPr>
        <w:t>X</w:t>
      </w:r>
      <w:r w:rsidRPr="00862E4A">
        <w:rPr>
          <w:rFonts w:ascii="Times New Roman" w:hAnsi="Times New Roman" w:cs="Times New Roman"/>
          <w:i/>
          <w:iCs/>
          <w:sz w:val="20"/>
          <w:szCs w:val="20"/>
          <w:vertAlign w:val="superscript"/>
        </w:rPr>
        <w:t>2</w:t>
      </w:r>
      <w:r w:rsidRPr="00862E4A">
        <w:rPr>
          <w:rFonts w:ascii="Times New Roman" w:hAnsi="Times New Roman" w:cs="Times New Roman"/>
          <w:i/>
          <w:iCs/>
          <w:sz w:val="20"/>
          <w:szCs w:val="20"/>
        </w:rPr>
        <w:t xml:space="preserve">/df </w:t>
      </w:r>
      <w:r w:rsidRPr="00862E4A">
        <w:rPr>
          <w:rFonts w:ascii="Times New Roman" w:hAnsi="Times New Roman" w:cs="Times New Roman"/>
          <w:sz w:val="20"/>
          <w:szCs w:val="20"/>
        </w:rPr>
        <w:t xml:space="preserve">= 3.073, </w:t>
      </w:r>
      <w:r w:rsidRPr="00862E4A">
        <w:rPr>
          <w:rFonts w:ascii="Times New Roman" w:hAnsi="Times New Roman" w:cs="Times New Roman"/>
          <w:i/>
          <w:iCs/>
          <w:sz w:val="20"/>
          <w:szCs w:val="20"/>
        </w:rPr>
        <w:t xml:space="preserve">CFI </w:t>
      </w:r>
      <w:r w:rsidRPr="00862E4A">
        <w:rPr>
          <w:rFonts w:ascii="Times New Roman" w:hAnsi="Times New Roman" w:cs="Times New Roman"/>
          <w:sz w:val="20"/>
          <w:szCs w:val="20"/>
        </w:rPr>
        <w:t xml:space="preserve">= 0.827, </w:t>
      </w:r>
      <w:r w:rsidRPr="00862E4A">
        <w:rPr>
          <w:rFonts w:ascii="Times New Roman" w:hAnsi="Times New Roman" w:cs="Times New Roman"/>
          <w:i/>
          <w:iCs/>
          <w:sz w:val="20"/>
          <w:szCs w:val="20"/>
        </w:rPr>
        <w:t xml:space="preserve">TLI </w:t>
      </w:r>
      <w:r w:rsidRPr="00862E4A">
        <w:rPr>
          <w:rFonts w:ascii="Times New Roman" w:hAnsi="Times New Roman" w:cs="Times New Roman"/>
          <w:sz w:val="20"/>
          <w:szCs w:val="20"/>
        </w:rPr>
        <w:t xml:space="preserve">= 0.815, </w:t>
      </w:r>
      <w:proofErr w:type="spellStart"/>
      <w:r w:rsidRPr="00862E4A">
        <w:rPr>
          <w:rFonts w:ascii="Times New Roman" w:hAnsi="Times New Roman" w:cs="Times New Roman"/>
          <w:i/>
          <w:iCs/>
          <w:sz w:val="20"/>
          <w:szCs w:val="20"/>
        </w:rPr>
        <w:t>SRMR</w:t>
      </w:r>
      <w:proofErr w:type="spellEnd"/>
      <w:r w:rsidRPr="00862E4A">
        <w:rPr>
          <w:rFonts w:ascii="Times New Roman" w:hAnsi="Times New Roman" w:cs="Times New Roman"/>
          <w:sz w:val="20"/>
          <w:szCs w:val="20"/>
        </w:rPr>
        <w:t xml:space="preserve">= 0.109, </w:t>
      </w:r>
      <w:proofErr w:type="spellStart"/>
      <w:r w:rsidRPr="00862E4A">
        <w:rPr>
          <w:rFonts w:ascii="Times New Roman" w:hAnsi="Times New Roman" w:cs="Times New Roman"/>
          <w:i/>
          <w:iCs/>
          <w:sz w:val="20"/>
          <w:szCs w:val="20"/>
        </w:rPr>
        <w:t>RMSEA</w:t>
      </w:r>
      <w:proofErr w:type="spellEnd"/>
      <w:r w:rsidRPr="00862E4A">
        <w:rPr>
          <w:rFonts w:ascii="Times New Roman" w:hAnsi="Times New Roman" w:cs="Times New Roman"/>
          <w:i/>
          <w:iCs/>
          <w:sz w:val="20"/>
          <w:szCs w:val="20"/>
        </w:rPr>
        <w:t xml:space="preserve"> </w:t>
      </w:r>
      <w:r w:rsidRPr="00862E4A">
        <w:rPr>
          <w:rFonts w:ascii="Times New Roman" w:hAnsi="Times New Roman" w:cs="Times New Roman"/>
          <w:sz w:val="20"/>
          <w:szCs w:val="20"/>
        </w:rPr>
        <w:t xml:space="preserve">= 0.069). These results are consistent with findings from a psychometric review of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xml:space="preserve">, which concluded that the five-factor structure of this questionnaire fails to provide conceptual replication </w:t>
      </w:r>
      <w:r w:rsidRPr="00862E4A">
        <w:rPr>
          <w:rStyle w:val="FootnoteReference"/>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{"citationItems":[{"id":"ITEM-1","itemData":{"DOI":"10.1177/1073191119873718","ISSN":"15523489","PMID":"31609133","abstract":"The Five Facets Mindfulness Questionnaire (FFMQ) is a popular tool in mindfulness research. However, its psychometric qualities and its replicability have caused controversy. This study carried out a psychometric review and a conceptual replication of the FFMQ latent structure. The review showed that previous validation studies of the FFMQ used nonoptimal methods. In addition, this conceptual replication study tested the structure of the FFMQ using frequentist and Bayesian techniques. The original structure did not provide a good fit with both techniques, while the proposed alternative provided mixed results. We also found systematic fit improvements in both techniques when the Observe facet was excluded and method factors were included. With these findings, we conclude that the conceptual replication of the FFMQ’s structure failed. Alternatively, we propose a new provisional FFMQ model with a set of recommendations regarding its application. Future research proposals on improving techniques and models toward mindfulness assessment are also presented and discussed.","author":[{"dropping-particle":"","family":"Lecuona","given":"Oscar","non-dropping-particle":"","parse-names":false,"suffix":""},{"dropping-particle":"","family":"García-Garzón","given":"Eduardo","non-dropping-particle":"","parse-names":false,"suffix":""},{"dropping-particle":"","family":"García-Rubio","given":"Carlos","non-dropping-particle":"","parse-names":false,"suffix":""},{"dropping-particle":"","family":"Rodríguez-Carvajal","given":"Raquel","non-dropping-particle":"","parse-names":false,"suffix":""}],"container-title":"Assessment","id":"ITEM-1","issue":"5","issued":{"date-parts":[["2020","7","1"]]},"page":"859-872","publisher":"SAGE Publications Inc.","title":"A Psychometric Review and Conceptual Replication Study of the Five Facets Mindfulness Questionnaire Latent Structure","type":"article-journal","volume":"27"},"uris":["http://www.mendeley.com/documents/?uuid=7ff21447-cc6a-33e6-91a5-9d454a96f75f"]}],"mendeley":{"formattedCitation":"[4]","plainTextFormattedCitation":"[4]","previouslyFormattedCitation":"[4]"},"properties":{"noteIndex":0},"schema":"https://github.com/citation-style-language/schema/raw/master/csl-citation.json"}</w:instrText>
      </w:r>
      <w:r w:rsidRPr="00862E4A">
        <w:rPr>
          <w:rStyle w:val="FootnoteReference"/>
          <w:rFonts w:ascii="Times New Roman" w:hAnsi="Times New Roman" w:cs="Times New Roman"/>
          <w:sz w:val="20"/>
          <w:szCs w:val="20"/>
        </w:rPr>
        <w:fldChar w:fldCharType="separate"/>
      </w:r>
      <w:r w:rsidR="00250B97" w:rsidRPr="00250B97">
        <w:rPr>
          <w:rFonts w:ascii="Times New Roman" w:hAnsi="Times New Roman" w:cs="Times New Roman"/>
          <w:noProof/>
          <w:sz w:val="20"/>
          <w:szCs w:val="20"/>
        </w:rPr>
        <w:t>[4]</w:t>
      </w:r>
      <w:r w:rsidRPr="00862E4A">
        <w:rPr>
          <w:rStyle w:val="FootnoteReference"/>
          <w:rFonts w:ascii="Times New Roman" w:hAnsi="Times New Roman" w:cs="Times New Roman"/>
          <w:sz w:val="20"/>
          <w:szCs w:val="20"/>
        </w:rPr>
        <w:fldChar w:fldCharType="end"/>
      </w:r>
      <w:r w:rsidRPr="00862E4A">
        <w:rPr>
          <w:rFonts w:ascii="Times New Roman" w:hAnsi="Times New Roman" w:cs="Times New Roman"/>
          <w:sz w:val="20"/>
          <w:szCs w:val="20"/>
        </w:rPr>
        <w:t>. An exploratory factor analysis (</w:t>
      </w:r>
      <w:proofErr w:type="spellStart"/>
      <w:r w:rsidRPr="00862E4A">
        <w:rPr>
          <w:rFonts w:ascii="Times New Roman" w:hAnsi="Times New Roman" w:cs="Times New Roman"/>
          <w:sz w:val="20"/>
          <w:szCs w:val="20"/>
        </w:rPr>
        <w:t>EFA</w:t>
      </w:r>
      <w:proofErr w:type="spellEnd"/>
      <w:r w:rsidRPr="00862E4A">
        <w:rPr>
          <w:rFonts w:ascii="Times New Roman" w:hAnsi="Times New Roman" w:cs="Times New Roman"/>
          <w:sz w:val="20"/>
          <w:szCs w:val="20"/>
        </w:rPr>
        <w:t>) was therefore completed for these data</w:t>
      </w:r>
      <w:r w:rsidR="00D138BF" w:rsidRPr="00862E4A">
        <w:rPr>
          <w:rFonts w:ascii="Times New Roman" w:hAnsi="Times New Roman" w:cs="Times New Roman"/>
          <w:sz w:val="20"/>
          <w:szCs w:val="20"/>
        </w:rPr>
        <w:t>.</w:t>
      </w:r>
    </w:p>
    <w:bookmarkEnd w:id="4"/>
    <w:bookmarkEnd w:id="5"/>
    <w:bookmarkEnd w:id="6"/>
    <w:bookmarkEnd w:id="7"/>
    <w:p w14:paraId="64935860" w14:textId="3DA63C45" w:rsidR="00862E4A" w:rsidRPr="00862E4A" w:rsidRDefault="000D4DE3" w:rsidP="00616713">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 xml:space="preserve">Pre-analysis checks confirmed that the data were acceptable for </w:t>
      </w:r>
      <w:proofErr w:type="spellStart"/>
      <w:r w:rsidRPr="00862E4A">
        <w:rPr>
          <w:rFonts w:ascii="Times New Roman" w:hAnsi="Times New Roman" w:cs="Times New Roman"/>
          <w:sz w:val="20"/>
          <w:szCs w:val="20"/>
        </w:rPr>
        <w:t>EFA</w:t>
      </w:r>
      <w:proofErr w:type="spellEnd"/>
      <w:r w:rsidRPr="00862E4A">
        <w:rPr>
          <w:rFonts w:ascii="Times New Roman" w:hAnsi="Times New Roman" w:cs="Times New Roman"/>
          <w:sz w:val="20"/>
          <w:szCs w:val="20"/>
        </w:rPr>
        <w:t xml:space="preserve"> (</w:t>
      </w:r>
      <w:proofErr w:type="spellStart"/>
      <w:r w:rsidRPr="00862E4A">
        <w:rPr>
          <w:rFonts w:ascii="Times New Roman" w:hAnsi="Times New Roman" w:cs="Times New Roman"/>
          <w:sz w:val="20"/>
          <w:szCs w:val="20"/>
        </w:rPr>
        <w:t>KMO</w:t>
      </w:r>
      <w:proofErr w:type="spellEnd"/>
      <w:r w:rsidRPr="00862E4A">
        <w:rPr>
          <w:rFonts w:ascii="Times New Roman" w:hAnsi="Times New Roman" w:cs="Times New Roman"/>
          <w:sz w:val="20"/>
          <w:szCs w:val="20"/>
        </w:rPr>
        <w:t xml:space="preserve"> = 0.90, Χ</w:t>
      </w:r>
      <w:r w:rsidRPr="00862E4A">
        <w:rPr>
          <w:rFonts w:ascii="Times New Roman" w:hAnsi="Times New Roman" w:cs="Times New Roman"/>
          <w:sz w:val="20"/>
          <w:szCs w:val="20"/>
          <w:vertAlign w:val="superscript"/>
        </w:rPr>
        <w:t>2</w:t>
      </w:r>
      <w:r w:rsidRPr="00862E4A">
        <w:rPr>
          <w:rFonts w:ascii="Times New Roman" w:hAnsi="Times New Roman" w:cs="Times New Roman"/>
          <w:bCs/>
          <w:iCs/>
          <w:sz w:val="20"/>
          <w:szCs w:val="20"/>
          <w:vertAlign w:val="subscript"/>
        </w:rPr>
        <w:t>(741)</w:t>
      </w:r>
      <w:r w:rsidRPr="00862E4A">
        <w:rPr>
          <w:rFonts w:ascii="Times New Roman" w:hAnsi="Times New Roman" w:cs="Times New Roman"/>
          <w:bCs/>
          <w:iCs/>
          <w:sz w:val="20"/>
          <w:szCs w:val="20"/>
        </w:rPr>
        <w:t xml:space="preserve"> = 5051.66</w:t>
      </w:r>
      <w:r w:rsidRPr="00862E4A">
        <w:rPr>
          <w:rFonts w:ascii="Times New Roman" w:hAnsi="Times New Roman" w:cs="Times New Roman"/>
          <w:bCs/>
          <w:i/>
          <w:iCs/>
          <w:sz w:val="20"/>
          <w:szCs w:val="20"/>
        </w:rPr>
        <w:t xml:space="preserve">, p </w:t>
      </w:r>
      <w:r w:rsidRPr="00862E4A">
        <w:rPr>
          <w:rFonts w:ascii="Times New Roman" w:hAnsi="Times New Roman" w:cs="Times New Roman"/>
          <w:bCs/>
          <w:i/>
          <w:sz w:val="20"/>
          <w:szCs w:val="20"/>
        </w:rPr>
        <w:t>&lt; 0.001</w:t>
      </w:r>
      <w:r w:rsidRPr="00862E4A">
        <w:rPr>
          <w:rFonts w:ascii="Times New Roman" w:hAnsi="Times New Roman" w:cs="Times New Roman"/>
          <w:i/>
          <w:sz w:val="20"/>
          <w:szCs w:val="20"/>
        </w:rPr>
        <w:t xml:space="preserve">). </w:t>
      </w:r>
      <w:r w:rsidRPr="00862E4A">
        <w:rPr>
          <w:rFonts w:ascii="Times New Roman" w:hAnsi="Times New Roman" w:cs="Times New Roman"/>
          <w:iCs/>
          <w:sz w:val="20"/>
          <w:szCs w:val="20"/>
        </w:rPr>
        <w:t xml:space="preserve">Participants’ data were randomly assigned to two </w:t>
      </w:r>
      <w:r w:rsidRPr="00862E4A">
        <w:rPr>
          <w:rFonts w:ascii="Times New Roman" w:hAnsi="Times New Roman" w:cs="Times New Roman"/>
          <w:sz w:val="20"/>
          <w:szCs w:val="20"/>
        </w:rPr>
        <w:t xml:space="preserve">near-equal groups, </w:t>
      </w:r>
      <w:r w:rsidRPr="00862E4A">
        <w:rPr>
          <w:rFonts w:ascii="Times New Roman" w:hAnsi="Times New Roman" w:cs="Times New Roman"/>
          <w:i/>
          <w:iCs/>
          <w:sz w:val="20"/>
          <w:szCs w:val="20"/>
        </w:rPr>
        <w:t>n</w:t>
      </w:r>
      <w:r w:rsidRPr="00862E4A">
        <w:rPr>
          <w:rFonts w:ascii="Times New Roman" w:hAnsi="Times New Roman" w:cs="Times New Roman"/>
          <w:i/>
          <w:iCs/>
          <w:sz w:val="20"/>
          <w:szCs w:val="20"/>
          <w:vertAlign w:val="superscript"/>
        </w:rPr>
        <w:t xml:space="preserve">1 </w:t>
      </w:r>
      <w:r w:rsidRPr="00862E4A">
        <w:rPr>
          <w:rFonts w:ascii="Times New Roman" w:hAnsi="Times New Roman" w:cs="Times New Roman"/>
          <w:sz w:val="20"/>
          <w:szCs w:val="20"/>
        </w:rPr>
        <w:t xml:space="preserve">= 217 for exploratory analysis, and </w:t>
      </w:r>
      <w:r w:rsidRPr="00862E4A">
        <w:rPr>
          <w:rFonts w:ascii="Times New Roman" w:hAnsi="Times New Roman" w:cs="Times New Roman"/>
          <w:i/>
          <w:iCs/>
          <w:sz w:val="20"/>
          <w:szCs w:val="20"/>
        </w:rPr>
        <w:t>n</w:t>
      </w:r>
      <w:r w:rsidRPr="00862E4A">
        <w:rPr>
          <w:rFonts w:ascii="Times New Roman" w:hAnsi="Times New Roman" w:cs="Times New Roman"/>
          <w:i/>
          <w:iCs/>
          <w:sz w:val="20"/>
          <w:szCs w:val="20"/>
          <w:vertAlign w:val="superscript"/>
        </w:rPr>
        <w:t xml:space="preserve">2 </w:t>
      </w:r>
      <w:r w:rsidRPr="00862E4A">
        <w:rPr>
          <w:rFonts w:ascii="Times New Roman" w:hAnsi="Times New Roman" w:cs="Times New Roman"/>
          <w:sz w:val="20"/>
          <w:szCs w:val="20"/>
        </w:rPr>
        <w:t xml:space="preserve">= 218 for confirmatory analysis. An exploratory parallel analysis and scree-plot initially identified a two-factor model, however on closer inspection these factors appeared to be a method effect due to reverse-scored items; a limitation of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xml:space="preserve"> previously highlighted by Van Dam and colleagues </w:t>
      </w:r>
      <w:r w:rsidRPr="00862E4A">
        <w:rPr>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{"citationItems":[{"id":"ITEM-1","itemData":{"author":[{"dropping-particle":"","family":"Dam","given":"Nicholas T","non-dropping-particle":"Van","parse-names":false,"suffix":""},{"dropping-particle":"","family":"Hobkrik","given":"Andrea L","non-dropping-particle":"","parse-names":false,"suffix":""},{"dropping-particle":"","family":"Danoff-Burg","given":"Sharon","non-dropping-particle":"","parse-names":false,"suffix":""},{"dropping-particle":"","family":"Earleywine","given":"M","non-dropping-particle":"","parse-names":false,"suffix":""}],"container-title":"Assessment","id":"ITEM-1","issue":"2","issued":{"date-parts":[["2012"]]},"page":"198-204","title":"Mind Your Words: Positive and negative items create method effects on the five facet mindfulness questionnaire","type":"article-journal","volume":"19"},"uris":["http://www.mendeley.com/documents/?uuid=e40b26be-548e-49fc-877c-3da391bb68a5"]}],"mendeley":{"formattedCitation":"[21]","plainTextFormattedCitation":"[21]","previouslyFormattedCitation":"[21]"},"properties":{"noteIndex":0},"schema":"https://github.com/citation-style-language/schema/raw/master/csl-citation.json"}</w:instrText>
      </w:r>
      <w:r w:rsidRPr="00862E4A">
        <w:rPr>
          <w:rFonts w:ascii="Times New Roman" w:hAnsi="Times New Roman" w:cs="Times New Roman"/>
          <w:sz w:val="20"/>
          <w:szCs w:val="20"/>
        </w:rPr>
        <w:fldChar w:fldCharType="separate"/>
      </w:r>
      <w:r w:rsidR="00616713" w:rsidRPr="00862E4A">
        <w:rPr>
          <w:rFonts w:ascii="Times New Roman" w:hAnsi="Times New Roman" w:cs="Times New Roman"/>
          <w:noProof/>
          <w:sz w:val="20"/>
          <w:szCs w:val="20"/>
        </w:rPr>
        <w:t>[21]</w:t>
      </w:r>
      <w:r w:rsidRPr="00862E4A">
        <w:rPr>
          <w:rFonts w:ascii="Times New Roman" w:hAnsi="Times New Roman" w:cs="Times New Roman"/>
          <w:sz w:val="20"/>
          <w:szCs w:val="20"/>
        </w:rPr>
        <w:fldChar w:fldCharType="end"/>
      </w:r>
      <w:r w:rsidRPr="00862E4A">
        <w:rPr>
          <w:rFonts w:ascii="Times New Roman" w:hAnsi="Times New Roman" w:cs="Times New Roman"/>
          <w:sz w:val="20"/>
          <w:szCs w:val="20"/>
        </w:rPr>
        <w:t xml:space="preserve">. A subsequent </w:t>
      </w:r>
      <w:proofErr w:type="gramStart"/>
      <w:r w:rsidRPr="00862E4A">
        <w:rPr>
          <w:rFonts w:ascii="Times New Roman" w:hAnsi="Times New Roman" w:cs="Times New Roman"/>
          <w:sz w:val="20"/>
          <w:szCs w:val="20"/>
        </w:rPr>
        <w:t>principle</w:t>
      </w:r>
      <w:proofErr w:type="gramEnd"/>
      <w:r w:rsidRPr="00862E4A">
        <w:rPr>
          <w:rFonts w:ascii="Times New Roman" w:hAnsi="Times New Roman" w:cs="Times New Roman"/>
          <w:sz w:val="20"/>
          <w:szCs w:val="20"/>
        </w:rPr>
        <w:t xml:space="preserve"> component analysis was conducted, with a varimax rotation, whereby a four-factor model gave the most parsimonious solution (with all components having Eigenvalues above 1). </w:t>
      </w:r>
      <w:bookmarkStart w:id="12" w:name="_Hlk82789613"/>
      <w:r w:rsidRPr="00862E4A">
        <w:rPr>
          <w:rFonts w:ascii="Times New Roman" w:hAnsi="Times New Roman" w:cs="Times New Roman"/>
          <w:sz w:val="20"/>
          <w:szCs w:val="20"/>
        </w:rPr>
        <w:t>Twelve items were removed due to insufficient factor loadings; three from each facet except for non-judge, where no items were removed (</w:t>
      </w:r>
      <w:r w:rsidR="00862E4A" w:rsidRPr="00862E4A">
        <w:rPr>
          <w:rFonts w:ascii="Times New Roman" w:hAnsi="Times New Roman" w:cs="Times New Roman"/>
          <w:sz w:val="20"/>
          <w:szCs w:val="20"/>
        </w:rPr>
        <w:t>table 1</w:t>
      </w:r>
      <w:r w:rsidRPr="00862E4A">
        <w:rPr>
          <w:rFonts w:ascii="Times New Roman" w:hAnsi="Times New Roman" w:cs="Times New Roman"/>
          <w:sz w:val="20"/>
          <w:szCs w:val="20"/>
        </w:rPr>
        <w:t>)</w:t>
      </w:r>
      <w:bookmarkEnd w:id="12"/>
      <w:r w:rsidRPr="00862E4A">
        <w:rPr>
          <w:rFonts w:ascii="Times New Roman" w:hAnsi="Times New Roman" w:cs="Times New Roman"/>
          <w:sz w:val="20"/>
          <w:szCs w:val="20"/>
        </w:rPr>
        <w:t xml:space="preserve">. </w:t>
      </w:r>
    </w:p>
    <w:p w14:paraId="24C5C7FB" w14:textId="77777777" w:rsidR="00862E4A" w:rsidRPr="00862E4A" w:rsidRDefault="00862E4A" w:rsidP="00862E4A">
      <w:pPr>
        <w:rPr>
          <w:rFonts w:ascii="Times New Roman" w:hAnsi="Times New Roman" w:cs="Times New Roman"/>
          <w:sz w:val="20"/>
          <w:szCs w:val="20"/>
        </w:rPr>
      </w:pPr>
      <w:bookmarkStart w:id="13" w:name="_Toc70181619"/>
      <w:bookmarkStart w:id="14" w:name="_Toc73724910"/>
      <w:bookmarkStart w:id="15" w:name="_Toc73737308"/>
      <w:bookmarkStart w:id="16" w:name="_Toc74061413"/>
      <w:bookmarkStart w:id="17" w:name="_Toc74061530"/>
      <w:r w:rsidRPr="00862E4A">
        <w:rPr>
          <w:rFonts w:ascii="Times New Roman" w:hAnsi="Times New Roman" w:cs="Times New Roman"/>
          <w:sz w:val="20"/>
          <w:szCs w:val="20"/>
        </w:rPr>
        <w:t xml:space="preserve">Table 1. Items from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xml:space="preserve"> that were removed from analysis due to insufficient factor loadings</w:t>
      </w:r>
      <w:bookmarkEnd w:id="13"/>
      <w:bookmarkEnd w:id="14"/>
      <w:bookmarkEnd w:id="15"/>
      <w:bookmarkEnd w:id="16"/>
      <w:bookmarkEnd w:id="17"/>
    </w:p>
    <w:tbl>
      <w:tblPr>
        <w:tblpPr w:leftFromText="180" w:rightFromText="180" w:vertAnchor="text" w:tblpX="-141" w:tblpY="1"/>
        <w:tblOverlap w:val="never"/>
        <w:tblW w:w="9118" w:type="dxa"/>
        <w:tblLook w:val="04A0" w:firstRow="1" w:lastRow="0" w:firstColumn="1" w:lastColumn="0" w:noHBand="0" w:noVBand="1"/>
      </w:tblPr>
      <w:tblGrid>
        <w:gridCol w:w="939"/>
        <w:gridCol w:w="835"/>
        <w:gridCol w:w="7400"/>
      </w:tblGrid>
      <w:tr w:rsidR="00862E4A" w:rsidRPr="00862E4A" w14:paraId="15799608" w14:textId="77777777" w:rsidTr="001E5DE3">
        <w:tc>
          <w:tcPr>
            <w:tcW w:w="883" w:type="dxa"/>
            <w:tcBorders>
              <w:top w:val="single" w:sz="4" w:space="0" w:color="auto"/>
              <w:left w:val="nil"/>
              <w:bottom w:val="single" w:sz="4" w:space="0" w:color="auto"/>
              <w:right w:val="nil"/>
            </w:tcBorders>
            <w:vAlign w:val="center"/>
          </w:tcPr>
          <w:p w14:paraId="5295A493"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Original Facet</w:t>
            </w:r>
          </w:p>
        </w:tc>
        <w:tc>
          <w:tcPr>
            <w:tcW w:w="835" w:type="dxa"/>
            <w:tcBorders>
              <w:top w:val="single" w:sz="4" w:space="0" w:color="auto"/>
              <w:left w:val="nil"/>
              <w:bottom w:val="single" w:sz="4" w:space="0" w:color="auto"/>
              <w:right w:val="nil"/>
            </w:tcBorders>
            <w:vAlign w:val="center"/>
          </w:tcPr>
          <w:p w14:paraId="51D784AD" w14:textId="77777777" w:rsidR="00862E4A" w:rsidRPr="00862E4A" w:rsidRDefault="00862E4A" w:rsidP="001E5DE3">
            <w:pPr>
              <w:jc w:val="center"/>
              <w:rPr>
                <w:rFonts w:ascii="Times New Roman" w:hAnsi="Times New Roman" w:cs="Times New Roman"/>
                <w:b/>
                <w:bCs/>
                <w:sz w:val="20"/>
                <w:szCs w:val="20"/>
              </w:rPr>
            </w:pPr>
            <w:proofErr w:type="spellStart"/>
            <w:r w:rsidRPr="00862E4A">
              <w:rPr>
                <w:rFonts w:ascii="Times New Roman" w:hAnsi="Times New Roman" w:cs="Times New Roman"/>
                <w:b/>
                <w:bCs/>
                <w:sz w:val="20"/>
                <w:szCs w:val="20"/>
              </w:rPr>
              <w:t>FFMQ</w:t>
            </w:r>
            <w:proofErr w:type="spellEnd"/>
            <w:r w:rsidRPr="00862E4A">
              <w:rPr>
                <w:rFonts w:ascii="Times New Roman" w:hAnsi="Times New Roman" w:cs="Times New Roman"/>
                <w:b/>
                <w:bCs/>
                <w:sz w:val="20"/>
                <w:szCs w:val="20"/>
              </w:rPr>
              <w:t xml:space="preserve"> No.</w:t>
            </w:r>
          </w:p>
        </w:tc>
        <w:tc>
          <w:tcPr>
            <w:tcW w:w="7400" w:type="dxa"/>
            <w:tcBorders>
              <w:top w:val="single" w:sz="4" w:space="0" w:color="auto"/>
              <w:left w:val="nil"/>
              <w:bottom w:val="single" w:sz="4" w:space="0" w:color="auto"/>
              <w:right w:val="nil"/>
            </w:tcBorders>
            <w:vAlign w:val="center"/>
          </w:tcPr>
          <w:p w14:paraId="5409C28E"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Question</w:t>
            </w:r>
          </w:p>
        </w:tc>
      </w:tr>
      <w:tr w:rsidR="00862E4A" w:rsidRPr="00862E4A" w14:paraId="150B5AFE" w14:textId="77777777" w:rsidTr="001E5DE3">
        <w:trPr>
          <w:trHeight w:val="300"/>
        </w:trPr>
        <w:tc>
          <w:tcPr>
            <w:tcW w:w="883" w:type="dxa"/>
            <w:tcBorders>
              <w:top w:val="nil"/>
              <w:left w:val="nil"/>
              <w:bottom w:val="nil"/>
              <w:right w:val="nil"/>
            </w:tcBorders>
            <w:noWrap/>
          </w:tcPr>
          <w:p w14:paraId="747D7F9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835" w:type="dxa"/>
            <w:tcBorders>
              <w:top w:val="nil"/>
              <w:left w:val="nil"/>
              <w:bottom w:val="nil"/>
              <w:right w:val="nil"/>
            </w:tcBorders>
            <w:noWrap/>
          </w:tcPr>
          <w:p w14:paraId="0D94465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w:t>
            </w:r>
          </w:p>
        </w:tc>
        <w:tc>
          <w:tcPr>
            <w:tcW w:w="7400" w:type="dxa"/>
            <w:tcBorders>
              <w:top w:val="nil"/>
              <w:left w:val="nil"/>
              <w:bottom w:val="nil"/>
              <w:right w:val="nil"/>
            </w:tcBorders>
            <w:noWrap/>
          </w:tcPr>
          <w:p w14:paraId="0C5ADE3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I’m walking, I deliberately notice the sensations of my body moving</w:t>
            </w:r>
          </w:p>
        </w:tc>
      </w:tr>
      <w:tr w:rsidR="00862E4A" w:rsidRPr="00862E4A" w14:paraId="34D9DD2E" w14:textId="77777777" w:rsidTr="001E5DE3">
        <w:trPr>
          <w:trHeight w:val="300"/>
        </w:trPr>
        <w:tc>
          <w:tcPr>
            <w:tcW w:w="883" w:type="dxa"/>
            <w:tcBorders>
              <w:top w:val="nil"/>
              <w:left w:val="nil"/>
              <w:bottom w:val="nil"/>
              <w:right w:val="nil"/>
            </w:tcBorders>
            <w:noWrap/>
          </w:tcPr>
          <w:p w14:paraId="6FAE7D8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835" w:type="dxa"/>
            <w:tcBorders>
              <w:top w:val="nil"/>
              <w:left w:val="nil"/>
              <w:bottom w:val="nil"/>
              <w:right w:val="nil"/>
            </w:tcBorders>
            <w:noWrap/>
          </w:tcPr>
          <w:p w14:paraId="14130AFA"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11</w:t>
            </w:r>
          </w:p>
        </w:tc>
        <w:tc>
          <w:tcPr>
            <w:tcW w:w="7400" w:type="dxa"/>
            <w:tcBorders>
              <w:top w:val="nil"/>
              <w:left w:val="nil"/>
              <w:bottom w:val="nil"/>
              <w:right w:val="nil"/>
            </w:tcBorders>
            <w:noWrap/>
          </w:tcPr>
          <w:p w14:paraId="3998C56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notice how foods and drinks affect my thoughts, bodily sensations, and emotions</w:t>
            </w:r>
          </w:p>
        </w:tc>
      </w:tr>
      <w:tr w:rsidR="00862E4A" w:rsidRPr="00862E4A" w14:paraId="08C0DBFA" w14:textId="77777777" w:rsidTr="001E5DE3">
        <w:trPr>
          <w:trHeight w:val="300"/>
        </w:trPr>
        <w:tc>
          <w:tcPr>
            <w:tcW w:w="883" w:type="dxa"/>
            <w:tcBorders>
              <w:top w:val="nil"/>
              <w:left w:val="nil"/>
              <w:bottom w:val="nil"/>
              <w:right w:val="nil"/>
            </w:tcBorders>
            <w:noWrap/>
          </w:tcPr>
          <w:p w14:paraId="2507029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835" w:type="dxa"/>
            <w:tcBorders>
              <w:top w:val="nil"/>
              <w:left w:val="nil"/>
              <w:bottom w:val="nil"/>
              <w:right w:val="nil"/>
            </w:tcBorders>
            <w:noWrap/>
          </w:tcPr>
          <w:p w14:paraId="18FBC66F"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36</w:t>
            </w:r>
          </w:p>
        </w:tc>
        <w:tc>
          <w:tcPr>
            <w:tcW w:w="7400" w:type="dxa"/>
            <w:tcBorders>
              <w:top w:val="nil"/>
              <w:left w:val="nil"/>
              <w:bottom w:val="nil"/>
              <w:right w:val="nil"/>
            </w:tcBorders>
            <w:noWrap/>
          </w:tcPr>
          <w:p w14:paraId="0DF846C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pay attention to how my emotions affect my thoughts and behaviour</w:t>
            </w:r>
          </w:p>
        </w:tc>
      </w:tr>
      <w:tr w:rsidR="00862E4A" w:rsidRPr="00862E4A" w14:paraId="104DBA0D" w14:textId="77777777" w:rsidTr="001E5DE3">
        <w:trPr>
          <w:trHeight w:val="300"/>
        </w:trPr>
        <w:tc>
          <w:tcPr>
            <w:tcW w:w="883" w:type="dxa"/>
            <w:tcBorders>
              <w:top w:val="nil"/>
              <w:left w:val="nil"/>
              <w:bottom w:val="nil"/>
              <w:right w:val="nil"/>
            </w:tcBorders>
            <w:noWrap/>
          </w:tcPr>
          <w:p w14:paraId="69C3AD7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835" w:type="dxa"/>
            <w:tcBorders>
              <w:top w:val="nil"/>
              <w:left w:val="nil"/>
              <w:bottom w:val="nil"/>
              <w:right w:val="nil"/>
            </w:tcBorders>
            <w:noWrap/>
          </w:tcPr>
          <w:p w14:paraId="12E23EB8"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12</w:t>
            </w:r>
          </w:p>
        </w:tc>
        <w:tc>
          <w:tcPr>
            <w:tcW w:w="7400" w:type="dxa"/>
            <w:tcBorders>
              <w:top w:val="nil"/>
              <w:left w:val="nil"/>
              <w:bottom w:val="nil"/>
              <w:right w:val="nil"/>
            </w:tcBorders>
            <w:noWrap/>
          </w:tcPr>
          <w:p w14:paraId="0C8CCAD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It’s hard for me to find the words to describe what I’m thinking</w:t>
            </w:r>
          </w:p>
        </w:tc>
      </w:tr>
      <w:tr w:rsidR="00862E4A" w:rsidRPr="00862E4A" w14:paraId="6B801ACA" w14:textId="77777777" w:rsidTr="001E5DE3">
        <w:trPr>
          <w:trHeight w:val="300"/>
        </w:trPr>
        <w:tc>
          <w:tcPr>
            <w:tcW w:w="883" w:type="dxa"/>
            <w:tcBorders>
              <w:top w:val="nil"/>
              <w:left w:val="nil"/>
              <w:bottom w:val="nil"/>
              <w:right w:val="nil"/>
            </w:tcBorders>
            <w:noWrap/>
          </w:tcPr>
          <w:p w14:paraId="10E73D72"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835" w:type="dxa"/>
            <w:tcBorders>
              <w:top w:val="nil"/>
              <w:left w:val="nil"/>
              <w:bottom w:val="nil"/>
              <w:right w:val="nil"/>
            </w:tcBorders>
            <w:noWrap/>
          </w:tcPr>
          <w:p w14:paraId="122D0526"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22</w:t>
            </w:r>
          </w:p>
        </w:tc>
        <w:tc>
          <w:tcPr>
            <w:tcW w:w="7400" w:type="dxa"/>
            <w:tcBorders>
              <w:top w:val="nil"/>
              <w:left w:val="nil"/>
              <w:bottom w:val="nil"/>
              <w:right w:val="nil"/>
            </w:tcBorders>
            <w:noWrap/>
          </w:tcPr>
          <w:p w14:paraId="642B484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have a sensation in my body, it’s difficult for me to describe it because I can’t find the right words (reverse scored)</w:t>
            </w:r>
          </w:p>
        </w:tc>
      </w:tr>
      <w:tr w:rsidR="00862E4A" w:rsidRPr="00862E4A" w14:paraId="504F3919" w14:textId="77777777" w:rsidTr="001E5DE3">
        <w:trPr>
          <w:trHeight w:val="300"/>
        </w:trPr>
        <w:tc>
          <w:tcPr>
            <w:tcW w:w="883" w:type="dxa"/>
            <w:tcBorders>
              <w:top w:val="nil"/>
              <w:left w:val="nil"/>
              <w:bottom w:val="nil"/>
              <w:right w:val="nil"/>
            </w:tcBorders>
            <w:noWrap/>
          </w:tcPr>
          <w:p w14:paraId="2C90992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835" w:type="dxa"/>
            <w:tcBorders>
              <w:top w:val="nil"/>
              <w:left w:val="nil"/>
              <w:bottom w:val="nil"/>
              <w:right w:val="nil"/>
            </w:tcBorders>
            <w:noWrap/>
          </w:tcPr>
          <w:p w14:paraId="4250BBBF"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18</w:t>
            </w:r>
          </w:p>
        </w:tc>
        <w:tc>
          <w:tcPr>
            <w:tcW w:w="7400" w:type="dxa"/>
            <w:tcBorders>
              <w:top w:val="nil"/>
              <w:left w:val="nil"/>
              <w:bottom w:val="nil"/>
              <w:right w:val="nil"/>
            </w:tcBorders>
            <w:noWrap/>
          </w:tcPr>
          <w:p w14:paraId="2E3F5FE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find it difficult to stay focused on what’s happening in the present (reverse scored)</w:t>
            </w:r>
          </w:p>
        </w:tc>
      </w:tr>
      <w:tr w:rsidR="00862E4A" w:rsidRPr="00862E4A" w14:paraId="6BAF0815" w14:textId="77777777" w:rsidTr="001E5DE3">
        <w:trPr>
          <w:trHeight w:val="300"/>
        </w:trPr>
        <w:tc>
          <w:tcPr>
            <w:tcW w:w="883" w:type="dxa"/>
            <w:tcBorders>
              <w:top w:val="nil"/>
              <w:left w:val="nil"/>
              <w:bottom w:val="nil"/>
              <w:right w:val="nil"/>
            </w:tcBorders>
            <w:noWrap/>
          </w:tcPr>
          <w:p w14:paraId="0A4E4A8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835" w:type="dxa"/>
            <w:tcBorders>
              <w:top w:val="nil"/>
              <w:left w:val="nil"/>
              <w:bottom w:val="nil"/>
              <w:right w:val="nil"/>
            </w:tcBorders>
            <w:noWrap/>
          </w:tcPr>
          <w:p w14:paraId="788ECE39"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13</w:t>
            </w:r>
          </w:p>
        </w:tc>
        <w:tc>
          <w:tcPr>
            <w:tcW w:w="7400" w:type="dxa"/>
            <w:tcBorders>
              <w:top w:val="nil"/>
              <w:left w:val="nil"/>
              <w:bottom w:val="nil"/>
              <w:right w:val="nil"/>
            </w:tcBorders>
            <w:noWrap/>
          </w:tcPr>
          <w:p w14:paraId="198A5A18"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am easily distracted</w:t>
            </w:r>
          </w:p>
        </w:tc>
      </w:tr>
      <w:tr w:rsidR="00862E4A" w:rsidRPr="00862E4A" w14:paraId="4933D402" w14:textId="77777777" w:rsidTr="001E5DE3">
        <w:trPr>
          <w:trHeight w:val="300"/>
        </w:trPr>
        <w:tc>
          <w:tcPr>
            <w:tcW w:w="883" w:type="dxa"/>
            <w:tcBorders>
              <w:top w:val="nil"/>
              <w:left w:val="nil"/>
              <w:bottom w:val="nil"/>
              <w:right w:val="nil"/>
            </w:tcBorders>
            <w:noWrap/>
          </w:tcPr>
          <w:p w14:paraId="34D604C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835" w:type="dxa"/>
            <w:tcBorders>
              <w:top w:val="nil"/>
              <w:left w:val="nil"/>
              <w:bottom w:val="nil"/>
              <w:right w:val="nil"/>
            </w:tcBorders>
            <w:noWrap/>
          </w:tcPr>
          <w:p w14:paraId="1181A5DA"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16</w:t>
            </w:r>
          </w:p>
        </w:tc>
        <w:tc>
          <w:tcPr>
            <w:tcW w:w="7400" w:type="dxa"/>
            <w:tcBorders>
              <w:top w:val="nil"/>
              <w:left w:val="nil"/>
              <w:bottom w:val="nil"/>
              <w:right w:val="nil"/>
            </w:tcBorders>
            <w:noWrap/>
          </w:tcPr>
          <w:p w14:paraId="35C45D1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have trouble thinking of the right words to express how I feel about things</w:t>
            </w:r>
          </w:p>
        </w:tc>
      </w:tr>
      <w:tr w:rsidR="00862E4A" w:rsidRPr="00862E4A" w14:paraId="4104CF7E" w14:textId="77777777" w:rsidTr="001E5DE3">
        <w:trPr>
          <w:trHeight w:val="300"/>
        </w:trPr>
        <w:tc>
          <w:tcPr>
            <w:tcW w:w="883" w:type="dxa"/>
            <w:tcBorders>
              <w:top w:val="nil"/>
              <w:left w:val="nil"/>
              <w:bottom w:val="nil"/>
              <w:right w:val="nil"/>
            </w:tcBorders>
            <w:noWrap/>
          </w:tcPr>
          <w:p w14:paraId="6459215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835" w:type="dxa"/>
            <w:tcBorders>
              <w:top w:val="nil"/>
              <w:left w:val="nil"/>
              <w:bottom w:val="nil"/>
              <w:right w:val="nil"/>
            </w:tcBorders>
            <w:noWrap/>
          </w:tcPr>
          <w:p w14:paraId="4A613E41"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38</w:t>
            </w:r>
          </w:p>
        </w:tc>
        <w:tc>
          <w:tcPr>
            <w:tcW w:w="7400" w:type="dxa"/>
            <w:tcBorders>
              <w:top w:val="nil"/>
              <w:left w:val="nil"/>
              <w:bottom w:val="nil"/>
              <w:right w:val="nil"/>
            </w:tcBorders>
            <w:noWrap/>
          </w:tcPr>
          <w:p w14:paraId="0F9E252C"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find myself doing things without paying attention (reverse scored)</w:t>
            </w:r>
          </w:p>
        </w:tc>
      </w:tr>
      <w:tr w:rsidR="00862E4A" w:rsidRPr="00862E4A" w14:paraId="0A5E34A2" w14:textId="77777777" w:rsidTr="001E5DE3">
        <w:trPr>
          <w:trHeight w:val="300"/>
        </w:trPr>
        <w:tc>
          <w:tcPr>
            <w:tcW w:w="883" w:type="dxa"/>
            <w:tcBorders>
              <w:top w:val="nil"/>
              <w:left w:val="nil"/>
              <w:bottom w:val="nil"/>
              <w:right w:val="nil"/>
            </w:tcBorders>
            <w:noWrap/>
          </w:tcPr>
          <w:p w14:paraId="7098EBB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lastRenderedPageBreak/>
              <w:t>NR</w:t>
            </w:r>
          </w:p>
        </w:tc>
        <w:tc>
          <w:tcPr>
            <w:tcW w:w="835" w:type="dxa"/>
            <w:tcBorders>
              <w:top w:val="nil"/>
              <w:left w:val="nil"/>
              <w:bottom w:val="nil"/>
              <w:right w:val="nil"/>
            </w:tcBorders>
            <w:noWrap/>
          </w:tcPr>
          <w:p w14:paraId="3596B3C0"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4</w:t>
            </w:r>
          </w:p>
        </w:tc>
        <w:tc>
          <w:tcPr>
            <w:tcW w:w="7400" w:type="dxa"/>
            <w:tcBorders>
              <w:top w:val="nil"/>
              <w:left w:val="nil"/>
              <w:bottom w:val="nil"/>
              <w:right w:val="nil"/>
            </w:tcBorders>
            <w:noWrap/>
          </w:tcPr>
          <w:p w14:paraId="717AAD7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perceive my feelings and emotions without having to react to them</w:t>
            </w:r>
          </w:p>
        </w:tc>
      </w:tr>
      <w:tr w:rsidR="00862E4A" w:rsidRPr="00862E4A" w14:paraId="1B39BEAC" w14:textId="77777777" w:rsidTr="001E5DE3">
        <w:trPr>
          <w:trHeight w:val="300"/>
        </w:trPr>
        <w:tc>
          <w:tcPr>
            <w:tcW w:w="883" w:type="dxa"/>
            <w:tcBorders>
              <w:top w:val="nil"/>
              <w:left w:val="nil"/>
              <w:bottom w:val="nil"/>
              <w:right w:val="nil"/>
            </w:tcBorders>
            <w:noWrap/>
          </w:tcPr>
          <w:p w14:paraId="5B15E28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835" w:type="dxa"/>
            <w:tcBorders>
              <w:top w:val="nil"/>
              <w:left w:val="nil"/>
              <w:bottom w:val="nil"/>
              <w:right w:val="nil"/>
            </w:tcBorders>
            <w:noWrap/>
          </w:tcPr>
          <w:p w14:paraId="71A006F1"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9</w:t>
            </w:r>
          </w:p>
        </w:tc>
        <w:tc>
          <w:tcPr>
            <w:tcW w:w="7400" w:type="dxa"/>
            <w:tcBorders>
              <w:top w:val="nil"/>
              <w:left w:val="nil"/>
              <w:bottom w:val="nil"/>
              <w:right w:val="nil"/>
            </w:tcBorders>
            <w:noWrap/>
          </w:tcPr>
          <w:p w14:paraId="23374AB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watch my feelings without getting lost in them</w:t>
            </w:r>
          </w:p>
        </w:tc>
      </w:tr>
      <w:tr w:rsidR="00862E4A" w:rsidRPr="00862E4A" w14:paraId="22660183" w14:textId="77777777" w:rsidTr="001E5DE3">
        <w:trPr>
          <w:trHeight w:val="300"/>
        </w:trPr>
        <w:tc>
          <w:tcPr>
            <w:tcW w:w="883" w:type="dxa"/>
            <w:tcBorders>
              <w:top w:val="nil"/>
              <w:left w:val="nil"/>
              <w:bottom w:val="nil"/>
              <w:right w:val="nil"/>
            </w:tcBorders>
            <w:noWrap/>
          </w:tcPr>
          <w:p w14:paraId="115499D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835" w:type="dxa"/>
            <w:tcBorders>
              <w:top w:val="nil"/>
              <w:left w:val="nil"/>
              <w:bottom w:val="nil"/>
              <w:right w:val="nil"/>
            </w:tcBorders>
            <w:noWrap/>
          </w:tcPr>
          <w:p w14:paraId="759D856B"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19</w:t>
            </w:r>
          </w:p>
        </w:tc>
        <w:tc>
          <w:tcPr>
            <w:tcW w:w="7400" w:type="dxa"/>
            <w:tcBorders>
              <w:top w:val="nil"/>
              <w:left w:val="nil"/>
              <w:bottom w:val="nil"/>
              <w:right w:val="nil"/>
            </w:tcBorders>
            <w:noWrap/>
          </w:tcPr>
          <w:p w14:paraId="3714574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have distressing thoughts or images, I “step-back” and am aware of the thought or image without getting taken over by it</w:t>
            </w:r>
          </w:p>
        </w:tc>
      </w:tr>
    </w:tbl>
    <w:p w14:paraId="6AADB356" w14:textId="77777777" w:rsidR="00862E4A" w:rsidRPr="00862E4A" w:rsidRDefault="00862E4A" w:rsidP="00862E4A">
      <w:pPr>
        <w:spacing w:line="480" w:lineRule="auto"/>
        <w:rPr>
          <w:rFonts w:ascii="Times New Roman" w:hAnsi="Times New Roman" w:cs="Times New Roman"/>
          <w:sz w:val="20"/>
          <w:szCs w:val="20"/>
        </w:rPr>
      </w:pPr>
    </w:p>
    <w:p w14:paraId="169DF6BF" w14:textId="01E22923" w:rsidR="000D4DE3" w:rsidRPr="00862E4A" w:rsidRDefault="00862E4A" w:rsidP="00616713">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 xml:space="preserve">Table 2 outlines the items that made-up a four-factor model of mindfulness. </w:t>
      </w:r>
      <w:r w:rsidR="000D4DE3" w:rsidRPr="00862E4A">
        <w:rPr>
          <w:rFonts w:ascii="Times New Roman" w:hAnsi="Times New Roman" w:cs="Times New Roman"/>
          <w:sz w:val="20"/>
          <w:szCs w:val="20"/>
        </w:rPr>
        <w:t xml:space="preserve">The first factor was named </w:t>
      </w:r>
      <w:r w:rsidR="000D4DE3" w:rsidRPr="00862E4A">
        <w:rPr>
          <w:rFonts w:ascii="Times New Roman" w:hAnsi="Times New Roman" w:cs="Times New Roman"/>
          <w:i/>
          <w:iCs/>
          <w:sz w:val="20"/>
          <w:szCs w:val="20"/>
        </w:rPr>
        <w:t>Nonjudging awareness</w:t>
      </w:r>
      <w:r w:rsidR="000D4DE3" w:rsidRPr="00862E4A">
        <w:rPr>
          <w:rFonts w:ascii="Times New Roman" w:hAnsi="Times New Roman" w:cs="Times New Roman"/>
          <w:sz w:val="20"/>
          <w:szCs w:val="20"/>
        </w:rPr>
        <w:t xml:space="preserve"> and consisted of items derived from the Act with awareness and </w:t>
      </w:r>
      <w:proofErr w:type="gramStart"/>
      <w:r w:rsidR="000D4DE3" w:rsidRPr="00862E4A">
        <w:rPr>
          <w:rFonts w:ascii="Times New Roman" w:hAnsi="Times New Roman" w:cs="Times New Roman"/>
          <w:sz w:val="20"/>
          <w:szCs w:val="20"/>
        </w:rPr>
        <w:t>Non-judge</w:t>
      </w:r>
      <w:proofErr w:type="gramEnd"/>
      <w:r w:rsidR="000D4DE3" w:rsidRPr="00862E4A">
        <w:rPr>
          <w:rFonts w:ascii="Times New Roman" w:hAnsi="Times New Roman" w:cs="Times New Roman"/>
          <w:sz w:val="20"/>
          <w:szCs w:val="20"/>
        </w:rPr>
        <w:t xml:space="preserve"> facets, all of which were reverse scored. All other factors were exclusively comprised of items from individual facets of the original </w:t>
      </w:r>
      <w:proofErr w:type="spellStart"/>
      <w:r w:rsidR="000D4DE3" w:rsidRPr="00862E4A">
        <w:rPr>
          <w:rFonts w:ascii="Times New Roman" w:hAnsi="Times New Roman" w:cs="Times New Roman"/>
          <w:sz w:val="20"/>
          <w:szCs w:val="20"/>
        </w:rPr>
        <w:t>FFMQ</w:t>
      </w:r>
      <w:proofErr w:type="spellEnd"/>
      <w:r w:rsidR="000D4DE3" w:rsidRPr="00862E4A">
        <w:rPr>
          <w:rFonts w:ascii="Times New Roman" w:hAnsi="Times New Roman" w:cs="Times New Roman"/>
          <w:sz w:val="20"/>
          <w:szCs w:val="20"/>
        </w:rPr>
        <w:t xml:space="preserve">, and thus were named accordingly. Non-judging awareness explained 24% of the overall variance in the model; Describe explained 12%, Observe explained 9%, and </w:t>
      </w:r>
      <w:proofErr w:type="gramStart"/>
      <w:r w:rsidR="000D4DE3" w:rsidRPr="00862E4A">
        <w:rPr>
          <w:rFonts w:ascii="Times New Roman" w:hAnsi="Times New Roman" w:cs="Times New Roman"/>
          <w:sz w:val="20"/>
          <w:szCs w:val="20"/>
        </w:rPr>
        <w:t>Non-react</w:t>
      </w:r>
      <w:proofErr w:type="gramEnd"/>
      <w:r w:rsidR="000D4DE3" w:rsidRPr="00862E4A">
        <w:rPr>
          <w:rFonts w:ascii="Times New Roman" w:hAnsi="Times New Roman" w:cs="Times New Roman"/>
          <w:sz w:val="20"/>
          <w:szCs w:val="20"/>
        </w:rPr>
        <w:t xml:space="preserve"> explained 7% of the model variance. </w:t>
      </w:r>
    </w:p>
    <w:p w14:paraId="2E85D2D2" w14:textId="23D24AAF" w:rsidR="00862E4A" w:rsidRPr="00862E4A" w:rsidRDefault="00862E4A" w:rsidP="00862E4A">
      <w:pPr>
        <w:rPr>
          <w:rFonts w:ascii="Times New Roman" w:hAnsi="Times New Roman" w:cs="Times New Roman"/>
          <w:sz w:val="20"/>
          <w:szCs w:val="20"/>
        </w:rPr>
      </w:pPr>
      <w:r w:rsidRPr="00862E4A">
        <w:rPr>
          <w:rFonts w:ascii="Times New Roman" w:hAnsi="Times New Roman" w:cs="Times New Roman"/>
          <w:sz w:val="20"/>
          <w:szCs w:val="20"/>
        </w:rPr>
        <w:t>Table 2.</w:t>
      </w:r>
      <w:r w:rsidRPr="00862E4A">
        <w:rPr>
          <w:rFonts w:ascii="Times New Roman" w:hAnsi="Times New Roman" w:cs="Times New Roman"/>
          <w:sz w:val="20"/>
          <w:szCs w:val="20"/>
        </w:rPr>
        <w:t xml:space="preserve"> Items from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xml:space="preserve"> that were included in the facet-factor model of mindfulness </w:t>
      </w:r>
    </w:p>
    <w:tbl>
      <w:tblPr>
        <w:tblpPr w:leftFromText="180" w:rightFromText="180" w:vertAnchor="text" w:tblpX="-141" w:tblpY="1"/>
        <w:tblOverlap w:val="never"/>
        <w:tblW w:w="9733" w:type="dxa"/>
        <w:tblLook w:val="04A0" w:firstRow="1" w:lastRow="0" w:firstColumn="1" w:lastColumn="0" w:noHBand="0" w:noVBand="1"/>
      </w:tblPr>
      <w:tblGrid>
        <w:gridCol w:w="1083"/>
        <w:gridCol w:w="923"/>
        <w:gridCol w:w="6750"/>
        <w:gridCol w:w="977"/>
      </w:tblGrid>
      <w:tr w:rsidR="00862E4A" w:rsidRPr="00862E4A" w14:paraId="701F5CAA" w14:textId="77777777" w:rsidTr="001E5DE3">
        <w:tc>
          <w:tcPr>
            <w:tcW w:w="1083" w:type="dxa"/>
            <w:tcBorders>
              <w:top w:val="single" w:sz="4" w:space="0" w:color="auto"/>
              <w:left w:val="nil"/>
              <w:bottom w:val="single" w:sz="4" w:space="0" w:color="auto"/>
              <w:right w:val="nil"/>
            </w:tcBorders>
            <w:vAlign w:val="center"/>
          </w:tcPr>
          <w:p w14:paraId="5EF58460" w14:textId="77777777" w:rsidR="00862E4A" w:rsidRPr="00862E4A" w:rsidRDefault="00862E4A" w:rsidP="001E5DE3">
            <w:pPr>
              <w:rPr>
                <w:rFonts w:ascii="Times New Roman" w:hAnsi="Times New Roman" w:cs="Times New Roman"/>
                <w:b/>
                <w:bCs/>
                <w:sz w:val="20"/>
                <w:szCs w:val="20"/>
              </w:rPr>
            </w:pPr>
            <w:bookmarkStart w:id="18" w:name="_Hlk70179020"/>
            <w:r w:rsidRPr="00862E4A">
              <w:rPr>
                <w:rFonts w:ascii="Times New Roman" w:hAnsi="Times New Roman" w:cs="Times New Roman"/>
                <w:b/>
                <w:bCs/>
                <w:sz w:val="20"/>
                <w:szCs w:val="20"/>
              </w:rPr>
              <w:t>Original Facet</w:t>
            </w:r>
          </w:p>
        </w:tc>
        <w:tc>
          <w:tcPr>
            <w:tcW w:w="923" w:type="dxa"/>
            <w:tcBorders>
              <w:top w:val="single" w:sz="4" w:space="0" w:color="auto"/>
              <w:left w:val="nil"/>
              <w:bottom w:val="single" w:sz="4" w:space="0" w:color="auto"/>
              <w:right w:val="nil"/>
            </w:tcBorders>
            <w:vAlign w:val="center"/>
          </w:tcPr>
          <w:p w14:paraId="0BE438A9" w14:textId="77777777" w:rsidR="00862E4A" w:rsidRPr="00862E4A" w:rsidRDefault="00862E4A" w:rsidP="001E5DE3">
            <w:pPr>
              <w:jc w:val="center"/>
              <w:rPr>
                <w:rFonts w:ascii="Times New Roman" w:hAnsi="Times New Roman" w:cs="Times New Roman"/>
                <w:b/>
                <w:bCs/>
                <w:sz w:val="20"/>
                <w:szCs w:val="20"/>
              </w:rPr>
            </w:pPr>
            <w:proofErr w:type="spellStart"/>
            <w:r w:rsidRPr="00862E4A">
              <w:rPr>
                <w:rFonts w:ascii="Times New Roman" w:hAnsi="Times New Roman" w:cs="Times New Roman"/>
                <w:b/>
                <w:bCs/>
                <w:sz w:val="20"/>
                <w:szCs w:val="20"/>
              </w:rPr>
              <w:t>FFMQ</w:t>
            </w:r>
            <w:proofErr w:type="spellEnd"/>
            <w:r w:rsidRPr="00862E4A">
              <w:rPr>
                <w:rFonts w:ascii="Times New Roman" w:hAnsi="Times New Roman" w:cs="Times New Roman"/>
                <w:b/>
                <w:bCs/>
                <w:sz w:val="20"/>
                <w:szCs w:val="20"/>
              </w:rPr>
              <w:t xml:space="preserve"> No.</w:t>
            </w:r>
          </w:p>
        </w:tc>
        <w:tc>
          <w:tcPr>
            <w:tcW w:w="6750" w:type="dxa"/>
            <w:tcBorders>
              <w:top w:val="single" w:sz="4" w:space="0" w:color="auto"/>
              <w:left w:val="nil"/>
              <w:bottom w:val="single" w:sz="4" w:space="0" w:color="auto"/>
              <w:right w:val="nil"/>
            </w:tcBorders>
            <w:vAlign w:val="center"/>
          </w:tcPr>
          <w:p w14:paraId="4D5E6071"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Question</w:t>
            </w:r>
          </w:p>
        </w:tc>
        <w:tc>
          <w:tcPr>
            <w:tcW w:w="977" w:type="dxa"/>
            <w:tcBorders>
              <w:top w:val="single" w:sz="4" w:space="0" w:color="auto"/>
              <w:left w:val="nil"/>
              <w:bottom w:val="single" w:sz="4" w:space="0" w:color="auto"/>
              <w:right w:val="nil"/>
            </w:tcBorders>
          </w:tcPr>
          <w:p w14:paraId="38A6BFF8"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Factor loading</w:t>
            </w:r>
          </w:p>
        </w:tc>
      </w:tr>
      <w:tr w:rsidR="00862E4A" w:rsidRPr="00862E4A" w14:paraId="565DEA6F" w14:textId="77777777" w:rsidTr="001E5DE3">
        <w:trPr>
          <w:trHeight w:val="300"/>
        </w:trPr>
        <w:tc>
          <w:tcPr>
            <w:tcW w:w="8756" w:type="dxa"/>
            <w:gridSpan w:val="3"/>
            <w:tcBorders>
              <w:top w:val="nil"/>
              <w:left w:val="nil"/>
              <w:bottom w:val="nil"/>
              <w:right w:val="nil"/>
            </w:tcBorders>
            <w:noWrap/>
          </w:tcPr>
          <w:p w14:paraId="7E32E23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b/>
                <w:bCs/>
                <w:sz w:val="20"/>
                <w:szCs w:val="20"/>
              </w:rPr>
              <w:t>Nonjudging Awareness (eigenvalue = 9.29)</w:t>
            </w:r>
          </w:p>
        </w:tc>
        <w:tc>
          <w:tcPr>
            <w:tcW w:w="977" w:type="dxa"/>
            <w:tcBorders>
              <w:top w:val="nil"/>
              <w:left w:val="nil"/>
              <w:bottom w:val="nil"/>
              <w:right w:val="nil"/>
            </w:tcBorders>
            <w:shd w:val="clear" w:color="auto" w:fill="auto"/>
            <w:vAlign w:val="bottom"/>
          </w:tcPr>
          <w:p w14:paraId="011D2696" w14:textId="77777777" w:rsidR="00862E4A" w:rsidRPr="00862E4A" w:rsidRDefault="00862E4A" w:rsidP="001E5DE3">
            <w:pPr>
              <w:rPr>
                <w:rFonts w:ascii="Times New Roman" w:eastAsia="Times New Roman" w:hAnsi="Times New Roman" w:cs="Times New Roman"/>
                <w:b/>
                <w:bCs/>
                <w:sz w:val="20"/>
                <w:szCs w:val="20"/>
                <w:lang w:eastAsia="en-GB"/>
              </w:rPr>
            </w:pPr>
          </w:p>
        </w:tc>
      </w:tr>
      <w:tr w:rsidR="00862E4A" w:rsidRPr="00862E4A" w14:paraId="5D1B2083" w14:textId="77777777" w:rsidTr="001E5DE3">
        <w:trPr>
          <w:trHeight w:val="300"/>
        </w:trPr>
        <w:tc>
          <w:tcPr>
            <w:tcW w:w="1083" w:type="dxa"/>
            <w:tcBorders>
              <w:top w:val="nil"/>
              <w:left w:val="nil"/>
              <w:bottom w:val="nil"/>
              <w:right w:val="nil"/>
            </w:tcBorders>
            <w:noWrap/>
            <w:hideMark/>
          </w:tcPr>
          <w:p w14:paraId="6BF7890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923" w:type="dxa"/>
            <w:tcBorders>
              <w:top w:val="nil"/>
              <w:left w:val="nil"/>
              <w:bottom w:val="nil"/>
              <w:right w:val="nil"/>
            </w:tcBorders>
            <w:noWrap/>
            <w:hideMark/>
          </w:tcPr>
          <w:p w14:paraId="1250BBA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5</w:t>
            </w:r>
          </w:p>
        </w:tc>
        <w:tc>
          <w:tcPr>
            <w:tcW w:w="6750" w:type="dxa"/>
            <w:tcBorders>
              <w:top w:val="nil"/>
              <w:left w:val="nil"/>
              <w:bottom w:val="nil"/>
              <w:right w:val="nil"/>
            </w:tcBorders>
            <w:noWrap/>
            <w:hideMark/>
          </w:tcPr>
          <w:p w14:paraId="3E3B643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do things, my mind wanders off and I'm easily distracted (reverse scored)</w:t>
            </w:r>
          </w:p>
        </w:tc>
        <w:tc>
          <w:tcPr>
            <w:tcW w:w="977" w:type="dxa"/>
            <w:tcBorders>
              <w:top w:val="nil"/>
              <w:left w:val="nil"/>
              <w:bottom w:val="nil"/>
              <w:right w:val="nil"/>
            </w:tcBorders>
            <w:shd w:val="clear" w:color="auto" w:fill="auto"/>
            <w:vAlign w:val="bottom"/>
          </w:tcPr>
          <w:p w14:paraId="0780391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0.70</w:t>
            </w:r>
          </w:p>
        </w:tc>
      </w:tr>
      <w:tr w:rsidR="00862E4A" w:rsidRPr="00862E4A" w14:paraId="0B78713B" w14:textId="77777777" w:rsidTr="001E5DE3">
        <w:trPr>
          <w:trHeight w:val="300"/>
        </w:trPr>
        <w:tc>
          <w:tcPr>
            <w:tcW w:w="1083" w:type="dxa"/>
            <w:tcBorders>
              <w:top w:val="nil"/>
              <w:left w:val="nil"/>
              <w:bottom w:val="nil"/>
              <w:right w:val="nil"/>
            </w:tcBorders>
            <w:noWrap/>
            <w:hideMark/>
          </w:tcPr>
          <w:p w14:paraId="74BB36C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923" w:type="dxa"/>
            <w:tcBorders>
              <w:top w:val="nil"/>
              <w:left w:val="nil"/>
              <w:bottom w:val="nil"/>
              <w:right w:val="nil"/>
            </w:tcBorders>
            <w:noWrap/>
            <w:hideMark/>
          </w:tcPr>
          <w:p w14:paraId="4D314D6E"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8</w:t>
            </w:r>
          </w:p>
        </w:tc>
        <w:tc>
          <w:tcPr>
            <w:tcW w:w="6750" w:type="dxa"/>
            <w:tcBorders>
              <w:top w:val="nil"/>
              <w:left w:val="nil"/>
              <w:bottom w:val="nil"/>
              <w:right w:val="nil"/>
            </w:tcBorders>
            <w:noWrap/>
            <w:hideMark/>
          </w:tcPr>
          <w:p w14:paraId="77744668"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don't pay attention to what I'm doing because I'm daydreaming, worrying, or otherwise distracted (reverse scored)</w:t>
            </w:r>
          </w:p>
        </w:tc>
        <w:tc>
          <w:tcPr>
            <w:tcW w:w="977" w:type="dxa"/>
            <w:tcBorders>
              <w:top w:val="nil"/>
              <w:left w:val="nil"/>
              <w:bottom w:val="nil"/>
              <w:right w:val="nil"/>
            </w:tcBorders>
            <w:shd w:val="clear" w:color="auto" w:fill="auto"/>
            <w:vAlign w:val="bottom"/>
          </w:tcPr>
          <w:p w14:paraId="42BDEEA1"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0.69</w:t>
            </w:r>
          </w:p>
        </w:tc>
      </w:tr>
      <w:tr w:rsidR="00862E4A" w:rsidRPr="00862E4A" w14:paraId="003CC5A7" w14:textId="77777777" w:rsidTr="001E5DE3">
        <w:trPr>
          <w:trHeight w:val="300"/>
        </w:trPr>
        <w:tc>
          <w:tcPr>
            <w:tcW w:w="1083" w:type="dxa"/>
            <w:tcBorders>
              <w:top w:val="nil"/>
              <w:left w:val="nil"/>
              <w:bottom w:val="nil"/>
              <w:right w:val="nil"/>
            </w:tcBorders>
            <w:noWrap/>
            <w:hideMark/>
          </w:tcPr>
          <w:p w14:paraId="269C96A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923" w:type="dxa"/>
            <w:tcBorders>
              <w:top w:val="nil"/>
              <w:left w:val="nil"/>
              <w:bottom w:val="nil"/>
              <w:right w:val="nil"/>
            </w:tcBorders>
            <w:noWrap/>
            <w:hideMark/>
          </w:tcPr>
          <w:p w14:paraId="604BB983"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23</w:t>
            </w:r>
          </w:p>
        </w:tc>
        <w:tc>
          <w:tcPr>
            <w:tcW w:w="6750" w:type="dxa"/>
            <w:tcBorders>
              <w:top w:val="nil"/>
              <w:left w:val="nil"/>
              <w:bottom w:val="nil"/>
              <w:right w:val="nil"/>
            </w:tcBorders>
            <w:noWrap/>
            <w:hideMark/>
          </w:tcPr>
          <w:p w14:paraId="5418CFAC"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It seems I am "running on automatic" without much awareness of what I'm doing (reverse scored)</w:t>
            </w:r>
          </w:p>
        </w:tc>
        <w:tc>
          <w:tcPr>
            <w:tcW w:w="977" w:type="dxa"/>
            <w:tcBorders>
              <w:top w:val="nil"/>
              <w:left w:val="nil"/>
              <w:bottom w:val="nil"/>
              <w:right w:val="nil"/>
            </w:tcBorders>
            <w:shd w:val="clear" w:color="auto" w:fill="auto"/>
            <w:vAlign w:val="bottom"/>
          </w:tcPr>
          <w:p w14:paraId="56E3E7B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0.57</w:t>
            </w:r>
          </w:p>
        </w:tc>
      </w:tr>
      <w:tr w:rsidR="00862E4A" w:rsidRPr="00862E4A" w14:paraId="2CC0B05F" w14:textId="77777777" w:rsidTr="001E5DE3">
        <w:trPr>
          <w:trHeight w:val="300"/>
        </w:trPr>
        <w:tc>
          <w:tcPr>
            <w:tcW w:w="1083" w:type="dxa"/>
            <w:tcBorders>
              <w:top w:val="nil"/>
              <w:left w:val="nil"/>
              <w:bottom w:val="nil"/>
              <w:right w:val="nil"/>
            </w:tcBorders>
            <w:noWrap/>
            <w:hideMark/>
          </w:tcPr>
          <w:p w14:paraId="3677424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923" w:type="dxa"/>
            <w:tcBorders>
              <w:top w:val="nil"/>
              <w:left w:val="nil"/>
              <w:bottom w:val="nil"/>
              <w:right w:val="nil"/>
            </w:tcBorders>
            <w:noWrap/>
            <w:hideMark/>
          </w:tcPr>
          <w:p w14:paraId="18376B61"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28</w:t>
            </w:r>
          </w:p>
        </w:tc>
        <w:tc>
          <w:tcPr>
            <w:tcW w:w="6750" w:type="dxa"/>
            <w:tcBorders>
              <w:top w:val="nil"/>
              <w:left w:val="nil"/>
              <w:bottom w:val="nil"/>
              <w:right w:val="nil"/>
            </w:tcBorders>
            <w:noWrap/>
            <w:hideMark/>
          </w:tcPr>
          <w:p w14:paraId="211F1D3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I rush through activities without being </w:t>
            </w:r>
            <w:proofErr w:type="gramStart"/>
            <w:r w:rsidRPr="00862E4A">
              <w:rPr>
                <w:rFonts w:ascii="Times New Roman" w:eastAsia="Times New Roman" w:hAnsi="Times New Roman" w:cs="Times New Roman"/>
                <w:sz w:val="20"/>
                <w:szCs w:val="20"/>
                <w:lang w:eastAsia="en-GB"/>
              </w:rPr>
              <w:t>really attentive</w:t>
            </w:r>
            <w:proofErr w:type="gramEnd"/>
            <w:r w:rsidRPr="00862E4A">
              <w:rPr>
                <w:rFonts w:ascii="Times New Roman" w:eastAsia="Times New Roman" w:hAnsi="Times New Roman" w:cs="Times New Roman"/>
                <w:sz w:val="20"/>
                <w:szCs w:val="20"/>
                <w:lang w:eastAsia="en-GB"/>
              </w:rPr>
              <w:t xml:space="preserve"> to them (reverse scored)</w:t>
            </w:r>
          </w:p>
        </w:tc>
        <w:tc>
          <w:tcPr>
            <w:tcW w:w="977" w:type="dxa"/>
            <w:tcBorders>
              <w:top w:val="nil"/>
              <w:left w:val="nil"/>
              <w:bottom w:val="nil"/>
              <w:right w:val="nil"/>
            </w:tcBorders>
            <w:shd w:val="clear" w:color="auto" w:fill="auto"/>
            <w:vAlign w:val="bottom"/>
          </w:tcPr>
          <w:p w14:paraId="41B08A91"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0.58</w:t>
            </w:r>
          </w:p>
        </w:tc>
      </w:tr>
      <w:tr w:rsidR="00862E4A" w:rsidRPr="00862E4A" w14:paraId="210AD8C6" w14:textId="77777777" w:rsidTr="001E5DE3">
        <w:trPr>
          <w:trHeight w:val="300"/>
        </w:trPr>
        <w:tc>
          <w:tcPr>
            <w:tcW w:w="1083" w:type="dxa"/>
            <w:tcBorders>
              <w:top w:val="nil"/>
              <w:left w:val="nil"/>
              <w:bottom w:val="nil"/>
              <w:right w:val="nil"/>
            </w:tcBorders>
            <w:noWrap/>
            <w:hideMark/>
          </w:tcPr>
          <w:p w14:paraId="773B023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AWA</w:t>
            </w:r>
          </w:p>
        </w:tc>
        <w:tc>
          <w:tcPr>
            <w:tcW w:w="923" w:type="dxa"/>
            <w:tcBorders>
              <w:top w:val="nil"/>
              <w:left w:val="nil"/>
              <w:bottom w:val="nil"/>
              <w:right w:val="nil"/>
            </w:tcBorders>
            <w:noWrap/>
            <w:hideMark/>
          </w:tcPr>
          <w:p w14:paraId="2DD1637B"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34</w:t>
            </w:r>
          </w:p>
        </w:tc>
        <w:tc>
          <w:tcPr>
            <w:tcW w:w="6750" w:type="dxa"/>
            <w:tcBorders>
              <w:top w:val="nil"/>
              <w:left w:val="nil"/>
              <w:bottom w:val="nil"/>
              <w:right w:val="nil"/>
            </w:tcBorders>
            <w:noWrap/>
            <w:hideMark/>
          </w:tcPr>
          <w:p w14:paraId="54E23BA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do jobs or tasks automatically without being aware of what I'm doing (reverse scored)</w:t>
            </w:r>
          </w:p>
        </w:tc>
        <w:tc>
          <w:tcPr>
            <w:tcW w:w="977" w:type="dxa"/>
            <w:tcBorders>
              <w:top w:val="nil"/>
              <w:left w:val="nil"/>
              <w:bottom w:val="nil"/>
              <w:right w:val="nil"/>
            </w:tcBorders>
            <w:shd w:val="clear" w:color="auto" w:fill="auto"/>
            <w:vAlign w:val="bottom"/>
          </w:tcPr>
          <w:p w14:paraId="0616501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0.54</w:t>
            </w:r>
          </w:p>
        </w:tc>
      </w:tr>
      <w:tr w:rsidR="00862E4A" w:rsidRPr="00862E4A" w14:paraId="1BEA9D66" w14:textId="77777777" w:rsidTr="001E5DE3">
        <w:trPr>
          <w:trHeight w:val="300"/>
        </w:trPr>
        <w:tc>
          <w:tcPr>
            <w:tcW w:w="1083" w:type="dxa"/>
            <w:tcBorders>
              <w:top w:val="nil"/>
              <w:left w:val="nil"/>
              <w:bottom w:val="nil"/>
              <w:right w:val="nil"/>
            </w:tcBorders>
            <w:noWrap/>
            <w:hideMark/>
          </w:tcPr>
          <w:p w14:paraId="382ADEA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5FAD55E8"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w:t>
            </w:r>
          </w:p>
        </w:tc>
        <w:tc>
          <w:tcPr>
            <w:tcW w:w="6750" w:type="dxa"/>
            <w:tcBorders>
              <w:top w:val="nil"/>
              <w:left w:val="nil"/>
              <w:bottom w:val="nil"/>
              <w:right w:val="nil"/>
            </w:tcBorders>
            <w:noWrap/>
            <w:hideMark/>
          </w:tcPr>
          <w:p w14:paraId="17C594E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criticise myself for having irrational or inappropriate emotions (reverse scored)</w:t>
            </w:r>
          </w:p>
        </w:tc>
        <w:tc>
          <w:tcPr>
            <w:tcW w:w="977" w:type="dxa"/>
            <w:tcBorders>
              <w:top w:val="nil"/>
              <w:left w:val="nil"/>
              <w:bottom w:val="nil"/>
              <w:right w:val="nil"/>
            </w:tcBorders>
            <w:shd w:val="clear" w:color="auto" w:fill="auto"/>
            <w:vAlign w:val="bottom"/>
          </w:tcPr>
          <w:p w14:paraId="11EF144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0.67</w:t>
            </w:r>
          </w:p>
        </w:tc>
      </w:tr>
      <w:tr w:rsidR="00862E4A" w:rsidRPr="00862E4A" w14:paraId="18AFBC93" w14:textId="77777777" w:rsidTr="001E5DE3">
        <w:trPr>
          <w:trHeight w:val="300"/>
        </w:trPr>
        <w:tc>
          <w:tcPr>
            <w:tcW w:w="1083" w:type="dxa"/>
            <w:tcBorders>
              <w:top w:val="nil"/>
              <w:left w:val="nil"/>
              <w:bottom w:val="nil"/>
              <w:right w:val="nil"/>
            </w:tcBorders>
            <w:noWrap/>
            <w:hideMark/>
          </w:tcPr>
          <w:p w14:paraId="12A51A3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62EB6062"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10</w:t>
            </w:r>
          </w:p>
        </w:tc>
        <w:tc>
          <w:tcPr>
            <w:tcW w:w="6750" w:type="dxa"/>
            <w:tcBorders>
              <w:top w:val="nil"/>
              <w:left w:val="nil"/>
              <w:bottom w:val="nil"/>
              <w:right w:val="nil"/>
            </w:tcBorders>
            <w:noWrap/>
            <w:hideMark/>
          </w:tcPr>
          <w:p w14:paraId="7ADD767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tell myself I shouldn't be feeling the way I'm feeling (reverse scored)</w:t>
            </w:r>
          </w:p>
        </w:tc>
        <w:tc>
          <w:tcPr>
            <w:tcW w:w="977" w:type="dxa"/>
            <w:tcBorders>
              <w:top w:val="nil"/>
              <w:left w:val="nil"/>
              <w:bottom w:val="nil"/>
              <w:right w:val="nil"/>
            </w:tcBorders>
            <w:shd w:val="clear" w:color="auto" w:fill="auto"/>
            <w:vAlign w:val="bottom"/>
          </w:tcPr>
          <w:p w14:paraId="1D170F3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0.70</w:t>
            </w:r>
          </w:p>
        </w:tc>
      </w:tr>
      <w:tr w:rsidR="00862E4A" w:rsidRPr="00862E4A" w14:paraId="17CB3B4C" w14:textId="77777777" w:rsidTr="001E5DE3">
        <w:trPr>
          <w:trHeight w:val="300"/>
        </w:trPr>
        <w:tc>
          <w:tcPr>
            <w:tcW w:w="1083" w:type="dxa"/>
            <w:tcBorders>
              <w:top w:val="nil"/>
              <w:left w:val="nil"/>
              <w:bottom w:val="nil"/>
              <w:right w:val="nil"/>
            </w:tcBorders>
            <w:noWrap/>
            <w:hideMark/>
          </w:tcPr>
          <w:p w14:paraId="28E2161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04763D29"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14</w:t>
            </w:r>
          </w:p>
        </w:tc>
        <w:tc>
          <w:tcPr>
            <w:tcW w:w="6750" w:type="dxa"/>
            <w:tcBorders>
              <w:top w:val="nil"/>
              <w:left w:val="nil"/>
              <w:bottom w:val="nil"/>
              <w:right w:val="nil"/>
            </w:tcBorders>
            <w:noWrap/>
            <w:hideMark/>
          </w:tcPr>
          <w:p w14:paraId="4715085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believe some of my thoughts are abnormal or bad and I shouldn't think that way (reverse scored)</w:t>
            </w:r>
          </w:p>
        </w:tc>
        <w:tc>
          <w:tcPr>
            <w:tcW w:w="977" w:type="dxa"/>
            <w:tcBorders>
              <w:top w:val="nil"/>
              <w:left w:val="nil"/>
              <w:bottom w:val="nil"/>
              <w:right w:val="nil"/>
            </w:tcBorders>
            <w:shd w:val="clear" w:color="auto" w:fill="auto"/>
            <w:vAlign w:val="bottom"/>
          </w:tcPr>
          <w:p w14:paraId="0CEDBF2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0.73</w:t>
            </w:r>
          </w:p>
        </w:tc>
      </w:tr>
      <w:tr w:rsidR="00862E4A" w:rsidRPr="00862E4A" w14:paraId="55476D32" w14:textId="77777777" w:rsidTr="001E5DE3">
        <w:trPr>
          <w:trHeight w:val="300"/>
        </w:trPr>
        <w:tc>
          <w:tcPr>
            <w:tcW w:w="1083" w:type="dxa"/>
            <w:tcBorders>
              <w:top w:val="nil"/>
              <w:left w:val="nil"/>
              <w:bottom w:val="nil"/>
              <w:right w:val="nil"/>
            </w:tcBorders>
            <w:noWrap/>
            <w:hideMark/>
          </w:tcPr>
          <w:p w14:paraId="6AAE9D5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47D5E393"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17</w:t>
            </w:r>
          </w:p>
        </w:tc>
        <w:tc>
          <w:tcPr>
            <w:tcW w:w="6750" w:type="dxa"/>
            <w:tcBorders>
              <w:top w:val="nil"/>
              <w:left w:val="nil"/>
              <w:bottom w:val="nil"/>
              <w:right w:val="nil"/>
            </w:tcBorders>
            <w:noWrap/>
            <w:hideMark/>
          </w:tcPr>
          <w:p w14:paraId="73884C4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make judgements about whether my thoughts are good or bad (reverse scored)</w:t>
            </w:r>
          </w:p>
        </w:tc>
        <w:tc>
          <w:tcPr>
            <w:tcW w:w="977" w:type="dxa"/>
            <w:tcBorders>
              <w:top w:val="nil"/>
              <w:left w:val="nil"/>
              <w:bottom w:val="nil"/>
              <w:right w:val="nil"/>
            </w:tcBorders>
            <w:shd w:val="clear" w:color="auto" w:fill="auto"/>
            <w:vAlign w:val="bottom"/>
          </w:tcPr>
          <w:p w14:paraId="4EE228E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0.65</w:t>
            </w:r>
          </w:p>
        </w:tc>
      </w:tr>
      <w:tr w:rsidR="00862E4A" w:rsidRPr="00862E4A" w14:paraId="1B5AFEB0" w14:textId="77777777" w:rsidTr="001E5DE3">
        <w:trPr>
          <w:trHeight w:val="300"/>
        </w:trPr>
        <w:tc>
          <w:tcPr>
            <w:tcW w:w="1083" w:type="dxa"/>
            <w:tcBorders>
              <w:top w:val="nil"/>
              <w:left w:val="nil"/>
              <w:bottom w:val="nil"/>
              <w:right w:val="nil"/>
            </w:tcBorders>
            <w:noWrap/>
            <w:hideMark/>
          </w:tcPr>
          <w:p w14:paraId="3035041C"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7CEB840E"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25</w:t>
            </w:r>
          </w:p>
        </w:tc>
        <w:tc>
          <w:tcPr>
            <w:tcW w:w="6750" w:type="dxa"/>
            <w:tcBorders>
              <w:top w:val="nil"/>
              <w:left w:val="nil"/>
              <w:bottom w:val="nil"/>
              <w:right w:val="nil"/>
            </w:tcBorders>
            <w:noWrap/>
            <w:hideMark/>
          </w:tcPr>
          <w:p w14:paraId="7235FDC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tell myself that I shouldn't be thinking the way I'm thinking (reverse scored)</w:t>
            </w:r>
          </w:p>
        </w:tc>
        <w:tc>
          <w:tcPr>
            <w:tcW w:w="977" w:type="dxa"/>
            <w:tcBorders>
              <w:top w:val="nil"/>
              <w:left w:val="nil"/>
              <w:bottom w:val="nil"/>
              <w:right w:val="nil"/>
            </w:tcBorders>
            <w:shd w:val="clear" w:color="auto" w:fill="auto"/>
            <w:vAlign w:val="bottom"/>
          </w:tcPr>
          <w:p w14:paraId="1C559C5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0.75</w:t>
            </w:r>
          </w:p>
        </w:tc>
      </w:tr>
      <w:tr w:rsidR="00862E4A" w:rsidRPr="00862E4A" w14:paraId="7C328A4C" w14:textId="77777777" w:rsidTr="001E5DE3">
        <w:trPr>
          <w:trHeight w:val="300"/>
        </w:trPr>
        <w:tc>
          <w:tcPr>
            <w:tcW w:w="1083" w:type="dxa"/>
            <w:tcBorders>
              <w:top w:val="nil"/>
              <w:left w:val="nil"/>
              <w:bottom w:val="nil"/>
              <w:right w:val="nil"/>
            </w:tcBorders>
            <w:noWrap/>
            <w:hideMark/>
          </w:tcPr>
          <w:p w14:paraId="0CE953F2"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6E46329E"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30</w:t>
            </w:r>
          </w:p>
        </w:tc>
        <w:tc>
          <w:tcPr>
            <w:tcW w:w="6750" w:type="dxa"/>
            <w:tcBorders>
              <w:top w:val="nil"/>
              <w:left w:val="nil"/>
              <w:bottom w:val="nil"/>
              <w:right w:val="nil"/>
            </w:tcBorders>
            <w:noWrap/>
            <w:hideMark/>
          </w:tcPr>
          <w:p w14:paraId="1610D11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think some of my emotions are bad or inappropriate and I shouldn't feel them (reverse scored)</w:t>
            </w:r>
          </w:p>
        </w:tc>
        <w:tc>
          <w:tcPr>
            <w:tcW w:w="977" w:type="dxa"/>
            <w:tcBorders>
              <w:top w:val="nil"/>
              <w:left w:val="nil"/>
              <w:bottom w:val="nil"/>
              <w:right w:val="nil"/>
            </w:tcBorders>
            <w:shd w:val="clear" w:color="auto" w:fill="auto"/>
            <w:vAlign w:val="bottom"/>
          </w:tcPr>
          <w:p w14:paraId="1E31EBDF"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0.72</w:t>
            </w:r>
          </w:p>
        </w:tc>
      </w:tr>
      <w:tr w:rsidR="00862E4A" w:rsidRPr="00862E4A" w14:paraId="53D2EEEE" w14:textId="77777777" w:rsidTr="001E5DE3">
        <w:trPr>
          <w:trHeight w:val="300"/>
        </w:trPr>
        <w:tc>
          <w:tcPr>
            <w:tcW w:w="1083" w:type="dxa"/>
            <w:tcBorders>
              <w:top w:val="nil"/>
              <w:left w:val="nil"/>
              <w:bottom w:val="nil"/>
              <w:right w:val="nil"/>
            </w:tcBorders>
            <w:noWrap/>
            <w:hideMark/>
          </w:tcPr>
          <w:p w14:paraId="39F07FF8"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5A6A186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35</w:t>
            </w:r>
          </w:p>
        </w:tc>
        <w:tc>
          <w:tcPr>
            <w:tcW w:w="6750" w:type="dxa"/>
            <w:tcBorders>
              <w:top w:val="nil"/>
              <w:left w:val="nil"/>
              <w:bottom w:val="nil"/>
              <w:right w:val="nil"/>
            </w:tcBorders>
            <w:noWrap/>
            <w:hideMark/>
          </w:tcPr>
          <w:p w14:paraId="3336C99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When I have distressing thoughts or images, I judge myself as good or bad, </w:t>
            </w:r>
            <w:proofErr w:type="gramStart"/>
            <w:r w:rsidRPr="00862E4A">
              <w:rPr>
                <w:rFonts w:ascii="Times New Roman" w:eastAsia="Times New Roman" w:hAnsi="Times New Roman" w:cs="Times New Roman"/>
                <w:sz w:val="20"/>
                <w:szCs w:val="20"/>
                <w:lang w:eastAsia="en-GB"/>
              </w:rPr>
              <w:t>depending</w:t>
            </w:r>
            <w:proofErr w:type="gramEnd"/>
            <w:r w:rsidRPr="00862E4A">
              <w:rPr>
                <w:rFonts w:ascii="Times New Roman" w:eastAsia="Times New Roman" w:hAnsi="Times New Roman" w:cs="Times New Roman"/>
                <w:sz w:val="20"/>
                <w:szCs w:val="20"/>
                <w:lang w:eastAsia="en-GB"/>
              </w:rPr>
              <w:t xml:space="preserve"> what the thought/image is about (reverse scored)</w:t>
            </w:r>
          </w:p>
        </w:tc>
        <w:tc>
          <w:tcPr>
            <w:tcW w:w="977" w:type="dxa"/>
            <w:tcBorders>
              <w:top w:val="nil"/>
              <w:left w:val="nil"/>
              <w:bottom w:val="nil"/>
              <w:right w:val="nil"/>
            </w:tcBorders>
            <w:shd w:val="clear" w:color="auto" w:fill="auto"/>
            <w:vAlign w:val="bottom"/>
          </w:tcPr>
          <w:p w14:paraId="57E052B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0.66</w:t>
            </w:r>
          </w:p>
        </w:tc>
      </w:tr>
      <w:bookmarkEnd w:id="18"/>
      <w:tr w:rsidR="00862E4A" w:rsidRPr="00862E4A" w14:paraId="5F57C3F4" w14:textId="77777777" w:rsidTr="001E5DE3">
        <w:trPr>
          <w:trHeight w:val="147"/>
        </w:trPr>
        <w:tc>
          <w:tcPr>
            <w:tcW w:w="1083" w:type="dxa"/>
            <w:tcBorders>
              <w:top w:val="nil"/>
              <w:left w:val="nil"/>
              <w:bottom w:val="nil"/>
              <w:right w:val="nil"/>
            </w:tcBorders>
            <w:noWrap/>
            <w:hideMark/>
          </w:tcPr>
          <w:p w14:paraId="5E250B3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NJ</w:t>
            </w:r>
          </w:p>
        </w:tc>
        <w:tc>
          <w:tcPr>
            <w:tcW w:w="923" w:type="dxa"/>
            <w:tcBorders>
              <w:top w:val="nil"/>
              <w:left w:val="nil"/>
              <w:bottom w:val="nil"/>
              <w:right w:val="nil"/>
            </w:tcBorders>
            <w:noWrap/>
            <w:hideMark/>
          </w:tcPr>
          <w:p w14:paraId="4E2CD06B"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39</w:t>
            </w:r>
          </w:p>
        </w:tc>
        <w:tc>
          <w:tcPr>
            <w:tcW w:w="6750" w:type="dxa"/>
            <w:tcBorders>
              <w:top w:val="nil"/>
              <w:left w:val="nil"/>
              <w:bottom w:val="nil"/>
              <w:right w:val="nil"/>
            </w:tcBorders>
            <w:noWrap/>
            <w:hideMark/>
          </w:tcPr>
          <w:p w14:paraId="2844679F"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I disapprove of myself when I have irrational thoughts (reverse scored) </w:t>
            </w:r>
          </w:p>
        </w:tc>
        <w:tc>
          <w:tcPr>
            <w:tcW w:w="977" w:type="dxa"/>
            <w:tcBorders>
              <w:top w:val="nil"/>
              <w:left w:val="nil"/>
              <w:bottom w:val="nil"/>
              <w:right w:val="nil"/>
            </w:tcBorders>
            <w:shd w:val="clear" w:color="auto" w:fill="auto"/>
            <w:vAlign w:val="bottom"/>
          </w:tcPr>
          <w:p w14:paraId="634814E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0.67</w:t>
            </w:r>
          </w:p>
        </w:tc>
      </w:tr>
      <w:tr w:rsidR="00862E4A" w:rsidRPr="00862E4A" w14:paraId="3B8D2158" w14:textId="77777777" w:rsidTr="001E5DE3">
        <w:trPr>
          <w:trHeight w:val="300"/>
        </w:trPr>
        <w:tc>
          <w:tcPr>
            <w:tcW w:w="8756" w:type="dxa"/>
            <w:gridSpan w:val="3"/>
            <w:tcBorders>
              <w:top w:val="nil"/>
              <w:left w:val="nil"/>
              <w:bottom w:val="nil"/>
              <w:right w:val="nil"/>
            </w:tcBorders>
            <w:noWrap/>
          </w:tcPr>
          <w:p w14:paraId="45054B2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b/>
                <w:bCs/>
                <w:sz w:val="20"/>
                <w:szCs w:val="20"/>
                <w:lang w:eastAsia="en-GB"/>
              </w:rPr>
              <w:t>Describe (</w:t>
            </w:r>
            <w:r w:rsidRPr="00862E4A">
              <w:rPr>
                <w:rFonts w:ascii="Times New Roman" w:hAnsi="Times New Roman" w:cs="Times New Roman"/>
                <w:b/>
                <w:bCs/>
                <w:sz w:val="20"/>
                <w:szCs w:val="20"/>
              </w:rPr>
              <w:t>eigenvalue = 4.64)</w:t>
            </w:r>
          </w:p>
        </w:tc>
        <w:tc>
          <w:tcPr>
            <w:tcW w:w="977" w:type="dxa"/>
            <w:tcBorders>
              <w:top w:val="nil"/>
              <w:left w:val="nil"/>
              <w:bottom w:val="nil"/>
              <w:right w:val="nil"/>
            </w:tcBorders>
            <w:shd w:val="clear" w:color="auto" w:fill="auto"/>
            <w:vAlign w:val="bottom"/>
          </w:tcPr>
          <w:p w14:paraId="7720ACAB"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4.64</w:t>
            </w:r>
          </w:p>
        </w:tc>
      </w:tr>
      <w:tr w:rsidR="00862E4A" w:rsidRPr="00862E4A" w14:paraId="733B5350" w14:textId="77777777" w:rsidTr="001E5DE3">
        <w:trPr>
          <w:trHeight w:val="300"/>
        </w:trPr>
        <w:tc>
          <w:tcPr>
            <w:tcW w:w="1083" w:type="dxa"/>
            <w:tcBorders>
              <w:top w:val="nil"/>
              <w:left w:val="nil"/>
              <w:bottom w:val="nil"/>
              <w:right w:val="nil"/>
            </w:tcBorders>
            <w:noWrap/>
            <w:hideMark/>
          </w:tcPr>
          <w:p w14:paraId="3045054F"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lastRenderedPageBreak/>
              <w:t>DES</w:t>
            </w:r>
          </w:p>
        </w:tc>
        <w:tc>
          <w:tcPr>
            <w:tcW w:w="923" w:type="dxa"/>
            <w:tcBorders>
              <w:top w:val="nil"/>
              <w:left w:val="nil"/>
              <w:bottom w:val="nil"/>
              <w:right w:val="nil"/>
            </w:tcBorders>
            <w:noWrap/>
            <w:hideMark/>
          </w:tcPr>
          <w:p w14:paraId="62E9877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w:t>
            </w:r>
          </w:p>
        </w:tc>
        <w:tc>
          <w:tcPr>
            <w:tcW w:w="6750" w:type="dxa"/>
            <w:tcBorders>
              <w:top w:val="nil"/>
              <w:left w:val="nil"/>
              <w:bottom w:val="nil"/>
              <w:right w:val="nil"/>
            </w:tcBorders>
            <w:noWrap/>
            <w:hideMark/>
          </w:tcPr>
          <w:p w14:paraId="33FE729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I'm good at finding words to describe my feelings</w:t>
            </w:r>
          </w:p>
        </w:tc>
        <w:tc>
          <w:tcPr>
            <w:tcW w:w="977" w:type="dxa"/>
            <w:tcBorders>
              <w:top w:val="nil"/>
              <w:left w:val="nil"/>
              <w:bottom w:val="nil"/>
              <w:right w:val="nil"/>
            </w:tcBorders>
            <w:shd w:val="clear" w:color="auto" w:fill="auto"/>
            <w:vAlign w:val="bottom"/>
          </w:tcPr>
          <w:p w14:paraId="437ED19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0.71</w:t>
            </w:r>
          </w:p>
        </w:tc>
      </w:tr>
      <w:tr w:rsidR="00862E4A" w:rsidRPr="00862E4A" w14:paraId="726F36A5" w14:textId="77777777" w:rsidTr="001E5DE3">
        <w:trPr>
          <w:trHeight w:val="300"/>
        </w:trPr>
        <w:tc>
          <w:tcPr>
            <w:tcW w:w="1083" w:type="dxa"/>
            <w:tcBorders>
              <w:top w:val="nil"/>
              <w:left w:val="nil"/>
              <w:bottom w:val="nil"/>
              <w:right w:val="nil"/>
            </w:tcBorders>
            <w:noWrap/>
            <w:hideMark/>
          </w:tcPr>
          <w:p w14:paraId="45F80C8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923" w:type="dxa"/>
            <w:tcBorders>
              <w:top w:val="nil"/>
              <w:left w:val="nil"/>
              <w:bottom w:val="nil"/>
              <w:right w:val="nil"/>
            </w:tcBorders>
            <w:noWrap/>
            <w:hideMark/>
          </w:tcPr>
          <w:p w14:paraId="5804DF8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7</w:t>
            </w:r>
          </w:p>
        </w:tc>
        <w:tc>
          <w:tcPr>
            <w:tcW w:w="6750" w:type="dxa"/>
            <w:tcBorders>
              <w:top w:val="nil"/>
              <w:left w:val="nil"/>
              <w:bottom w:val="nil"/>
              <w:right w:val="nil"/>
            </w:tcBorders>
            <w:noWrap/>
            <w:hideMark/>
          </w:tcPr>
          <w:p w14:paraId="4DFFDAA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can easily put my beliefs, opinions, and expectations into words</w:t>
            </w:r>
          </w:p>
        </w:tc>
        <w:tc>
          <w:tcPr>
            <w:tcW w:w="977" w:type="dxa"/>
            <w:tcBorders>
              <w:top w:val="nil"/>
              <w:left w:val="nil"/>
              <w:bottom w:val="nil"/>
              <w:right w:val="nil"/>
            </w:tcBorders>
            <w:shd w:val="clear" w:color="auto" w:fill="auto"/>
            <w:vAlign w:val="bottom"/>
          </w:tcPr>
          <w:p w14:paraId="6B74946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0.61</w:t>
            </w:r>
          </w:p>
        </w:tc>
      </w:tr>
      <w:tr w:rsidR="00862E4A" w:rsidRPr="00862E4A" w14:paraId="609652F8" w14:textId="77777777" w:rsidTr="001E5DE3">
        <w:trPr>
          <w:trHeight w:val="300"/>
        </w:trPr>
        <w:tc>
          <w:tcPr>
            <w:tcW w:w="1083" w:type="dxa"/>
            <w:tcBorders>
              <w:top w:val="nil"/>
              <w:left w:val="nil"/>
              <w:bottom w:val="nil"/>
              <w:right w:val="nil"/>
            </w:tcBorders>
            <w:noWrap/>
            <w:hideMark/>
          </w:tcPr>
          <w:p w14:paraId="2F904D5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923" w:type="dxa"/>
            <w:tcBorders>
              <w:top w:val="nil"/>
              <w:left w:val="nil"/>
              <w:bottom w:val="nil"/>
              <w:right w:val="nil"/>
            </w:tcBorders>
            <w:noWrap/>
            <w:hideMark/>
          </w:tcPr>
          <w:p w14:paraId="4DF467D0"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27</w:t>
            </w:r>
          </w:p>
        </w:tc>
        <w:tc>
          <w:tcPr>
            <w:tcW w:w="6750" w:type="dxa"/>
            <w:tcBorders>
              <w:top w:val="nil"/>
              <w:left w:val="nil"/>
              <w:bottom w:val="nil"/>
              <w:right w:val="nil"/>
            </w:tcBorders>
            <w:noWrap/>
            <w:hideMark/>
          </w:tcPr>
          <w:p w14:paraId="343F628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Even when I'm feeling terribly upset, I can find a way to put it into words</w:t>
            </w:r>
          </w:p>
        </w:tc>
        <w:tc>
          <w:tcPr>
            <w:tcW w:w="977" w:type="dxa"/>
            <w:tcBorders>
              <w:top w:val="nil"/>
              <w:left w:val="nil"/>
              <w:bottom w:val="nil"/>
              <w:right w:val="nil"/>
            </w:tcBorders>
            <w:shd w:val="clear" w:color="auto" w:fill="auto"/>
            <w:vAlign w:val="bottom"/>
          </w:tcPr>
          <w:p w14:paraId="7EB4290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0.62</w:t>
            </w:r>
          </w:p>
        </w:tc>
      </w:tr>
      <w:tr w:rsidR="00862E4A" w:rsidRPr="00862E4A" w14:paraId="2E72B061" w14:textId="77777777" w:rsidTr="001E5DE3">
        <w:trPr>
          <w:trHeight w:val="300"/>
        </w:trPr>
        <w:tc>
          <w:tcPr>
            <w:tcW w:w="1083" w:type="dxa"/>
            <w:tcBorders>
              <w:top w:val="nil"/>
              <w:left w:val="nil"/>
              <w:bottom w:val="nil"/>
              <w:right w:val="nil"/>
            </w:tcBorders>
            <w:noWrap/>
            <w:hideMark/>
          </w:tcPr>
          <w:p w14:paraId="01F9F01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923" w:type="dxa"/>
            <w:tcBorders>
              <w:top w:val="nil"/>
              <w:left w:val="nil"/>
              <w:bottom w:val="nil"/>
              <w:right w:val="nil"/>
            </w:tcBorders>
            <w:noWrap/>
            <w:hideMark/>
          </w:tcPr>
          <w:p w14:paraId="6C7CE08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32</w:t>
            </w:r>
          </w:p>
        </w:tc>
        <w:tc>
          <w:tcPr>
            <w:tcW w:w="6750" w:type="dxa"/>
            <w:tcBorders>
              <w:top w:val="nil"/>
              <w:left w:val="nil"/>
              <w:bottom w:val="nil"/>
              <w:right w:val="nil"/>
            </w:tcBorders>
            <w:noWrap/>
            <w:hideMark/>
          </w:tcPr>
          <w:p w14:paraId="0DBE4EA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My natural tendency is to put my experiences into words</w:t>
            </w:r>
          </w:p>
        </w:tc>
        <w:tc>
          <w:tcPr>
            <w:tcW w:w="977" w:type="dxa"/>
            <w:tcBorders>
              <w:top w:val="nil"/>
              <w:left w:val="nil"/>
              <w:bottom w:val="nil"/>
              <w:right w:val="nil"/>
            </w:tcBorders>
            <w:shd w:val="clear" w:color="auto" w:fill="auto"/>
            <w:vAlign w:val="bottom"/>
          </w:tcPr>
          <w:p w14:paraId="58DCECB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0.71</w:t>
            </w:r>
          </w:p>
        </w:tc>
      </w:tr>
      <w:tr w:rsidR="00862E4A" w:rsidRPr="00862E4A" w14:paraId="7606FE9B" w14:textId="77777777" w:rsidTr="001E5DE3">
        <w:trPr>
          <w:trHeight w:val="300"/>
        </w:trPr>
        <w:tc>
          <w:tcPr>
            <w:tcW w:w="1083" w:type="dxa"/>
            <w:tcBorders>
              <w:top w:val="nil"/>
              <w:left w:val="nil"/>
              <w:bottom w:val="nil"/>
              <w:right w:val="nil"/>
            </w:tcBorders>
            <w:noWrap/>
            <w:hideMark/>
          </w:tcPr>
          <w:p w14:paraId="00E5490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DES</w:t>
            </w:r>
          </w:p>
        </w:tc>
        <w:tc>
          <w:tcPr>
            <w:tcW w:w="923" w:type="dxa"/>
            <w:tcBorders>
              <w:top w:val="nil"/>
              <w:left w:val="nil"/>
              <w:bottom w:val="nil"/>
              <w:right w:val="nil"/>
            </w:tcBorders>
            <w:noWrap/>
            <w:hideMark/>
          </w:tcPr>
          <w:p w14:paraId="772FC944"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37</w:t>
            </w:r>
          </w:p>
        </w:tc>
        <w:tc>
          <w:tcPr>
            <w:tcW w:w="6750" w:type="dxa"/>
            <w:tcBorders>
              <w:top w:val="nil"/>
              <w:left w:val="nil"/>
              <w:bottom w:val="nil"/>
              <w:right w:val="nil"/>
            </w:tcBorders>
            <w:noWrap/>
            <w:hideMark/>
          </w:tcPr>
          <w:p w14:paraId="7F491E3A"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I can usually describe how I feel </w:t>
            </w:r>
            <w:proofErr w:type="gramStart"/>
            <w:r w:rsidRPr="00862E4A">
              <w:rPr>
                <w:rFonts w:ascii="Times New Roman" w:eastAsia="Times New Roman" w:hAnsi="Times New Roman" w:cs="Times New Roman"/>
                <w:sz w:val="20"/>
                <w:szCs w:val="20"/>
                <w:lang w:eastAsia="en-GB"/>
              </w:rPr>
              <w:t>at the moment</w:t>
            </w:r>
            <w:proofErr w:type="gramEnd"/>
            <w:r w:rsidRPr="00862E4A">
              <w:rPr>
                <w:rFonts w:ascii="Times New Roman" w:eastAsia="Times New Roman" w:hAnsi="Times New Roman" w:cs="Times New Roman"/>
                <w:sz w:val="20"/>
                <w:szCs w:val="20"/>
                <w:lang w:eastAsia="en-GB"/>
              </w:rPr>
              <w:t xml:space="preserve"> in considerable detail </w:t>
            </w:r>
          </w:p>
        </w:tc>
        <w:tc>
          <w:tcPr>
            <w:tcW w:w="977" w:type="dxa"/>
            <w:tcBorders>
              <w:top w:val="nil"/>
              <w:left w:val="nil"/>
              <w:bottom w:val="nil"/>
              <w:right w:val="nil"/>
            </w:tcBorders>
            <w:shd w:val="clear" w:color="auto" w:fill="auto"/>
            <w:vAlign w:val="bottom"/>
          </w:tcPr>
          <w:p w14:paraId="33198B6F"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0.75</w:t>
            </w:r>
          </w:p>
        </w:tc>
      </w:tr>
      <w:tr w:rsidR="00862E4A" w:rsidRPr="00862E4A" w14:paraId="2BDD5CC0" w14:textId="77777777" w:rsidTr="001E5DE3">
        <w:trPr>
          <w:trHeight w:val="300"/>
        </w:trPr>
        <w:tc>
          <w:tcPr>
            <w:tcW w:w="8756" w:type="dxa"/>
            <w:gridSpan w:val="3"/>
            <w:tcBorders>
              <w:top w:val="nil"/>
              <w:left w:val="nil"/>
              <w:bottom w:val="nil"/>
              <w:right w:val="nil"/>
            </w:tcBorders>
            <w:noWrap/>
          </w:tcPr>
          <w:p w14:paraId="056285FC"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b/>
                <w:bCs/>
                <w:sz w:val="20"/>
                <w:szCs w:val="20"/>
              </w:rPr>
              <w:t>Observe (eigenvalue = 3.55)</w:t>
            </w:r>
          </w:p>
        </w:tc>
        <w:tc>
          <w:tcPr>
            <w:tcW w:w="977" w:type="dxa"/>
            <w:tcBorders>
              <w:top w:val="nil"/>
              <w:left w:val="nil"/>
              <w:bottom w:val="nil"/>
              <w:right w:val="nil"/>
            </w:tcBorders>
            <w:shd w:val="clear" w:color="auto" w:fill="auto"/>
            <w:vAlign w:val="bottom"/>
          </w:tcPr>
          <w:p w14:paraId="2FBAC9D2"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3.55</w:t>
            </w:r>
          </w:p>
        </w:tc>
      </w:tr>
      <w:tr w:rsidR="00862E4A" w:rsidRPr="00862E4A" w14:paraId="54A574B0" w14:textId="77777777" w:rsidTr="001E5DE3">
        <w:trPr>
          <w:trHeight w:val="300"/>
        </w:trPr>
        <w:tc>
          <w:tcPr>
            <w:tcW w:w="1083" w:type="dxa"/>
            <w:tcBorders>
              <w:top w:val="nil"/>
              <w:left w:val="nil"/>
              <w:bottom w:val="nil"/>
              <w:right w:val="nil"/>
            </w:tcBorders>
            <w:noWrap/>
            <w:hideMark/>
          </w:tcPr>
          <w:p w14:paraId="663BF4F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923" w:type="dxa"/>
            <w:tcBorders>
              <w:top w:val="nil"/>
              <w:left w:val="nil"/>
              <w:bottom w:val="nil"/>
              <w:right w:val="nil"/>
            </w:tcBorders>
            <w:noWrap/>
            <w:hideMark/>
          </w:tcPr>
          <w:p w14:paraId="25315896"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6</w:t>
            </w:r>
          </w:p>
        </w:tc>
        <w:tc>
          <w:tcPr>
            <w:tcW w:w="6750" w:type="dxa"/>
            <w:tcBorders>
              <w:top w:val="nil"/>
              <w:left w:val="nil"/>
              <w:bottom w:val="nil"/>
              <w:right w:val="nil"/>
            </w:tcBorders>
            <w:noWrap/>
            <w:hideMark/>
          </w:tcPr>
          <w:p w14:paraId="7120367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take a shower or bath, I stay alert to the sensations of water on my body</w:t>
            </w:r>
          </w:p>
        </w:tc>
        <w:tc>
          <w:tcPr>
            <w:tcW w:w="977" w:type="dxa"/>
            <w:tcBorders>
              <w:top w:val="nil"/>
              <w:left w:val="nil"/>
              <w:bottom w:val="nil"/>
              <w:right w:val="nil"/>
            </w:tcBorders>
            <w:shd w:val="clear" w:color="auto" w:fill="auto"/>
            <w:vAlign w:val="bottom"/>
          </w:tcPr>
          <w:p w14:paraId="7BD5D05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0.62</w:t>
            </w:r>
          </w:p>
        </w:tc>
      </w:tr>
      <w:tr w:rsidR="00862E4A" w:rsidRPr="00862E4A" w14:paraId="5A33AAE2" w14:textId="77777777" w:rsidTr="001E5DE3">
        <w:trPr>
          <w:trHeight w:val="300"/>
        </w:trPr>
        <w:tc>
          <w:tcPr>
            <w:tcW w:w="1083" w:type="dxa"/>
            <w:tcBorders>
              <w:top w:val="nil"/>
              <w:left w:val="nil"/>
              <w:bottom w:val="nil"/>
              <w:right w:val="nil"/>
            </w:tcBorders>
            <w:noWrap/>
            <w:hideMark/>
          </w:tcPr>
          <w:p w14:paraId="6A7A65D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923" w:type="dxa"/>
            <w:tcBorders>
              <w:top w:val="nil"/>
              <w:left w:val="nil"/>
              <w:bottom w:val="nil"/>
              <w:right w:val="nil"/>
            </w:tcBorders>
            <w:noWrap/>
            <w:hideMark/>
          </w:tcPr>
          <w:p w14:paraId="74A2DEFF"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15</w:t>
            </w:r>
          </w:p>
        </w:tc>
        <w:tc>
          <w:tcPr>
            <w:tcW w:w="6750" w:type="dxa"/>
            <w:tcBorders>
              <w:top w:val="nil"/>
              <w:left w:val="nil"/>
              <w:bottom w:val="nil"/>
              <w:right w:val="nil"/>
            </w:tcBorders>
            <w:noWrap/>
            <w:hideMark/>
          </w:tcPr>
          <w:p w14:paraId="2751C55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pay attention to sensations, such as the wind in my hair or sun on my face</w:t>
            </w:r>
          </w:p>
        </w:tc>
        <w:tc>
          <w:tcPr>
            <w:tcW w:w="977" w:type="dxa"/>
            <w:tcBorders>
              <w:top w:val="nil"/>
              <w:left w:val="nil"/>
              <w:bottom w:val="nil"/>
              <w:right w:val="nil"/>
            </w:tcBorders>
            <w:shd w:val="clear" w:color="auto" w:fill="auto"/>
            <w:vAlign w:val="bottom"/>
          </w:tcPr>
          <w:p w14:paraId="070B5E7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0.61</w:t>
            </w:r>
          </w:p>
        </w:tc>
      </w:tr>
      <w:tr w:rsidR="00862E4A" w:rsidRPr="00862E4A" w14:paraId="1B284A58" w14:textId="77777777" w:rsidTr="001E5DE3">
        <w:trPr>
          <w:trHeight w:val="300"/>
        </w:trPr>
        <w:tc>
          <w:tcPr>
            <w:tcW w:w="1083" w:type="dxa"/>
            <w:tcBorders>
              <w:top w:val="nil"/>
              <w:left w:val="nil"/>
              <w:bottom w:val="nil"/>
              <w:right w:val="nil"/>
            </w:tcBorders>
            <w:noWrap/>
            <w:hideMark/>
          </w:tcPr>
          <w:p w14:paraId="0B2F8E0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923" w:type="dxa"/>
            <w:tcBorders>
              <w:top w:val="nil"/>
              <w:left w:val="nil"/>
              <w:bottom w:val="nil"/>
              <w:right w:val="nil"/>
            </w:tcBorders>
            <w:noWrap/>
            <w:hideMark/>
          </w:tcPr>
          <w:p w14:paraId="3A684190"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20</w:t>
            </w:r>
          </w:p>
        </w:tc>
        <w:tc>
          <w:tcPr>
            <w:tcW w:w="6750" w:type="dxa"/>
            <w:tcBorders>
              <w:top w:val="nil"/>
              <w:left w:val="nil"/>
              <w:bottom w:val="nil"/>
              <w:right w:val="nil"/>
            </w:tcBorders>
            <w:noWrap/>
            <w:hideMark/>
          </w:tcPr>
          <w:p w14:paraId="4CA812C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pay attention to sounds, such as clocks ticking, birds chirping, or cars passing</w:t>
            </w:r>
          </w:p>
        </w:tc>
        <w:tc>
          <w:tcPr>
            <w:tcW w:w="977" w:type="dxa"/>
            <w:tcBorders>
              <w:top w:val="nil"/>
              <w:left w:val="nil"/>
              <w:bottom w:val="nil"/>
              <w:right w:val="nil"/>
            </w:tcBorders>
            <w:shd w:val="clear" w:color="auto" w:fill="auto"/>
            <w:vAlign w:val="bottom"/>
          </w:tcPr>
          <w:p w14:paraId="66E5DBA6"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0.72</w:t>
            </w:r>
          </w:p>
        </w:tc>
      </w:tr>
      <w:tr w:rsidR="00862E4A" w:rsidRPr="00862E4A" w14:paraId="282F70A7" w14:textId="77777777" w:rsidTr="001E5DE3">
        <w:trPr>
          <w:trHeight w:val="300"/>
        </w:trPr>
        <w:tc>
          <w:tcPr>
            <w:tcW w:w="1083" w:type="dxa"/>
            <w:tcBorders>
              <w:top w:val="nil"/>
              <w:left w:val="nil"/>
              <w:bottom w:val="nil"/>
              <w:right w:val="nil"/>
            </w:tcBorders>
            <w:noWrap/>
            <w:hideMark/>
          </w:tcPr>
          <w:p w14:paraId="73B8E00B"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923" w:type="dxa"/>
            <w:tcBorders>
              <w:top w:val="nil"/>
              <w:left w:val="nil"/>
              <w:bottom w:val="nil"/>
              <w:right w:val="nil"/>
            </w:tcBorders>
            <w:noWrap/>
            <w:hideMark/>
          </w:tcPr>
          <w:p w14:paraId="1677EA2E"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26</w:t>
            </w:r>
          </w:p>
        </w:tc>
        <w:tc>
          <w:tcPr>
            <w:tcW w:w="6750" w:type="dxa"/>
            <w:tcBorders>
              <w:top w:val="nil"/>
              <w:left w:val="nil"/>
              <w:bottom w:val="nil"/>
              <w:right w:val="nil"/>
            </w:tcBorders>
            <w:noWrap/>
            <w:hideMark/>
          </w:tcPr>
          <w:p w14:paraId="115F94A5"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notice the smells and aromas of things</w:t>
            </w:r>
          </w:p>
        </w:tc>
        <w:tc>
          <w:tcPr>
            <w:tcW w:w="977" w:type="dxa"/>
            <w:tcBorders>
              <w:top w:val="nil"/>
              <w:left w:val="nil"/>
              <w:bottom w:val="nil"/>
              <w:right w:val="nil"/>
            </w:tcBorders>
            <w:shd w:val="clear" w:color="auto" w:fill="auto"/>
            <w:vAlign w:val="bottom"/>
          </w:tcPr>
          <w:p w14:paraId="1AD63EAF"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0.65</w:t>
            </w:r>
          </w:p>
        </w:tc>
      </w:tr>
      <w:tr w:rsidR="00862E4A" w:rsidRPr="00862E4A" w14:paraId="5CD4A708" w14:textId="77777777" w:rsidTr="001E5DE3">
        <w:trPr>
          <w:trHeight w:val="300"/>
        </w:trPr>
        <w:tc>
          <w:tcPr>
            <w:tcW w:w="1083" w:type="dxa"/>
            <w:tcBorders>
              <w:top w:val="nil"/>
              <w:left w:val="nil"/>
              <w:bottom w:val="nil"/>
              <w:right w:val="nil"/>
            </w:tcBorders>
            <w:noWrap/>
            <w:hideMark/>
          </w:tcPr>
          <w:p w14:paraId="3F018F89"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OBS</w:t>
            </w:r>
          </w:p>
        </w:tc>
        <w:tc>
          <w:tcPr>
            <w:tcW w:w="923" w:type="dxa"/>
            <w:tcBorders>
              <w:top w:val="nil"/>
              <w:left w:val="nil"/>
              <w:bottom w:val="nil"/>
              <w:right w:val="nil"/>
            </w:tcBorders>
            <w:noWrap/>
            <w:hideMark/>
          </w:tcPr>
          <w:p w14:paraId="39EC3E9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31</w:t>
            </w:r>
          </w:p>
        </w:tc>
        <w:tc>
          <w:tcPr>
            <w:tcW w:w="6750" w:type="dxa"/>
            <w:tcBorders>
              <w:top w:val="nil"/>
              <w:left w:val="nil"/>
              <w:bottom w:val="nil"/>
              <w:right w:val="nil"/>
            </w:tcBorders>
            <w:noWrap/>
            <w:hideMark/>
          </w:tcPr>
          <w:p w14:paraId="37299C5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I notice visual elements in art or nature, such as colours, shapes, textures or patterns of light and shadow</w:t>
            </w:r>
          </w:p>
        </w:tc>
        <w:tc>
          <w:tcPr>
            <w:tcW w:w="977" w:type="dxa"/>
            <w:tcBorders>
              <w:top w:val="nil"/>
              <w:left w:val="nil"/>
              <w:bottom w:val="nil"/>
              <w:right w:val="nil"/>
            </w:tcBorders>
            <w:shd w:val="clear" w:color="auto" w:fill="auto"/>
            <w:vAlign w:val="bottom"/>
          </w:tcPr>
          <w:p w14:paraId="52608B81"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0.59</w:t>
            </w:r>
          </w:p>
        </w:tc>
      </w:tr>
      <w:tr w:rsidR="00862E4A" w:rsidRPr="00862E4A" w14:paraId="43DD5E12" w14:textId="77777777" w:rsidTr="001E5DE3">
        <w:trPr>
          <w:trHeight w:val="300"/>
        </w:trPr>
        <w:tc>
          <w:tcPr>
            <w:tcW w:w="8756" w:type="dxa"/>
            <w:gridSpan w:val="3"/>
            <w:tcBorders>
              <w:top w:val="nil"/>
              <w:left w:val="nil"/>
              <w:bottom w:val="nil"/>
              <w:right w:val="nil"/>
            </w:tcBorders>
            <w:noWrap/>
          </w:tcPr>
          <w:p w14:paraId="6518CF92"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b/>
                <w:bCs/>
                <w:sz w:val="20"/>
                <w:szCs w:val="20"/>
              </w:rPr>
              <w:t>Non-react (eigenvalue = 2.91)</w:t>
            </w:r>
          </w:p>
        </w:tc>
        <w:tc>
          <w:tcPr>
            <w:tcW w:w="977" w:type="dxa"/>
            <w:tcBorders>
              <w:top w:val="nil"/>
              <w:left w:val="nil"/>
              <w:bottom w:val="nil"/>
              <w:right w:val="nil"/>
            </w:tcBorders>
            <w:shd w:val="clear" w:color="auto" w:fill="auto"/>
            <w:vAlign w:val="bottom"/>
          </w:tcPr>
          <w:p w14:paraId="03E002F0" w14:textId="77777777" w:rsidR="00862E4A" w:rsidRPr="00862E4A" w:rsidRDefault="00862E4A" w:rsidP="001E5DE3">
            <w:pPr>
              <w:rPr>
                <w:rFonts w:ascii="Times New Roman" w:hAnsi="Times New Roman" w:cs="Times New Roman"/>
                <w:b/>
                <w:bCs/>
                <w:sz w:val="20"/>
                <w:szCs w:val="20"/>
              </w:rPr>
            </w:pPr>
            <w:r w:rsidRPr="00862E4A">
              <w:rPr>
                <w:rFonts w:ascii="Times New Roman" w:hAnsi="Times New Roman" w:cs="Times New Roman"/>
                <w:b/>
                <w:bCs/>
                <w:sz w:val="20"/>
                <w:szCs w:val="20"/>
              </w:rPr>
              <w:t>2.91</w:t>
            </w:r>
          </w:p>
        </w:tc>
      </w:tr>
      <w:tr w:rsidR="00862E4A" w:rsidRPr="00862E4A" w14:paraId="79A3FEB1" w14:textId="77777777" w:rsidTr="001E5DE3">
        <w:trPr>
          <w:trHeight w:val="300"/>
        </w:trPr>
        <w:tc>
          <w:tcPr>
            <w:tcW w:w="1083" w:type="dxa"/>
            <w:tcBorders>
              <w:top w:val="nil"/>
              <w:left w:val="nil"/>
              <w:bottom w:val="nil"/>
              <w:right w:val="nil"/>
            </w:tcBorders>
            <w:noWrap/>
            <w:hideMark/>
          </w:tcPr>
          <w:p w14:paraId="1E6EAAD0"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923" w:type="dxa"/>
            <w:tcBorders>
              <w:top w:val="nil"/>
              <w:left w:val="nil"/>
              <w:bottom w:val="nil"/>
              <w:right w:val="nil"/>
            </w:tcBorders>
            <w:noWrap/>
            <w:hideMark/>
          </w:tcPr>
          <w:p w14:paraId="169BB1FA"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21</w:t>
            </w:r>
          </w:p>
        </w:tc>
        <w:tc>
          <w:tcPr>
            <w:tcW w:w="6750" w:type="dxa"/>
            <w:tcBorders>
              <w:top w:val="nil"/>
              <w:left w:val="nil"/>
              <w:bottom w:val="nil"/>
              <w:right w:val="nil"/>
            </w:tcBorders>
            <w:noWrap/>
            <w:hideMark/>
          </w:tcPr>
          <w:p w14:paraId="6E07711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In different situations, I can pause without immediately reacting </w:t>
            </w:r>
          </w:p>
        </w:tc>
        <w:tc>
          <w:tcPr>
            <w:tcW w:w="977" w:type="dxa"/>
            <w:tcBorders>
              <w:top w:val="nil"/>
              <w:left w:val="nil"/>
              <w:bottom w:val="nil"/>
              <w:right w:val="nil"/>
            </w:tcBorders>
            <w:shd w:val="clear" w:color="auto" w:fill="auto"/>
            <w:vAlign w:val="bottom"/>
          </w:tcPr>
          <w:p w14:paraId="2E89DB0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0.57</w:t>
            </w:r>
          </w:p>
        </w:tc>
      </w:tr>
      <w:tr w:rsidR="00862E4A" w:rsidRPr="00862E4A" w14:paraId="794CFD13" w14:textId="77777777" w:rsidTr="001E5DE3">
        <w:trPr>
          <w:trHeight w:val="300"/>
        </w:trPr>
        <w:tc>
          <w:tcPr>
            <w:tcW w:w="1083" w:type="dxa"/>
            <w:tcBorders>
              <w:top w:val="nil"/>
              <w:left w:val="nil"/>
              <w:bottom w:val="nil"/>
              <w:right w:val="nil"/>
            </w:tcBorders>
            <w:noWrap/>
            <w:hideMark/>
          </w:tcPr>
          <w:p w14:paraId="236ECF21"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923" w:type="dxa"/>
            <w:tcBorders>
              <w:top w:val="nil"/>
              <w:left w:val="nil"/>
              <w:bottom w:val="nil"/>
              <w:right w:val="nil"/>
            </w:tcBorders>
            <w:noWrap/>
            <w:hideMark/>
          </w:tcPr>
          <w:p w14:paraId="6D0CDE28"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24</w:t>
            </w:r>
          </w:p>
        </w:tc>
        <w:tc>
          <w:tcPr>
            <w:tcW w:w="6750" w:type="dxa"/>
            <w:tcBorders>
              <w:top w:val="nil"/>
              <w:left w:val="nil"/>
              <w:bottom w:val="nil"/>
              <w:right w:val="nil"/>
            </w:tcBorders>
            <w:noWrap/>
            <w:hideMark/>
          </w:tcPr>
          <w:p w14:paraId="21B3951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have distressing thoughts or images, I feel calm soon after</w:t>
            </w:r>
          </w:p>
        </w:tc>
        <w:tc>
          <w:tcPr>
            <w:tcW w:w="977" w:type="dxa"/>
            <w:tcBorders>
              <w:top w:val="nil"/>
              <w:left w:val="nil"/>
              <w:bottom w:val="nil"/>
              <w:right w:val="nil"/>
            </w:tcBorders>
            <w:shd w:val="clear" w:color="auto" w:fill="auto"/>
            <w:vAlign w:val="bottom"/>
          </w:tcPr>
          <w:p w14:paraId="016ACD27"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0.67</w:t>
            </w:r>
          </w:p>
        </w:tc>
      </w:tr>
      <w:tr w:rsidR="00862E4A" w:rsidRPr="00862E4A" w14:paraId="351497A3" w14:textId="77777777" w:rsidTr="001E5DE3">
        <w:trPr>
          <w:trHeight w:val="300"/>
        </w:trPr>
        <w:tc>
          <w:tcPr>
            <w:tcW w:w="1083" w:type="dxa"/>
            <w:tcBorders>
              <w:top w:val="nil"/>
              <w:left w:val="nil"/>
              <w:bottom w:val="nil"/>
              <w:right w:val="nil"/>
            </w:tcBorders>
            <w:noWrap/>
            <w:hideMark/>
          </w:tcPr>
          <w:p w14:paraId="1995ACAE"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923" w:type="dxa"/>
            <w:tcBorders>
              <w:top w:val="nil"/>
              <w:left w:val="nil"/>
              <w:bottom w:val="nil"/>
              <w:right w:val="nil"/>
            </w:tcBorders>
            <w:noWrap/>
            <w:hideMark/>
          </w:tcPr>
          <w:p w14:paraId="1E0E4815"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29</w:t>
            </w:r>
          </w:p>
        </w:tc>
        <w:tc>
          <w:tcPr>
            <w:tcW w:w="6750" w:type="dxa"/>
            <w:tcBorders>
              <w:top w:val="nil"/>
              <w:left w:val="nil"/>
              <w:bottom w:val="nil"/>
              <w:right w:val="nil"/>
            </w:tcBorders>
            <w:noWrap/>
            <w:hideMark/>
          </w:tcPr>
          <w:p w14:paraId="24F0224D"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 xml:space="preserve">When I have distressing thoughts or images, I am able to just notice them without reacting </w:t>
            </w:r>
          </w:p>
        </w:tc>
        <w:tc>
          <w:tcPr>
            <w:tcW w:w="977" w:type="dxa"/>
            <w:tcBorders>
              <w:top w:val="nil"/>
              <w:left w:val="nil"/>
              <w:bottom w:val="nil"/>
              <w:right w:val="nil"/>
            </w:tcBorders>
            <w:shd w:val="clear" w:color="auto" w:fill="auto"/>
            <w:vAlign w:val="bottom"/>
          </w:tcPr>
          <w:p w14:paraId="2B60A131"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0.77</w:t>
            </w:r>
          </w:p>
        </w:tc>
      </w:tr>
      <w:tr w:rsidR="00862E4A" w:rsidRPr="00862E4A" w14:paraId="1324AA57" w14:textId="77777777" w:rsidTr="001E5DE3">
        <w:trPr>
          <w:trHeight w:val="300"/>
        </w:trPr>
        <w:tc>
          <w:tcPr>
            <w:tcW w:w="1083" w:type="dxa"/>
            <w:tcBorders>
              <w:top w:val="nil"/>
              <w:left w:val="nil"/>
              <w:bottom w:val="single" w:sz="4" w:space="0" w:color="auto"/>
              <w:right w:val="nil"/>
            </w:tcBorders>
            <w:noWrap/>
            <w:hideMark/>
          </w:tcPr>
          <w:p w14:paraId="720A22F3"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NR</w:t>
            </w:r>
          </w:p>
        </w:tc>
        <w:tc>
          <w:tcPr>
            <w:tcW w:w="923" w:type="dxa"/>
            <w:tcBorders>
              <w:top w:val="nil"/>
              <w:left w:val="nil"/>
              <w:bottom w:val="single" w:sz="4" w:space="0" w:color="auto"/>
              <w:right w:val="nil"/>
            </w:tcBorders>
            <w:noWrap/>
            <w:hideMark/>
          </w:tcPr>
          <w:p w14:paraId="09EBC336" w14:textId="77777777" w:rsidR="00862E4A" w:rsidRPr="00862E4A" w:rsidRDefault="00862E4A" w:rsidP="001E5DE3">
            <w:pPr>
              <w:jc w:val="cente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33</w:t>
            </w:r>
          </w:p>
        </w:tc>
        <w:tc>
          <w:tcPr>
            <w:tcW w:w="6750" w:type="dxa"/>
            <w:tcBorders>
              <w:top w:val="nil"/>
              <w:left w:val="nil"/>
              <w:bottom w:val="single" w:sz="4" w:space="0" w:color="auto"/>
              <w:right w:val="nil"/>
            </w:tcBorders>
            <w:noWrap/>
            <w:hideMark/>
          </w:tcPr>
          <w:p w14:paraId="34AC96B4"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eastAsia="Times New Roman" w:hAnsi="Times New Roman" w:cs="Times New Roman"/>
                <w:sz w:val="20"/>
                <w:szCs w:val="20"/>
                <w:lang w:eastAsia="en-GB"/>
              </w:rPr>
              <w:t>When I have distressing thoughts or images, I just notice them and let them go</w:t>
            </w:r>
          </w:p>
        </w:tc>
        <w:tc>
          <w:tcPr>
            <w:tcW w:w="977" w:type="dxa"/>
            <w:tcBorders>
              <w:top w:val="nil"/>
              <w:left w:val="nil"/>
              <w:bottom w:val="single" w:sz="4" w:space="0" w:color="auto"/>
              <w:right w:val="nil"/>
            </w:tcBorders>
            <w:shd w:val="clear" w:color="auto" w:fill="auto"/>
            <w:vAlign w:val="bottom"/>
          </w:tcPr>
          <w:p w14:paraId="5C1E580C" w14:textId="77777777" w:rsidR="00862E4A" w:rsidRPr="00862E4A" w:rsidRDefault="00862E4A" w:rsidP="001E5DE3">
            <w:pPr>
              <w:rPr>
                <w:rFonts w:ascii="Times New Roman" w:eastAsia="Times New Roman" w:hAnsi="Times New Roman" w:cs="Times New Roman"/>
                <w:sz w:val="20"/>
                <w:szCs w:val="20"/>
                <w:lang w:eastAsia="en-GB"/>
              </w:rPr>
            </w:pPr>
            <w:r w:rsidRPr="00862E4A">
              <w:rPr>
                <w:rFonts w:ascii="Times New Roman" w:hAnsi="Times New Roman" w:cs="Times New Roman"/>
                <w:sz w:val="20"/>
                <w:szCs w:val="20"/>
              </w:rPr>
              <w:t>0.75</w:t>
            </w:r>
          </w:p>
        </w:tc>
      </w:tr>
      <w:tr w:rsidR="00862E4A" w:rsidRPr="00862E4A" w14:paraId="35FC6C35" w14:textId="77777777" w:rsidTr="001E5DE3">
        <w:trPr>
          <w:trHeight w:val="300"/>
        </w:trPr>
        <w:tc>
          <w:tcPr>
            <w:tcW w:w="9733" w:type="dxa"/>
            <w:gridSpan w:val="4"/>
            <w:tcBorders>
              <w:top w:val="single" w:sz="4" w:space="0" w:color="auto"/>
              <w:left w:val="nil"/>
              <w:bottom w:val="nil"/>
              <w:right w:val="nil"/>
            </w:tcBorders>
            <w:noWrap/>
          </w:tcPr>
          <w:p w14:paraId="00A78741" w14:textId="77777777" w:rsidR="00862E4A" w:rsidRPr="00862E4A" w:rsidRDefault="00862E4A" w:rsidP="001E5DE3">
            <w:pPr>
              <w:rPr>
                <w:rFonts w:ascii="Times New Roman" w:hAnsi="Times New Roman" w:cs="Times New Roman"/>
                <w:sz w:val="20"/>
                <w:szCs w:val="20"/>
              </w:rPr>
            </w:pPr>
            <w:r w:rsidRPr="00862E4A">
              <w:rPr>
                <w:rFonts w:ascii="Times New Roman" w:eastAsia="Times New Roman" w:hAnsi="Times New Roman" w:cs="Times New Roman"/>
                <w:sz w:val="20"/>
                <w:szCs w:val="20"/>
                <w:lang w:eastAsia="en-GB"/>
              </w:rPr>
              <w:t xml:space="preserve">*AWA= Act with awareness; NJ= Non-judge; DES= Describe; OBS= Observe; NR= </w:t>
            </w:r>
            <w:proofErr w:type="gramStart"/>
            <w:r w:rsidRPr="00862E4A">
              <w:rPr>
                <w:rFonts w:ascii="Times New Roman" w:eastAsia="Times New Roman" w:hAnsi="Times New Roman" w:cs="Times New Roman"/>
                <w:sz w:val="20"/>
                <w:szCs w:val="20"/>
                <w:lang w:eastAsia="en-GB"/>
              </w:rPr>
              <w:t>Non-react</w:t>
            </w:r>
            <w:proofErr w:type="gramEnd"/>
          </w:p>
        </w:tc>
      </w:tr>
    </w:tbl>
    <w:p w14:paraId="5A66261F" w14:textId="77777777" w:rsidR="00862E4A" w:rsidRPr="00862E4A" w:rsidRDefault="00862E4A" w:rsidP="00616713">
      <w:pPr>
        <w:spacing w:line="480" w:lineRule="auto"/>
        <w:ind w:firstLine="720"/>
        <w:rPr>
          <w:rFonts w:ascii="Times New Roman" w:hAnsi="Times New Roman" w:cs="Times New Roman"/>
          <w:sz w:val="20"/>
          <w:szCs w:val="20"/>
        </w:rPr>
      </w:pPr>
    </w:p>
    <w:p w14:paraId="06349DA2" w14:textId="77C1DE30" w:rsidR="000D4DE3" w:rsidRPr="00862E4A" w:rsidRDefault="000D4DE3" w:rsidP="00616713">
      <w:pPr>
        <w:spacing w:line="480" w:lineRule="auto"/>
        <w:ind w:firstLine="720"/>
        <w:rPr>
          <w:rFonts w:ascii="Times New Roman" w:hAnsi="Times New Roman" w:cs="Times New Roman"/>
          <w:sz w:val="20"/>
          <w:szCs w:val="20"/>
        </w:rPr>
      </w:pPr>
      <w:r w:rsidRPr="00862E4A">
        <w:rPr>
          <w:rFonts w:ascii="Times New Roman" w:hAnsi="Times New Roman" w:cs="Times New Roman"/>
          <w:sz w:val="20"/>
          <w:szCs w:val="20"/>
        </w:rPr>
        <w:t>CFA of the second randomised data group confirmed a good overall fit for the data, thus a CFA for the whole dataset (</w:t>
      </w:r>
      <w:r w:rsidRPr="00862E4A">
        <w:rPr>
          <w:rFonts w:ascii="Times New Roman" w:hAnsi="Times New Roman" w:cs="Times New Roman"/>
          <w:i/>
          <w:iCs/>
          <w:sz w:val="20"/>
          <w:szCs w:val="20"/>
        </w:rPr>
        <w:t xml:space="preserve">n </w:t>
      </w:r>
      <w:r w:rsidRPr="00862E4A">
        <w:rPr>
          <w:rFonts w:ascii="Times New Roman" w:hAnsi="Times New Roman" w:cs="Times New Roman"/>
          <w:sz w:val="20"/>
          <w:szCs w:val="20"/>
        </w:rPr>
        <w:t xml:space="preserve">= 435) is presented in figure </w:t>
      </w:r>
      <w:r w:rsidR="00862E4A" w:rsidRPr="00862E4A">
        <w:rPr>
          <w:rFonts w:ascii="Times New Roman" w:hAnsi="Times New Roman" w:cs="Times New Roman"/>
          <w:sz w:val="20"/>
          <w:szCs w:val="20"/>
        </w:rPr>
        <w:t>2</w:t>
      </w:r>
      <w:r w:rsidRPr="00862E4A">
        <w:rPr>
          <w:rFonts w:ascii="Times New Roman" w:hAnsi="Times New Roman" w:cs="Times New Roman"/>
          <w:sz w:val="20"/>
          <w:szCs w:val="20"/>
        </w:rPr>
        <w:t>. This four-facet model was acceptable for the data when facets were presented as independent, which was accounted for in co-variances, and did not make up an overall measure of mindfulness (Χ</w:t>
      </w:r>
      <w:r w:rsidRPr="00862E4A">
        <w:rPr>
          <w:rFonts w:ascii="Times New Roman" w:hAnsi="Times New Roman" w:cs="Times New Roman"/>
          <w:sz w:val="20"/>
          <w:szCs w:val="20"/>
          <w:vertAlign w:val="superscript"/>
        </w:rPr>
        <w:t>2</w:t>
      </w:r>
      <w:r w:rsidRPr="00862E4A">
        <w:rPr>
          <w:rFonts w:ascii="Times New Roman" w:hAnsi="Times New Roman" w:cs="Times New Roman"/>
          <w:sz w:val="20"/>
          <w:szCs w:val="20"/>
        </w:rPr>
        <w:t xml:space="preserve">/df = 2.695, CFI = 0.890, TLI = 0.877, </w:t>
      </w:r>
      <w:proofErr w:type="spellStart"/>
      <w:r w:rsidRPr="00862E4A">
        <w:rPr>
          <w:rFonts w:ascii="Times New Roman" w:hAnsi="Times New Roman" w:cs="Times New Roman"/>
          <w:sz w:val="20"/>
          <w:szCs w:val="20"/>
        </w:rPr>
        <w:t>SRMR</w:t>
      </w:r>
      <w:proofErr w:type="spellEnd"/>
      <w:r w:rsidRPr="00862E4A">
        <w:rPr>
          <w:rFonts w:ascii="Times New Roman" w:hAnsi="Times New Roman" w:cs="Times New Roman"/>
          <w:sz w:val="20"/>
          <w:szCs w:val="20"/>
        </w:rPr>
        <w:t xml:space="preserve"> = 0.1158, </w:t>
      </w:r>
      <w:proofErr w:type="spellStart"/>
      <w:r w:rsidRPr="00862E4A">
        <w:rPr>
          <w:rFonts w:ascii="Times New Roman" w:hAnsi="Times New Roman" w:cs="Times New Roman"/>
          <w:sz w:val="20"/>
          <w:szCs w:val="20"/>
        </w:rPr>
        <w:t>RMSEA</w:t>
      </w:r>
      <w:proofErr w:type="spellEnd"/>
      <w:r w:rsidRPr="00862E4A">
        <w:rPr>
          <w:rFonts w:ascii="Times New Roman" w:hAnsi="Times New Roman" w:cs="Times New Roman"/>
          <w:sz w:val="20"/>
          <w:szCs w:val="20"/>
        </w:rPr>
        <w:t xml:space="preserve"> = 0.063). This supports Baer and colleagues </w:t>
      </w:r>
      <w:r w:rsidRPr="00862E4A">
        <w:rPr>
          <w:rStyle w:val="FootnoteReference"/>
          <w:rFonts w:ascii="Times New Roman" w:hAnsi="Times New Roman" w:cs="Times New Roman"/>
          <w:sz w:val="20"/>
          <w:szCs w:val="20"/>
        </w:rPr>
        <w:fldChar w:fldCharType="begin" w:fldLock="1"/>
      </w:r>
      <w:r w:rsidR="00250B97">
        <w:rPr>
          <w:rFonts w:ascii="Times New Roman" w:hAnsi="Times New Roman" w:cs="Times New Roman"/>
          <w:sz w:val="20"/>
          <w:szCs w:val="20"/>
        </w:rPr>
        <w:instrText>ADDIN CSL_CITATION {"citationItems":[{"id":"ITEM-1","itemData":{"DOI":"10.1177/1073191105283504","abstract":"The authors examine the facet structure of mindfulness using five recently developed mind-fulness questionnaires. Two large samples of undergraduate students completed mindful-ness questionnaires and measures of other constructs. Psychometric properties of the mindfulness questionnaires were examined, including internal consistency and convergent and discriminant relationships with other variables. Factor analyses of the combined pool of items from the mindfulness questionnaires suggested that collectively they contain five clear, interpretable facets of mindfulness. Hierarchical confirmatory factor analyses suggested that at least four of the identified factors are components of an overall mindfulness construct and that the factor structure of mindfulness may vary with meditation experience. Mindful-ness facets were shown to be differentially correlated in expected ways with several other constructs and to have incremental validity in the prediction of psychological symptoms. Findings suggest that conceptualizing mindfulness as a multifaceted construct is helpful in understanding its components and its relationships with other variables.","author":[{"dropping-particle":"","family":"Baer","given":"Ruth A","non-dropping-particle":"","parse-names":false,"suffix":""},{"dropping-particle":"","family":"Smith","given":"Gregory T","non-dropping-particle":"","parse-names":false,"suffix":""},{"dropping-particle":"","family":"Hopkins","given":"Jaclyn","non-dropping-particle":"","parse-names":false,"suffix":""},{"dropping-particle":"","family":"Krietemeyer","given":"Jennifer","non-dropping-particle":"","parse-names":false,"suffix":""},{"dropping-particle":"","family":"Toney","given":"Leslie","non-dropping-particle":"","parse-names":false,"suffix":""}],"container-title":"Assessment","id":"ITEM-1","issue":"1","issued":{"date-parts":[["2006"]]},"page":"27-45","title":"Using Self-Report Assessment Methods to Explore Facets of Mindfulness","type":"article-journal","volume":"13"},"uris":["http://www.mendeley.com/documents/?uuid=c20d275f-bc25-303c-9993-4131a0037d4f"]}],"mendeley":{"formattedCitation":"[22]","plainTextFormattedCitation":"[22]","previouslyFormattedCitation":"[22]"},"properties":{"noteIndex":0},"schema":"https://github.com/citation-style-language/schema/raw/master/csl-citation.json"}</w:instrText>
      </w:r>
      <w:r w:rsidRPr="00862E4A">
        <w:rPr>
          <w:rStyle w:val="FootnoteReference"/>
          <w:rFonts w:ascii="Times New Roman" w:hAnsi="Times New Roman" w:cs="Times New Roman"/>
          <w:sz w:val="20"/>
          <w:szCs w:val="20"/>
        </w:rPr>
        <w:fldChar w:fldCharType="separate"/>
      </w:r>
      <w:r w:rsidR="00616713" w:rsidRPr="00862E4A">
        <w:rPr>
          <w:rFonts w:ascii="Times New Roman" w:hAnsi="Times New Roman" w:cs="Times New Roman"/>
          <w:noProof/>
          <w:sz w:val="20"/>
          <w:szCs w:val="20"/>
        </w:rPr>
        <w:t>[22]</w:t>
      </w:r>
      <w:r w:rsidRPr="00862E4A">
        <w:rPr>
          <w:rStyle w:val="FootnoteReference"/>
          <w:rFonts w:ascii="Times New Roman" w:hAnsi="Times New Roman" w:cs="Times New Roman"/>
          <w:sz w:val="20"/>
          <w:szCs w:val="20"/>
        </w:rPr>
        <w:fldChar w:fldCharType="end"/>
      </w:r>
      <w:r w:rsidRPr="00862E4A">
        <w:rPr>
          <w:rFonts w:ascii="Times New Roman" w:hAnsi="Times New Roman" w:cs="Times New Roman"/>
          <w:sz w:val="20"/>
          <w:szCs w:val="20"/>
        </w:rPr>
        <w:t xml:space="preserve"> theoretical argument that mindfulness should be viewed as a multifaceted construct. Nonjudging awareness was negatively correlated with Observe (</w:t>
      </w:r>
      <w:r w:rsidRPr="00862E4A">
        <w:rPr>
          <w:rFonts w:ascii="Times New Roman" w:hAnsi="Times New Roman" w:cs="Times New Roman"/>
          <w:i/>
          <w:iCs/>
          <w:sz w:val="20"/>
          <w:szCs w:val="20"/>
        </w:rPr>
        <w:t xml:space="preserve">r = </w:t>
      </w:r>
      <w:r w:rsidRPr="00862E4A">
        <w:rPr>
          <w:rFonts w:ascii="Times New Roman" w:hAnsi="Times New Roman" w:cs="Times New Roman"/>
          <w:sz w:val="20"/>
          <w:szCs w:val="20"/>
        </w:rPr>
        <w:t xml:space="preserve">-0.328, </w:t>
      </w:r>
      <w:r w:rsidRPr="00862E4A">
        <w:rPr>
          <w:rFonts w:ascii="Times New Roman" w:hAnsi="Times New Roman" w:cs="Times New Roman"/>
          <w:i/>
          <w:iCs/>
          <w:sz w:val="20"/>
          <w:szCs w:val="20"/>
        </w:rPr>
        <w:t xml:space="preserve">p </w:t>
      </w:r>
      <w:r w:rsidRPr="00862E4A">
        <w:rPr>
          <w:rFonts w:ascii="Times New Roman" w:hAnsi="Times New Roman" w:cs="Times New Roman"/>
          <w:sz w:val="20"/>
          <w:szCs w:val="20"/>
        </w:rPr>
        <w:t xml:space="preserve">&lt; 0.001), and positively correlated with </w:t>
      </w:r>
      <w:proofErr w:type="gramStart"/>
      <w:r w:rsidRPr="00862E4A">
        <w:rPr>
          <w:rFonts w:ascii="Times New Roman" w:hAnsi="Times New Roman" w:cs="Times New Roman"/>
          <w:sz w:val="20"/>
          <w:szCs w:val="20"/>
        </w:rPr>
        <w:t>Non-react</w:t>
      </w:r>
      <w:proofErr w:type="gramEnd"/>
      <w:r w:rsidRPr="00862E4A">
        <w:rPr>
          <w:rFonts w:ascii="Times New Roman" w:hAnsi="Times New Roman" w:cs="Times New Roman"/>
          <w:sz w:val="20"/>
          <w:szCs w:val="20"/>
        </w:rPr>
        <w:t xml:space="preserve"> (</w:t>
      </w:r>
      <w:r w:rsidRPr="00862E4A">
        <w:rPr>
          <w:rFonts w:ascii="Times New Roman" w:hAnsi="Times New Roman" w:cs="Times New Roman"/>
          <w:i/>
          <w:iCs/>
          <w:sz w:val="20"/>
          <w:szCs w:val="20"/>
        </w:rPr>
        <w:t xml:space="preserve">r </w:t>
      </w:r>
      <w:r w:rsidRPr="00862E4A">
        <w:rPr>
          <w:rFonts w:ascii="Times New Roman" w:hAnsi="Times New Roman" w:cs="Times New Roman"/>
          <w:sz w:val="20"/>
          <w:szCs w:val="20"/>
        </w:rPr>
        <w:t xml:space="preserve">= 0.44, </w:t>
      </w:r>
      <w:r w:rsidRPr="00862E4A">
        <w:rPr>
          <w:rFonts w:ascii="Times New Roman" w:hAnsi="Times New Roman" w:cs="Times New Roman"/>
          <w:i/>
          <w:iCs/>
          <w:sz w:val="20"/>
          <w:szCs w:val="20"/>
        </w:rPr>
        <w:t>p =</w:t>
      </w:r>
      <w:r w:rsidRPr="00862E4A">
        <w:rPr>
          <w:rFonts w:ascii="Times New Roman" w:hAnsi="Times New Roman" w:cs="Times New Roman"/>
          <w:sz w:val="20"/>
          <w:szCs w:val="20"/>
        </w:rPr>
        <w:t xml:space="preserve"> 0.095). All other facets were positively correlated at </w:t>
      </w:r>
      <w:r w:rsidRPr="00862E4A">
        <w:rPr>
          <w:rFonts w:ascii="Times New Roman" w:hAnsi="Times New Roman" w:cs="Times New Roman"/>
          <w:i/>
          <w:iCs/>
          <w:sz w:val="20"/>
          <w:szCs w:val="20"/>
        </w:rPr>
        <w:t xml:space="preserve">p </w:t>
      </w:r>
      <w:r w:rsidRPr="00862E4A">
        <w:rPr>
          <w:rFonts w:ascii="Times New Roman" w:hAnsi="Times New Roman" w:cs="Times New Roman"/>
          <w:sz w:val="20"/>
          <w:szCs w:val="20"/>
        </w:rPr>
        <w:t xml:space="preserve">&lt; 0.001 (appendix 3.14). Five covariances were identified in the modification indices for </w:t>
      </w:r>
      <w:proofErr w:type="gramStart"/>
      <w:r w:rsidRPr="00862E4A">
        <w:rPr>
          <w:rFonts w:ascii="Times New Roman" w:hAnsi="Times New Roman" w:cs="Times New Roman"/>
          <w:sz w:val="20"/>
          <w:szCs w:val="20"/>
        </w:rPr>
        <w:t>Non-judging</w:t>
      </w:r>
      <w:proofErr w:type="gramEnd"/>
      <w:r w:rsidRPr="00862E4A">
        <w:rPr>
          <w:rFonts w:ascii="Times New Roman" w:hAnsi="Times New Roman" w:cs="Times New Roman"/>
          <w:sz w:val="20"/>
          <w:szCs w:val="20"/>
        </w:rPr>
        <w:t xml:space="preserve"> awareness. </w:t>
      </w:r>
    </w:p>
    <w:p w14:paraId="57DD2365" w14:textId="77777777" w:rsidR="00862E4A" w:rsidRPr="00862E4A" w:rsidRDefault="00862E4A" w:rsidP="00616713">
      <w:pPr>
        <w:spacing w:line="480" w:lineRule="auto"/>
        <w:ind w:firstLine="720"/>
        <w:rPr>
          <w:rFonts w:ascii="Times New Roman" w:hAnsi="Times New Roman" w:cs="Times New Roman"/>
          <w:sz w:val="20"/>
          <w:szCs w:val="20"/>
        </w:rPr>
      </w:pPr>
    </w:p>
    <w:p w14:paraId="2B90056D" w14:textId="77777777" w:rsidR="000D4DE3" w:rsidRPr="00862E4A" w:rsidRDefault="000D4DE3" w:rsidP="00616713">
      <w:pPr>
        <w:spacing w:line="480" w:lineRule="auto"/>
        <w:jc w:val="center"/>
        <w:rPr>
          <w:rFonts w:ascii="Times New Roman" w:hAnsi="Times New Roman" w:cs="Times New Roman"/>
          <w:i/>
          <w:iCs/>
          <w:sz w:val="20"/>
          <w:szCs w:val="20"/>
        </w:rPr>
      </w:pPr>
      <w:r w:rsidRPr="00862E4A">
        <w:rPr>
          <w:rFonts w:ascii="Times New Roman" w:hAnsi="Times New Roman" w:cs="Times New Roman"/>
          <w:i/>
          <w:iCs/>
          <w:noProof/>
          <w:sz w:val="20"/>
          <w:szCs w:val="20"/>
        </w:rPr>
        <w:lastRenderedPageBreak/>
        <w:drawing>
          <wp:inline distT="0" distB="0" distL="0" distR="0" wp14:anchorId="0BBBC2C5" wp14:editId="3D2BB1EB">
            <wp:extent cx="5731510" cy="6553200"/>
            <wp:effectExtent l="0" t="0" r="254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rotWithShape="1">
                    <a:blip r:embed="rId8" cstate="print">
                      <a:extLst>
                        <a:ext uri="{28A0092B-C50C-407E-A947-70E740481C1C}">
                          <a14:useLocalDpi xmlns:a14="http://schemas.microsoft.com/office/drawing/2010/main" val="0"/>
                        </a:ext>
                      </a:extLst>
                    </a:blip>
                    <a:srcRect t="3880" b="15256"/>
                    <a:stretch/>
                  </pic:blipFill>
                  <pic:spPr bwMode="auto">
                    <a:xfrm>
                      <a:off x="0" y="0"/>
                      <a:ext cx="5731510" cy="6553200"/>
                    </a:xfrm>
                    <a:prstGeom prst="rect">
                      <a:avLst/>
                    </a:prstGeom>
                    <a:ln>
                      <a:noFill/>
                    </a:ln>
                    <a:extLst>
                      <a:ext uri="{53640926-AAD7-44D8-BBD7-CCE9431645EC}">
                        <a14:shadowObscured xmlns:a14="http://schemas.microsoft.com/office/drawing/2010/main"/>
                      </a:ext>
                    </a:extLst>
                  </pic:spPr>
                </pic:pic>
              </a:graphicData>
            </a:graphic>
          </wp:inline>
        </w:drawing>
      </w:r>
    </w:p>
    <w:p w14:paraId="4F2CFB91" w14:textId="141B2C17" w:rsidR="000D4DE3" w:rsidRPr="00862E4A" w:rsidRDefault="000D4DE3" w:rsidP="00616713">
      <w:pPr>
        <w:spacing w:line="480" w:lineRule="auto"/>
        <w:rPr>
          <w:rFonts w:ascii="Times New Roman" w:hAnsi="Times New Roman" w:cs="Times New Roman"/>
          <w:sz w:val="20"/>
          <w:szCs w:val="20"/>
        </w:rPr>
      </w:pPr>
      <w:bookmarkStart w:id="19" w:name="_Toc73718549"/>
      <w:bookmarkStart w:id="20" w:name="_Toc73720268"/>
      <w:r w:rsidRPr="00862E4A">
        <w:rPr>
          <w:rFonts w:ascii="Times New Roman" w:hAnsi="Times New Roman" w:cs="Times New Roman"/>
          <w:sz w:val="20"/>
          <w:szCs w:val="20"/>
        </w:rPr>
        <w:t xml:space="preserve">Figure </w:t>
      </w:r>
      <w:r w:rsidR="00862E4A" w:rsidRPr="00862E4A">
        <w:rPr>
          <w:rFonts w:ascii="Times New Roman" w:hAnsi="Times New Roman" w:cs="Times New Roman"/>
          <w:sz w:val="20"/>
          <w:szCs w:val="20"/>
        </w:rPr>
        <w:t>2</w:t>
      </w:r>
      <w:r w:rsidRPr="00862E4A">
        <w:rPr>
          <w:rFonts w:ascii="Times New Roman" w:hAnsi="Times New Roman" w:cs="Times New Roman"/>
          <w:sz w:val="20"/>
          <w:szCs w:val="20"/>
        </w:rPr>
        <w:t xml:space="preserve">. Confirmatory Factor Analysis model of a four-factor model of mindfulness, taken from the </w:t>
      </w:r>
      <w:proofErr w:type="spellStart"/>
      <w:r w:rsidRPr="00862E4A">
        <w:rPr>
          <w:rFonts w:ascii="Times New Roman" w:hAnsi="Times New Roman" w:cs="Times New Roman"/>
          <w:sz w:val="20"/>
          <w:szCs w:val="20"/>
        </w:rPr>
        <w:t>FFMQ</w:t>
      </w:r>
      <w:proofErr w:type="spellEnd"/>
      <w:r w:rsidRPr="00862E4A">
        <w:rPr>
          <w:rFonts w:ascii="Times New Roman" w:hAnsi="Times New Roman" w:cs="Times New Roman"/>
          <w:sz w:val="20"/>
          <w:szCs w:val="20"/>
        </w:rPr>
        <w:t>, with standardised factor loadings (value corresponding to one-way arrows), error terms (circled values) and covariances (values corresponding to two-way arrows).</w:t>
      </w:r>
      <w:bookmarkEnd w:id="19"/>
      <w:bookmarkEnd w:id="20"/>
      <w:r w:rsidRPr="00862E4A">
        <w:rPr>
          <w:rFonts w:ascii="Times New Roman" w:hAnsi="Times New Roman" w:cs="Times New Roman"/>
          <w:sz w:val="20"/>
          <w:szCs w:val="20"/>
        </w:rPr>
        <w:t xml:space="preserve"> </w:t>
      </w:r>
    </w:p>
    <w:p w14:paraId="1560D8F3" w14:textId="1FE5B138" w:rsidR="00A1107A" w:rsidRPr="00D77851" w:rsidRDefault="00862E4A" w:rsidP="00D77851">
      <w:pPr>
        <w:pStyle w:val="Heading1"/>
        <w:spacing w:line="480" w:lineRule="auto"/>
        <w:rPr>
          <w:rFonts w:ascii="Times New Roman" w:hAnsi="Times New Roman" w:cs="Times New Roman"/>
          <w:color w:val="auto"/>
        </w:rPr>
      </w:pPr>
      <w:bookmarkStart w:id="21" w:name="_Toc96772226"/>
      <w:r w:rsidRPr="00D77851">
        <w:rPr>
          <w:rFonts w:ascii="Times New Roman" w:hAnsi="Times New Roman" w:cs="Times New Roman"/>
          <w:color w:val="auto"/>
        </w:rPr>
        <w:t>Conclusion</w:t>
      </w:r>
      <w:bookmarkEnd w:id="21"/>
      <w:r w:rsidRPr="00D77851">
        <w:rPr>
          <w:rFonts w:ascii="Times New Roman" w:hAnsi="Times New Roman" w:cs="Times New Roman"/>
          <w:color w:val="auto"/>
        </w:rPr>
        <w:t xml:space="preserve"> </w:t>
      </w:r>
    </w:p>
    <w:p w14:paraId="35864DA9" w14:textId="76005002" w:rsidR="00A1107A" w:rsidRPr="00D77851" w:rsidRDefault="00250B97" w:rsidP="00D77851">
      <w:pPr>
        <w:spacing w:line="480" w:lineRule="auto"/>
        <w:ind w:firstLine="720"/>
        <w:rPr>
          <w:rFonts w:ascii="Times New Roman" w:hAnsi="Times New Roman" w:cs="Times New Roman"/>
          <w:sz w:val="20"/>
          <w:szCs w:val="20"/>
        </w:rPr>
      </w:pPr>
      <w:r w:rsidRPr="00250B97">
        <w:rPr>
          <w:rFonts w:ascii="Times New Roman" w:hAnsi="Times New Roman" w:cs="Times New Roman"/>
          <w:sz w:val="20"/>
          <w:szCs w:val="20"/>
        </w:rPr>
        <w:t>T</w:t>
      </w:r>
      <w:r w:rsidRPr="00250B97">
        <w:rPr>
          <w:rFonts w:ascii="Times New Roman" w:hAnsi="Times New Roman" w:cs="Times New Roman"/>
          <w:sz w:val="20"/>
          <w:szCs w:val="20"/>
        </w:rPr>
        <w:t xml:space="preserve">he factor-structure of the </w:t>
      </w:r>
      <w:proofErr w:type="spellStart"/>
      <w:r w:rsidRPr="00250B97">
        <w:rPr>
          <w:rFonts w:ascii="Times New Roman" w:hAnsi="Times New Roman" w:cs="Times New Roman"/>
          <w:sz w:val="20"/>
          <w:szCs w:val="20"/>
        </w:rPr>
        <w:t>FFMQ</w:t>
      </w:r>
      <w:proofErr w:type="spellEnd"/>
      <w:r w:rsidRPr="00250B97">
        <w:rPr>
          <w:rFonts w:ascii="Times New Roman" w:hAnsi="Times New Roman" w:cs="Times New Roman"/>
          <w:sz w:val="20"/>
          <w:szCs w:val="20"/>
        </w:rPr>
        <w:t xml:space="preserve"> did not fit with the </w:t>
      </w:r>
      <w:r w:rsidRPr="00250B97">
        <w:rPr>
          <w:rFonts w:ascii="Times New Roman" w:hAnsi="Times New Roman" w:cs="Times New Roman"/>
          <w:sz w:val="20"/>
          <w:szCs w:val="20"/>
        </w:rPr>
        <w:t>dataset used in this analysis. This suppo</w:t>
      </w:r>
      <w:bookmarkStart w:id="22" w:name="_Hlk96771749"/>
      <w:r w:rsidRPr="00250B97">
        <w:rPr>
          <w:rFonts w:ascii="Times New Roman" w:hAnsi="Times New Roman" w:cs="Times New Roman"/>
          <w:sz w:val="20"/>
          <w:szCs w:val="20"/>
        </w:rPr>
        <w:t xml:space="preserve">rts </w:t>
      </w:r>
      <w:proofErr w:type="spellStart"/>
      <w:r>
        <w:rPr>
          <w:rFonts w:ascii="Times New Roman" w:hAnsi="Times New Roman" w:cs="Times New Roman"/>
          <w:sz w:val="20"/>
          <w:szCs w:val="20"/>
        </w:rPr>
        <w:t>Lecuana</w:t>
      </w:r>
      <w:proofErr w:type="spellEnd"/>
      <w:r>
        <w:rPr>
          <w:rFonts w:ascii="Times New Roman" w:hAnsi="Times New Roman" w:cs="Times New Roman"/>
          <w:sz w:val="20"/>
          <w:szCs w:val="20"/>
        </w:rPr>
        <w:t xml:space="preserve"> and colleagues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{"citationItems":[{"id":"ITEM-1","itemData":{"DOI":"10.1177/1073191119873718","ISSN":"15523489","PMID":"31609133","abstract":"The Five Facets Mindfulness Questionnaire (FFMQ) is a popular tool in mindfulness research. However, its psychometric qualities and its replicability have caused controversy. This study carried out a psychometric review and a conceptual replication of the FFMQ latent structure. The review showed that previous validation studies of the FFMQ used nonoptimal methods. In addition, this conceptual replication study tested the structure of the FFMQ using frequentist and Bayesian techniques. The original structure did not provide a good fit with both techniques, while the proposed alternative provided mixed results. We also found systematic fit improvements in both techniques when the Observe facet was excluded and method factors were included. With these findings, we conclude that the conceptual replication of the FFMQ’s structure failed. Alternatively, we propose a new provisional FFMQ model with a set of recommendations regarding its application. Future research proposals on improving techniques and models toward mindfulness assessment are also presented and discussed.","author":[{"dropping-particle":"","family":"Lecuona","given":"Oscar","non-dropping-particle":"","parse-names":false,"suffix":""},{"dropping-particle":"","family":"García-Garzón","given":"Eduardo","non-dropping-particle":"","parse-names":false,"suffix":""},{"dropping-particle":"","family":"García-Rubio","given":"Carlos","non-dropping-particle":"","parse-names":false,"suffix":""},{"dropping-particle":"","family":"Rodríguez-Carvajal","given":"Raquel","non-dropping-particle":"","parse-names":false,"suffix":""}],"container-title":"Assessment","id":"ITEM-1","issue":"5","issued":{"date-parts":[["2020","7","1"]]},"page":"859-872","publisher":"SAGE Publications Inc.","title":"A Psychometric Review and Conceptual Replication Study of the Five Facets Mindfulness Questionnaire Latent Structure","type":"article-journal","volume":"27"},"uris":["http://www.mendeley.com/documents/?uuid=28c25fba-5636-4630-b350-e2dc5bc7fd58"]}],"mendeley":{"formattedCitation":"[4]","plainTextFormattedCitation":"[4]","previouslyFormattedCitation":"[4]"},"properties":{"noteIndex":0},"schema":"https://github.com/citation-style-language/schema/raw/master/csl-citation.json"}</w:instrText>
      </w:r>
      <w:r>
        <w:rPr>
          <w:rFonts w:ascii="Times New Roman" w:hAnsi="Times New Roman" w:cs="Times New Roman"/>
          <w:sz w:val="20"/>
          <w:szCs w:val="20"/>
        </w:rPr>
        <w:fldChar w:fldCharType="separate"/>
      </w:r>
      <w:r w:rsidRPr="00250B97">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 xml:space="preserve"> conclusions that there the latent structure of the </w:t>
      </w:r>
      <w:proofErr w:type="spellStart"/>
      <w:r>
        <w:rPr>
          <w:rFonts w:ascii="Times New Roman" w:hAnsi="Times New Roman" w:cs="Times New Roman"/>
          <w:sz w:val="20"/>
          <w:szCs w:val="20"/>
        </w:rPr>
        <w:t>FFMQ</w:t>
      </w:r>
      <w:proofErr w:type="spellEnd"/>
      <w:r>
        <w:rPr>
          <w:rFonts w:ascii="Times New Roman" w:hAnsi="Times New Roman" w:cs="Times New Roman"/>
          <w:sz w:val="20"/>
          <w:szCs w:val="20"/>
        </w:rPr>
        <w:t xml:space="preserve"> is not replicable, and there </w:t>
      </w:r>
      <w:r>
        <w:rPr>
          <w:rFonts w:ascii="Times New Roman" w:hAnsi="Times New Roman" w:cs="Times New Roman"/>
          <w:sz w:val="20"/>
          <w:szCs w:val="20"/>
        </w:rPr>
        <w:lastRenderedPageBreak/>
        <w:t xml:space="preserve">are psychometric issues with the </w:t>
      </w:r>
      <w:proofErr w:type="spellStart"/>
      <w:r>
        <w:rPr>
          <w:rFonts w:ascii="Times New Roman" w:hAnsi="Times New Roman" w:cs="Times New Roman"/>
          <w:sz w:val="20"/>
          <w:szCs w:val="20"/>
        </w:rPr>
        <w:t>FFMQ</w:t>
      </w:r>
      <w:proofErr w:type="spellEnd"/>
      <w:r>
        <w:rPr>
          <w:rFonts w:ascii="Times New Roman" w:hAnsi="Times New Roman" w:cs="Times New Roman"/>
          <w:sz w:val="20"/>
          <w:szCs w:val="20"/>
        </w:rPr>
        <w:t xml:space="preserve"> across research samples</w:t>
      </w:r>
      <w:r>
        <w:rPr>
          <w:rFonts w:ascii="Times New Roman" w:hAnsi="Times New Roman" w:cs="Times New Roman"/>
          <w:sz w:val="20"/>
          <w:szCs w:val="20"/>
        </w:rPr>
        <w:t xml:space="preserve">. </w:t>
      </w:r>
      <w:r w:rsidRPr="00250B97">
        <w:rPr>
          <w:rFonts w:ascii="Times New Roman" w:hAnsi="Times New Roman" w:cs="Times New Roman"/>
          <w:sz w:val="20"/>
          <w:szCs w:val="20"/>
        </w:rPr>
        <w:t xml:space="preserve">The Non-judging awareness facet was derived exclusively from reverse score items, thus could be related to methodological bias </w:t>
      </w:r>
      <w:r w:rsidRPr="00250B97">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{"citationItems":[{"id":"ITEM-1","itemData":{"author":[{"dropping-particle":"","family":"Dam","given":"Nicholas T","non-dropping-particle":"Van","parse-names":false,"suffix":""},{"dropping-particle":"","family":"Hobkrik","given":"Andrea L","non-dropping-particle":"","parse-names":false,"suffix":""},{"dropping-particle":"","family":"Danoff-Burg","given":"Sharon","non-dropping-particle":"","parse-names":false,"suffix":""},{"dropping-particle":"","family":"Earleywine","given":"M","non-dropping-particle":"","parse-names":false,"suffix":""}],"container-title":"Assessment","id":"ITEM-1","issue":"2","issued":{"date-parts":[["2012"]]},"page":"198-204","title":"Mind Your Words: Positive and negative items create method effects on the five facet mindfulness questionnaire","type":"article-journal","volume":"19"},"uris":["http://www.mendeley.com/documents/?uuid=e40b26be-548e-49fc-877c-3da391bb68a5"]}],"mendeley":{"formattedCitation":"[21]","plainTextFormattedCitation":"[21]","previouslyFormattedCitation":"[63]"},"properties":{"noteIndex":0},"schema":"https://github.com/citation-style-language/schema/raw/master/csl-citation.json"}</w:instrText>
      </w:r>
      <w:r w:rsidRPr="00250B97">
        <w:rPr>
          <w:rFonts w:ascii="Times New Roman" w:hAnsi="Times New Roman" w:cs="Times New Roman"/>
          <w:sz w:val="20"/>
          <w:szCs w:val="20"/>
        </w:rPr>
        <w:fldChar w:fldCharType="separate"/>
      </w:r>
      <w:r w:rsidRPr="00250B97">
        <w:rPr>
          <w:rFonts w:ascii="Times New Roman" w:hAnsi="Times New Roman" w:cs="Times New Roman"/>
          <w:noProof/>
          <w:sz w:val="20"/>
          <w:szCs w:val="20"/>
        </w:rPr>
        <w:t>[21]</w:t>
      </w:r>
      <w:r w:rsidRPr="00250B97">
        <w:rPr>
          <w:rFonts w:ascii="Times New Roman" w:hAnsi="Times New Roman" w:cs="Times New Roman"/>
          <w:sz w:val="20"/>
          <w:szCs w:val="20"/>
        </w:rPr>
        <w:fldChar w:fldCharType="end"/>
      </w:r>
      <w:r w:rsidRPr="00250B97">
        <w:rPr>
          <w:rFonts w:ascii="Times New Roman" w:hAnsi="Times New Roman" w:cs="Times New Roman"/>
          <w:sz w:val="20"/>
          <w:szCs w:val="20"/>
        </w:rPr>
        <w:t xml:space="preserve">. Moreover, only 52% of variance in the Exploratory Factor Analysis of the </w:t>
      </w:r>
      <w:proofErr w:type="spellStart"/>
      <w:r w:rsidRPr="00250B97">
        <w:rPr>
          <w:rFonts w:ascii="Times New Roman" w:hAnsi="Times New Roman" w:cs="Times New Roman"/>
          <w:sz w:val="20"/>
          <w:szCs w:val="20"/>
        </w:rPr>
        <w:t>FFMQ</w:t>
      </w:r>
      <w:proofErr w:type="spellEnd"/>
      <w:r w:rsidRPr="00250B97">
        <w:rPr>
          <w:rFonts w:ascii="Times New Roman" w:hAnsi="Times New Roman" w:cs="Times New Roman"/>
          <w:sz w:val="20"/>
          <w:szCs w:val="20"/>
        </w:rPr>
        <w:t xml:space="preserve"> was explained by mindfulness facets, with </w:t>
      </w:r>
      <w:proofErr w:type="gramStart"/>
      <w:r w:rsidRPr="00250B97">
        <w:rPr>
          <w:rFonts w:ascii="Times New Roman" w:hAnsi="Times New Roman" w:cs="Times New Roman"/>
          <w:sz w:val="20"/>
          <w:szCs w:val="20"/>
        </w:rPr>
        <w:t>Non-react</w:t>
      </w:r>
      <w:proofErr w:type="gramEnd"/>
      <w:r w:rsidRPr="00250B97">
        <w:rPr>
          <w:rFonts w:ascii="Times New Roman" w:hAnsi="Times New Roman" w:cs="Times New Roman"/>
          <w:sz w:val="20"/>
          <w:szCs w:val="20"/>
        </w:rPr>
        <w:t xml:space="preserve"> only accounting for 7% of this variance.  </w:t>
      </w:r>
      <w:r>
        <w:rPr>
          <w:rFonts w:ascii="Times New Roman" w:hAnsi="Times New Roman" w:cs="Times New Roman"/>
          <w:sz w:val="20"/>
          <w:szCs w:val="20"/>
        </w:rPr>
        <w:t xml:space="preserve">Whilst the four-factor model of mindfulness used in this analysis is valid to this dataset, additional testing and exploration should be considered why </w:t>
      </w:r>
      <w:r w:rsidR="0041098B">
        <w:rPr>
          <w:rFonts w:ascii="Times New Roman" w:hAnsi="Times New Roman" w:cs="Times New Roman"/>
          <w:sz w:val="20"/>
          <w:szCs w:val="20"/>
        </w:rPr>
        <w:t xml:space="preserve">comparing these results across research. </w:t>
      </w:r>
      <w:bookmarkEnd w:id="22"/>
    </w:p>
    <w:p w14:paraId="302CDC1B" w14:textId="1A2C0780" w:rsidR="00A1107A" w:rsidRPr="00D77851" w:rsidRDefault="00A1107A" w:rsidP="00D77851">
      <w:pPr>
        <w:pStyle w:val="Heading1"/>
        <w:spacing w:line="480" w:lineRule="auto"/>
        <w:rPr>
          <w:rFonts w:ascii="Times New Roman" w:hAnsi="Times New Roman" w:cs="Times New Roman"/>
          <w:color w:val="auto"/>
        </w:rPr>
      </w:pPr>
      <w:bookmarkStart w:id="23" w:name="_Toc96772227"/>
      <w:r w:rsidRPr="00D77851">
        <w:rPr>
          <w:rFonts w:ascii="Times New Roman" w:hAnsi="Times New Roman" w:cs="Times New Roman"/>
          <w:color w:val="auto"/>
        </w:rPr>
        <w:t>References</w:t>
      </w:r>
      <w:bookmarkEnd w:id="23"/>
    </w:p>
    <w:p w14:paraId="6A32F3EE" w14:textId="6E4193B0" w:rsidR="00250B97" w:rsidRPr="00250B97" w:rsidRDefault="00A1107A"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862E4A">
        <w:rPr>
          <w:rFonts w:ascii="Times New Roman" w:hAnsi="Times New Roman" w:cs="Times New Roman"/>
          <w:sz w:val="20"/>
          <w:szCs w:val="20"/>
        </w:rPr>
        <w:fldChar w:fldCharType="begin" w:fldLock="1"/>
      </w:r>
      <w:r w:rsidRPr="00862E4A">
        <w:rPr>
          <w:rFonts w:ascii="Times New Roman" w:hAnsi="Times New Roman" w:cs="Times New Roman"/>
          <w:sz w:val="20"/>
          <w:szCs w:val="20"/>
        </w:rPr>
        <w:instrText xml:space="preserve">ADDIN Mendeley Bibliography CSL_BIBLIOGRAPHY </w:instrText>
      </w:r>
      <w:r w:rsidRPr="00862E4A">
        <w:rPr>
          <w:rFonts w:ascii="Times New Roman" w:hAnsi="Times New Roman" w:cs="Times New Roman"/>
          <w:sz w:val="20"/>
          <w:szCs w:val="20"/>
        </w:rPr>
        <w:fldChar w:fldCharType="separate"/>
      </w:r>
      <w:r w:rsidR="00250B97" w:rsidRPr="00250B97">
        <w:rPr>
          <w:rFonts w:ascii="Times New Roman" w:hAnsi="Times New Roman" w:cs="Times New Roman"/>
          <w:noProof/>
          <w:sz w:val="20"/>
          <w:szCs w:val="24"/>
        </w:rPr>
        <w:t>[1]</w:t>
      </w:r>
      <w:r w:rsidR="00250B97" w:rsidRPr="00250B97">
        <w:rPr>
          <w:rFonts w:ascii="Times New Roman" w:hAnsi="Times New Roman" w:cs="Times New Roman"/>
          <w:noProof/>
          <w:sz w:val="20"/>
          <w:szCs w:val="24"/>
        </w:rPr>
        <w:tab/>
        <w:t xml:space="preserve">C. Nachtigall, U. Kroehne, F. Funke, and R. Steyer, “(Why) should we use SEM? Pros and cons of structural equation modeling,” </w:t>
      </w:r>
      <w:r w:rsidR="00250B97" w:rsidRPr="00250B97">
        <w:rPr>
          <w:rFonts w:ascii="Times New Roman" w:hAnsi="Times New Roman" w:cs="Times New Roman"/>
          <w:i/>
          <w:iCs/>
          <w:noProof/>
          <w:sz w:val="20"/>
          <w:szCs w:val="24"/>
        </w:rPr>
        <w:t>Methods Psychol. Res. Online</w:t>
      </w:r>
      <w:r w:rsidR="00250B97" w:rsidRPr="00250B97">
        <w:rPr>
          <w:rFonts w:ascii="Times New Roman" w:hAnsi="Times New Roman" w:cs="Times New Roman"/>
          <w:noProof/>
          <w:sz w:val="20"/>
          <w:szCs w:val="24"/>
        </w:rPr>
        <w:t>, vol. 8, no. 2, pp. 1–22, 2003.</w:t>
      </w:r>
    </w:p>
    <w:p w14:paraId="3FC4D63D"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[2]</w:t>
      </w:r>
      <w:r w:rsidRPr="00250B97">
        <w:rPr>
          <w:rFonts w:ascii="Times New Roman" w:hAnsi="Times New Roman" w:cs="Times New Roman"/>
          <w:noProof/>
          <w:sz w:val="20"/>
          <w:szCs w:val="24"/>
        </w:rPr>
        <w:tab/>
        <w:t xml:space="preserve">J. H. Wortmann </w:t>
      </w:r>
      <w:r w:rsidRPr="00250B97">
        <w:rPr>
          <w:rFonts w:ascii="Times New Roman" w:hAnsi="Times New Roman" w:cs="Times New Roman"/>
          <w:i/>
          <w:iCs/>
          <w:noProof/>
          <w:sz w:val="20"/>
          <w:szCs w:val="24"/>
        </w:rPr>
        <w:t>et al.</w:t>
      </w:r>
      <w:r w:rsidRPr="00250B97">
        <w:rPr>
          <w:rFonts w:ascii="Times New Roman" w:hAnsi="Times New Roman" w:cs="Times New Roman"/>
          <w:noProof/>
          <w:sz w:val="20"/>
          <w:szCs w:val="24"/>
        </w:rPr>
        <w:t xml:space="preserve">, “Psychometric analysis of the PTSD checklist-5 (PCL-5) among treatment-seeking military service Mmmbers,” </w:t>
      </w:r>
      <w:r w:rsidRPr="00250B97">
        <w:rPr>
          <w:rFonts w:ascii="Times New Roman" w:hAnsi="Times New Roman" w:cs="Times New Roman"/>
          <w:i/>
          <w:iCs/>
          <w:noProof/>
          <w:sz w:val="20"/>
          <w:szCs w:val="24"/>
        </w:rPr>
        <w:t>Psychol. Assess. public domain 2016</w:t>
      </w:r>
      <w:r w:rsidRPr="00250B97">
        <w:rPr>
          <w:rFonts w:ascii="Times New Roman" w:hAnsi="Times New Roman" w:cs="Times New Roman"/>
          <w:noProof/>
          <w:sz w:val="20"/>
          <w:szCs w:val="24"/>
        </w:rPr>
        <w:t>, vol. 28, no. 11, pp. 1392–1403, 2016, doi: 10.1037/pas0000260.</w:t>
      </w:r>
    </w:p>
    <w:p w14:paraId="7D5BC7C2"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[3]</w:t>
      </w:r>
      <w:r w:rsidRPr="00250B97">
        <w:rPr>
          <w:rFonts w:ascii="Times New Roman" w:hAnsi="Times New Roman" w:cs="Times New Roman"/>
          <w:noProof/>
          <w:sz w:val="20"/>
          <w:szCs w:val="24"/>
        </w:rPr>
        <w:tab/>
        <w:t xml:space="preserve">M. J. Bovin </w:t>
      </w:r>
      <w:r w:rsidRPr="00250B97">
        <w:rPr>
          <w:rFonts w:ascii="Times New Roman" w:hAnsi="Times New Roman" w:cs="Times New Roman"/>
          <w:i/>
          <w:iCs/>
          <w:noProof/>
          <w:sz w:val="20"/>
          <w:szCs w:val="24"/>
        </w:rPr>
        <w:t>et al.</w:t>
      </w:r>
      <w:r w:rsidRPr="00250B97">
        <w:rPr>
          <w:rFonts w:ascii="Times New Roman" w:hAnsi="Times New Roman" w:cs="Times New Roman"/>
          <w:noProof/>
          <w:sz w:val="20"/>
          <w:szCs w:val="24"/>
        </w:rPr>
        <w:t xml:space="preserve">, “Psychometric properties of the PTSD checklist for diagnostic and statistical manual of mental disorders – fifth edition (PCL-5) in veterans.,” </w:t>
      </w:r>
      <w:r w:rsidRPr="00250B97">
        <w:rPr>
          <w:rFonts w:ascii="Times New Roman" w:hAnsi="Times New Roman" w:cs="Times New Roman"/>
          <w:i/>
          <w:iCs/>
          <w:noProof/>
          <w:sz w:val="20"/>
          <w:szCs w:val="24"/>
        </w:rPr>
        <w:t>Psychol. Assess.</w:t>
      </w:r>
      <w:r w:rsidRPr="00250B97">
        <w:rPr>
          <w:rFonts w:ascii="Times New Roman" w:hAnsi="Times New Roman" w:cs="Times New Roman"/>
          <w:noProof/>
          <w:sz w:val="20"/>
          <w:szCs w:val="24"/>
        </w:rPr>
        <w:t>, vol. 28, no. 11, pp. 1379–1391, Nov. 2016, doi: 10.1037/pas0000254.</w:t>
      </w:r>
    </w:p>
    <w:p w14:paraId="450B695E"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[4]</w:t>
      </w:r>
      <w:r w:rsidRPr="00250B97">
        <w:rPr>
          <w:rFonts w:ascii="Times New Roman" w:hAnsi="Times New Roman" w:cs="Times New Roman"/>
          <w:noProof/>
          <w:sz w:val="20"/>
          <w:szCs w:val="24"/>
        </w:rPr>
        <w:tab/>
        <w:t xml:space="preserve">O. Lecuona, E. García-Garzón, C. García-Rubio, and R. Rodríguez-Carvajal, “A Psychometric Review and Conceptual Replication Study of the Five Facets Mindfulness Questionnaire Latent Structure,” </w:t>
      </w:r>
      <w:r w:rsidRPr="00250B97">
        <w:rPr>
          <w:rFonts w:ascii="Times New Roman" w:hAnsi="Times New Roman" w:cs="Times New Roman"/>
          <w:i/>
          <w:iCs/>
          <w:noProof/>
          <w:sz w:val="20"/>
          <w:szCs w:val="24"/>
        </w:rPr>
        <w:t>Assessment</w:t>
      </w:r>
      <w:r w:rsidRPr="00250B97">
        <w:rPr>
          <w:rFonts w:ascii="Times New Roman" w:hAnsi="Times New Roman" w:cs="Times New Roman"/>
          <w:noProof/>
          <w:sz w:val="20"/>
          <w:szCs w:val="24"/>
        </w:rPr>
        <w:t>, vol. 27, no. 5, pp. 859–872, Jul. 2020, doi: 10.1177/1073191119873718.</w:t>
      </w:r>
    </w:p>
    <w:p w14:paraId="61D619C8"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[5]</w:t>
      </w:r>
      <w:r w:rsidRPr="00250B97">
        <w:rPr>
          <w:rFonts w:ascii="Times New Roman" w:hAnsi="Times New Roman" w:cs="Times New Roman"/>
          <w:noProof/>
          <w:sz w:val="20"/>
          <w:szCs w:val="24"/>
        </w:rPr>
        <w:tab/>
        <w:t>J. . Arbuckle, “Amos (Version 26.0).” IMB SPSS, Chicago, 2019.</w:t>
      </w:r>
    </w:p>
    <w:p w14:paraId="6DA7F74D"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[6]</w:t>
      </w:r>
      <w:r w:rsidRPr="00250B97">
        <w:rPr>
          <w:rFonts w:ascii="Times New Roman" w:hAnsi="Times New Roman" w:cs="Times New Roman"/>
          <w:noProof/>
          <w:sz w:val="20"/>
          <w:szCs w:val="24"/>
        </w:rPr>
        <w:tab/>
        <w:t xml:space="preserve">T. A. Brown, </w:t>
      </w:r>
      <w:r w:rsidRPr="00250B97">
        <w:rPr>
          <w:rFonts w:ascii="Times New Roman" w:hAnsi="Times New Roman" w:cs="Times New Roman"/>
          <w:i/>
          <w:iCs/>
          <w:noProof/>
          <w:sz w:val="20"/>
          <w:szCs w:val="24"/>
        </w:rPr>
        <w:t>Confirmatory Factor Analysis for Applied Research</w:t>
      </w:r>
      <w:r w:rsidRPr="00250B97">
        <w:rPr>
          <w:rFonts w:ascii="Times New Roman" w:hAnsi="Times New Roman" w:cs="Times New Roman"/>
          <w:noProof/>
          <w:sz w:val="20"/>
          <w:szCs w:val="24"/>
        </w:rPr>
        <w:t>, Second Edi. New York, NY: The Guilford Press, 2015.</w:t>
      </w:r>
    </w:p>
    <w:p w14:paraId="5FC74985"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[7]</w:t>
      </w:r>
      <w:r w:rsidRPr="00250B97">
        <w:rPr>
          <w:rFonts w:ascii="Times New Roman" w:hAnsi="Times New Roman" w:cs="Times New Roman"/>
          <w:noProof/>
          <w:sz w:val="20"/>
          <w:szCs w:val="24"/>
        </w:rPr>
        <w:tab/>
        <w:t xml:space="preserve">J. B. Ullman, “Structural equation modeling,” in </w:t>
      </w:r>
      <w:r w:rsidRPr="00250B97">
        <w:rPr>
          <w:rFonts w:ascii="Times New Roman" w:hAnsi="Times New Roman" w:cs="Times New Roman"/>
          <w:i/>
          <w:iCs/>
          <w:noProof/>
          <w:sz w:val="20"/>
          <w:szCs w:val="24"/>
        </w:rPr>
        <w:t>Using Multivariate Statistics</w:t>
      </w:r>
      <w:r w:rsidRPr="00250B97">
        <w:rPr>
          <w:rFonts w:ascii="Times New Roman" w:hAnsi="Times New Roman" w:cs="Times New Roman"/>
          <w:noProof/>
          <w:sz w:val="20"/>
          <w:szCs w:val="24"/>
        </w:rPr>
        <w:t>, 4th Editio., B. G. Tabachnick and L. S. Fidell, Eds. Needham Heights, MA: Allyn &amp; Bacon, 2001, pp. 653–771.</w:t>
      </w:r>
    </w:p>
    <w:p w14:paraId="7B5C5997"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[8]</w:t>
      </w:r>
      <w:r w:rsidRPr="00250B97">
        <w:rPr>
          <w:rFonts w:ascii="Times New Roman" w:hAnsi="Times New Roman" w:cs="Times New Roman"/>
          <w:noProof/>
          <w:sz w:val="20"/>
          <w:szCs w:val="24"/>
        </w:rPr>
        <w:tab/>
        <w:t xml:space="preserve">P. M. Bentler, “Comparative fit indexes in structural models,” </w:t>
      </w:r>
      <w:r w:rsidRPr="00250B97">
        <w:rPr>
          <w:rFonts w:ascii="Times New Roman" w:hAnsi="Times New Roman" w:cs="Times New Roman"/>
          <w:i/>
          <w:iCs/>
          <w:noProof/>
          <w:sz w:val="20"/>
          <w:szCs w:val="24"/>
        </w:rPr>
        <w:t>Psychol. Bull.</w:t>
      </w:r>
      <w:r w:rsidRPr="00250B97">
        <w:rPr>
          <w:rFonts w:ascii="Times New Roman" w:hAnsi="Times New Roman" w:cs="Times New Roman"/>
          <w:noProof/>
          <w:sz w:val="20"/>
          <w:szCs w:val="24"/>
        </w:rPr>
        <w:t>, vol. 107, no. 2, pp. 238–246, 1990, doi: 10.1037/0033-2909.107.2.238.</w:t>
      </w:r>
    </w:p>
    <w:p w14:paraId="20E5F3BD"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[9]</w:t>
      </w:r>
      <w:r w:rsidRPr="00250B97">
        <w:rPr>
          <w:rFonts w:ascii="Times New Roman" w:hAnsi="Times New Roman" w:cs="Times New Roman"/>
          <w:noProof/>
          <w:sz w:val="20"/>
          <w:szCs w:val="24"/>
        </w:rPr>
        <w:tab/>
        <w:t xml:space="preserve">L. T. Hu and P. M. Bentler, “Cutoff criteria for fit indexes in covariance structure analysis: </w:t>
      </w:r>
      <w:r w:rsidRPr="00250B97">
        <w:rPr>
          <w:rFonts w:ascii="Times New Roman" w:hAnsi="Times New Roman" w:cs="Times New Roman"/>
          <w:noProof/>
          <w:sz w:val="20"/>
          <w:szCs w:val="24"/>
        </w:rPr>
        <w:lastRenderedPageBreak/>
        <w:t xml:space="preserve">Conventional criteria versus new alternatives,” </w:t>
      </w:r>
      <w:r w:rsidRPr="00250B97">
        <w:rPr>
          <w:rFonts w:ascii="Times New Roman" w:hAnsi="Times New Roman" w:cs="Times New Roman"/>
          <w:i/>
          <w:iCs/>
          <w:noProof/>
          <w:sz w:val="20"/>
          <w:szCs w:val="24"/>
        </w:rPr>
        <w:t>Struct. Equ. Model.</w:t>
      </w:r>
      <w:r w:rsidRPr="00250B97">
        <w:rPr>
          <w:rFonts w:ascii="Times New Roman" w:hAnsi="Times New Roman" w:cs="Times New Roman"/>
          <w:noProof/>
          <w:sz w:val="20"/>
          <w:szCs w:val="24"/>
        </w:rPr>
        <w:t>, vol. 6, no. 1, pp. 1–55, 1999, doi: 10.1080/10705519909540118.</w:t>
      </w:r>
    </w:p>
    <w:p w14:paraId="30C45322"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[10]</w:t>
      </w:r>
      <w:r w:rsidRPr="00250B97">
        <w:rPr>
          <w:rFonts w:ascii="Times New Roman" w:hAnsi="Times New Roman" w:cs="Times New Roman"/>
          <w:noProof/>
          <w:sz w:val="20"/>
          <w:szCs w:val="24"/>
        </w:rPr>
        <w:tab/>
        <w:t xml:space="preserve">M. W. Browne and R. Cudeck, “Alternative ways of assessing model fit,” in </w:t>
      </w:r>
      <w:r w:rsidRPr="00250B97">
        <w:rPr>
          <w:rFonts w:ascii="Times New Roman" w:hAnsi="Times New Roman" w:cs="Times New Roman"/>
          <w:i/>
          <w:iCs/>
          <w:noProof/>
          <w:sz w:val="20"/>
          <w:szCs w:val="24"/>
        </w:rPr>
        <w:t>Testing structural equation models</w:t>
      </w:r>
      <w:r w:rsidRPr="00250B97">
        <w:rPr>
          <w:rFonts w:ascii="Times New Roman" w:hAnsi="Times New Roman" w:cs="Times New Roman"/>
          <w:noProof/>
          <w:sz w:val="20"/>
          <w:szCs w:val="24"/>
        </w:rPr>
        <w:t>, K. . Bollen and J. . Long, Eds. Newbury Park, CA: Sage, 1993, pp. 136–162.</w:t>
      </w:r>
    </w:p>
    <w:p w14:paraId="76B5FF0A"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[11]</w:t>
      </w:r>
      <w:r w:rsidRPr="00250B97">
        <w:rPr>
          <w:rFonts w:ascii="Times New Roman" w:hAnsi="Times New Roman" w:cs="Times New Roman"/>
          <w:noProof/>
          <w:sz w:val="20"/>
          <w:szCs w:val="24"/>
        </w:rPr>
        <w:tab/>
        <w:t xml:space="preserve">R. C. MacCallum, M. W. Browne, and H. M. Sugawara, “Power analysis and determination of sample size for covariance structure modeling,” </w:t>
      </w:r>
      <w:r w:rsidRPr="00250B97">
        <w:rPr>
          <w:rFonts w:ascii="Times New Roman" w:hAnsi="Times New Roman" w:cs="Times New Roman"/>
          <w:i/>
          <w:iCs/>
          <w:noProof/>
          <w:sz w:val="20"/>
          <w:szCs w:val="24"/>
        </w:rPr>
        <w:t>Psychol. Methods</w:t>
      </w:r>
      <w:r w:rsidRPr="00250B97">
        <w:rPr>
          <w:rFonts w:ascii="Times New Roman" w:hAnsi="Times New Roman" w:cs="Times New Roman"/>
          <w:noProof/>
          <w:sz w:val="20"/>
          <w:szCs w:val="24"/>
        </w:rPr>
        <w:t>, vol. 1, no. 2, pp. 130–149, 1996, doi: 10.1037/1082-989X.1.2.130.</w:t>
      </w:r>
    </w:p>
    <w:p w14:paraId="3F060B9C"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[12]</w:t>
      </w:r>
      <w:r w:rsidRPr="00250B97">
        <w:rPr>
          <w:rFonts w:ascii="Times New Roman" w:hAnsi="Times New Roman" w:cs="Times New Roman"/>
          <w:noProof/>
          <w:sz w:val="20"/>
          <w:szCs w:val="24"/>
        </w:rPr>
        <w:tab/>
        <w:t>R Core Team, “R: A language and environment for statistical computing.” R Foundation for Statistical Computing, Vienna, Austria, 2017.</w:t>
      </w:r>
    </w:p>
    <w:p w14:paraId="65F82594"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[13]</w:t>
      </w:r>
      <w:r w:rsidRPr="00250B97">
        <w:rPr>
          <w:rFonts w:ascii="Times New Roman" w:hAnsi="Times New Roman" w:cs="Times New Roman"/>
          <w:noProof/>
          <w:sz w:val="20"/>
          <w:szCs w:val="24"/>
        </w:rPr>
        <w:tab/>
        <w:t xml:space="preserve">F. Holgado-Tello </w:t>
      </w:r>
      <w:r w:rsidRPr="00250B97">
        <w:rPr>
          <w:rFonts w:ascii="Times New Roman" w:hAnsi="Times New Roman" w:cs="Times New Roman"/>
          <w:i/>
          <w:iCs/>
          <w:noProof/>
          <w:sz w:val="20"/>
          <w:szCs w:val="24"/>
        </w:rPr>
        <w:t>et al.</w:t>
      </w:r>
      <w:r w:rsidRPr="00250B97">
        <w:rPr>
          <w:rFonts w:ascii="Times New Roman" w:hAnsi="Times New Roman" w:cs="Times New Roman"/>
          <w:noProof/>
          <w:sz w:val="20"/>
          <w:szCs w:val="24"/>
        </w:rPr>
        <w:t xml:space="preserve">, “Polychoric versus Pearson correlations in Exploratory and Confirmatory Factor Analysis with ordinal variables,” </w:t>
      </w:r>
      <w:r w:rsidRPr="00250B97">
        <w:rPr>
          <w:rFonts w:ascii="Times New Roman" w:hAnsi="Times New Roman" w:cs="Times New Roman"/>
          <w:i/>
          <w:iCs/>
          <w:noProof/>
          <w:sz w:val="20"/>
          <w:szCs w:val="24"/>
        </w:rPr>
        <w:t>Qual Quant</w:t>
      </w:r>
      <w:r w:rsidRPr="00250B97">
        <w:rPr>
          <w:rFonts w:ascii="Times New Roman" w:hAnsi="Times New Roman" w:cs="Times New Roman"/>
          <w:noProof/>
          <w:sz w:val="20"/>
          <w:szCs w:val="24"/>
        </w:rPr>
        <w:t>, vol. 44, pp. 153–166, 2010, doi: 10.1007/s11135-008-9190-y.</w:t>
      </w:r>
    </w:p>
    <w:p w14:paraId="7BC68AA9"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[14]</w:t>
      </w:r>
      <w:r w:rsidRPr="00250B97">
        <w:rPr>
          <w:rFonts w:ascii="Times New Roman" w:hAnsi="Times New Roman" w:cs="Times New Roman"/>
          <w:noProof/>
          <w:sz w:val="20"/>
          <w:szCs w:val="24"/>
        </w:rPr>
        <w:tab/>
        <w:t xml:space="preserve">H. F. Kaiser, “An index of factorial simplicity,” </w:t>
      </w:r>
      <w:r w:rsidRPr="00250B97">
        <w:rPr>
          <w:rFonts w:ascii="Times New Roman" w:hAnsi="Times New Roman" w:cs="Times New Roman"/>
          <w:i/>
          <w:iCs/>
          <w:noProof/>
          <w:sz w:val="20"/>
          <w:szCs w:val="24"/>
        </w:rPr>
        <w:t>Psychometrika</w:t>
      </w:r>
      <w:r w:rsidRPr="00250B97">
        <w:rPr>
          <w:rFonts w:ascii="Times New Roman" w:hAnsi="Times New Roman" w:cs="Times New Roman"/>
          <w:noProof/>
          <w:sz w:val="20"/>
          <w:szCs w:val="24"/>
        </w:rPr>
        <w:t>, vol. 39, no. 1, pp. 31–36, Mar. 1974, doi: 10.1007/BF02291575.</w:t>
      </w:r>
    </w:p>
    <w:p w14:paraId="0AC264D1"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[15]</w:t>
      </w:r>
      <w:r w:rsidRPr="00250B97">
        <w:rPr>
          <w:rFonts w:ascii="Times New Roman" w:hAnsi="Times New Roman" w:cs="Times New Roman"/>
          <w:noProof/>
          <w:sz w:val="20"/>
          <w:szCs w:val="24"/>
        </w:rPr>
        <w:tab/>
        <w:t xml:space="preserve">G. D. Hutcheson and N. Sofroniou, </w:t>
      </w:r>
      <w:r w:rsidRPr="00250B97">
        <w:rPr>
          <w:rFonts w:ascii="Times New Roman" w:hAnsi="Times New Roman" w:cs="Times New Roman"/>
          <w:i/>
          <w:iCs/>
          <w:noProof/>
          <w:sz w:val="20"/>
          <w:szCs w:val="24"/>
        </w:rPr>
        <w:t>The Multivariate Social Scientist</w:t>
      </w:r>
      <w:r w:rsidRPr="00250B97">
        <w:rPr>
          <w:rFonts w:ascii="Times New Roman" w:hAnsi="Times New Roman" w:cs="Times New Roman"/>
          <w:noProof/>
          <w:sz w:val="20"/>
          <w:szCs w:val="24"/>
        </w:rPr>
        <w:t>. London, UK: SAGE Publications Ltd, 1999.</w:t>
      </w:r>
    </w:p>
    <w:p w14:paraId="5EA25D4C"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[16]</w:t>
      </w:r>
      <w:r w:rsidRPr="00250B97">
        <w:rPr>
          <w:rFonts w:ascii="Times New Roman" w:hAnsi="Times New Roman" w:cs="Times New Roman"/>
          <w:noProof/>
          <w:sz w:val="20"/>
          <w:szCs w:val="24"/>
        </w:rPr>
        <w:tab/>
        <w:t xml:space="preserve">M. . Bartlett, “Tests of significance in factor analysis,” </w:t>
      </w:r>
      <w:r w:rsidRPr="00250B97">
        <w:rPr>
          <w:rFonts w:ascii="Times New Roman" w:hAnsi="Times New Roman" w:cs="Times New Roman"/>
          <w:i/>
          <w:iCs/>
          <w:noProof/>
          <w:sz w:val="20"/>
          <w:szCs w:val="24"/>
        </w:rPr>
        <w:t>Br. J. Stat. Psychol.</w:t>
      </w:r>
      <w:r w:rsidRPr="00250B97">
        <w:rPr>
          <w:rFonts w:ascii="Times New Roman" w:hAnsi="Times New Roman" w:cs="Times New Roman"/>
          <w:noProof/>
          <w:sz w:val="20"/>
          <w:szCs w:val="24"/>
        </w:rPr>
        <w:t>, vol. 3, no. 2, pp. 77–85, Jun. 1950, doi: 10.1111/j.2044-8317.1950.tb00285.x.</w:t>
      </w:r>
    </w:p>
    <w:p w14:paraId="15E20F5E"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[17]</w:t>
      </w:r>
      <w:r w:rsidRPr="00250B97">
        <w:rPr>
          <w:rFonts w:ascii="Times New Roman" w:hAnsi="Times New Roman" w:cs="Times New Roman"/>
          <w:noProof/>
          <w:sz w:val="20"/>
          <w:szCs w:val="24"/>
        </w:rPr>
        <w:tab/>
        <w:t xml:space="preserve">L. W. Glorfeld, “An Improvement on Horn’s Parallel Analysis Methodology for Selecting the Correct Number of Factors to Retain,” </w:t>
      </w:r>
      <w:r w:rsidRPr="00250B97">
        <w:rPr>
          <w:rFonts w:ascii="Times New Roman" w:hAnsi="Times New Roman" w:cs="Times New Roman"/>
          <w:i/>
          <w:iCs/>
          <w:noProof/>
          <w:sz w:val="20"/>
          <w:szCs w:val="24"/>
        </w:rPr>
        <w:t>Educ. Psychol. Meas.</w:t>
      </w:r>
      <w:r w:rsidRPr="00250B97">
        <w:rPr>
          <w:rFonts w:ascii="Times New Roman" w:hAnsi="Times New Roman" w:cs="Times New Roman"/>
          <w:noProof/>
          <w:sz w:val="20"/>
          <w:szCs w:val="24"/>
        </w:rPr>
        <w:t>, vol. 55, no. 3, pp. 377–393, Jun. 1995, doi: 10.1177/0013164495055003002.</w:t>
      </w:r>
    </w:p>
    <w:p w14:paraId="1C744C10"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[18]</w:t>
      </w:r>
      <w:r w:rsidRPr="00250B97">
        <w:rPr>
          <w:rFonts w:ascii="Times New Roman" w:hAnsi="Times New Roman" w:cs="Times New Roman"/>
          <w:noProof/>
          <w:sz w:val="20"/>
          <w:szCs w:val="24"/>
        </w:rPr>
        <w:tab/>
        <w:t xml:space="preserve">R. B. Cattell, “The scree test for the number of factors,” </w:t>
      </w:r>
      <w:r w:rsidRPr="00250B97">
        <w:rPr>
          <w:rFonts w:ascii="Times New Roman" w:hAnsi="Times New Roman" w:cs="Times New Roman"/>
          <w:i/>
          <w:iCs/>
          <w:noProof/>
          <w:sz w:val="20"/>
          <w:szCs w:val="24"/>
        </w:rPr>
        <w:t>Multivariate Behav. Res.</w:t>
      </w:r>
      <w:r w:rsidRPr="00250B97">
        <w:rPr>
          <w:rFonts w:ascii="Times New Roman" w:hAnsi="Times New Roman" w:cs="Times New Roman"/>
          <w:noProof/>
          <w:sz w:val="20"/>
          <w:szCs w:val="24"/>
        </w:rPr>
        <w:t>, vol. 1, no. 2, pp. 245–276, Apr. 1966, doi: 10.1207/s15327906mbr0102_10.</w:t>
      </w:r>
    </w:p>
    <w:p w14:paraId="3496BD28"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[19]</w:t>
      </w:r>
      <w:r w:rsidRPr="00250B97">
        <w:rPr>
          <w:rFonts w:ascii="Times New Roman" w:hAnsi="Times New Roman" w:cs="Times New Roman"/>
          <w:noProof/>
          <w:sz w:val="20"/>
          <w:szCs w:val="24"/>
        </w:rPr>
        <w:tab/>
        <w:t xml:space="preserve">M. Parul, M. Jain, and K. Shandliya, “A survey paper on comparative study between Principal Component Analysis (PCA) and Exploratory Factor Analysis (EFA),” </w:t>
      </w:r>
      <w:r w:rsidRPr="00250B97">
        <w:rPr>
          <w:rFonts w:ascii="Times New Roman" w:hAnsi="Times New Roman" w:cs="Times New Roman"/>
          <w:i/>
          <w:iCs/>
          <w:noProof/>
          <w:sz w:val="20"/>
          <w:szCs w:val="24"/>
        </w:rPr>
        <w:t>Int. J. Comput. Sci. Appl.</w:t>
      </w:r>
      <w:r w:rsidRPr="00250B97">
        <w:rPr>
          <w:rFonts w:ascii="Times New Roman" w:hAnsi="Times New Roman" w:cs="Times New Roman"/>
          <w:noProof/>
          <w:sz w:val="20"/>
          <w:szCs w:val="24"/>
        </w:rPr>
        <w:t>, vol. 6, no. 2, pp. 373–375, 2013, Accessed: Mar. 12, 2021. [Online]. Available: www.researchpublications.org.</w:t>
      </w:r>
    </w:p>
    <w:p w14:paraId="15E37BFA"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t>[20]</w:t>
      </w:r>
      <w:r w:rsidRPr="00250B97">
        <w:rPr>
          <w:rFonts w:ascii="Times New Roman" w:hAnsi="Times New Roman" w:cs="Times New Roman"/>
          <w:noProof/>
          <w:sz w:val="20"/>
          <w:szCs w:val="24"/>
        </w:rPr>
        <w:tab/>
        <w:t xml:space="preserve">J. . Nunnally and I. . Bernstein, </w:t>
      </w:r>
      <w:r w:rsidRPr="00250B97">
        <w:rPr>
          <w:rFonts w:ascii="Times New Roman" w:hAnsi="Times New Roman" w:cs="Times New Roman"/>
          <w:i/>
          <w:iCs/>
          <w:noProof/>
          <w:sz w:val="20"/>
          <w:szCs w:val="24"/>
        </w:rPr>
        <w:t>Psychometric theory</w:t>
      </w:r>
      <w:r w:rsidRPr="00250B97">
        <w:rPr>
          <w:rFonts w:ascii="Times New Roman" w:hAnsi="Times New Roman" w:cs="Times New Roman"/>
          <w:noProof/>
          <w:sz w:val="20"/>
          <w:szCs w:val="24"/>
        </w:rPr>
        <w:t>, 3rd ed. New York, NY: McGraw-Hill, 1994.</w:t>
      </w:r>
    </w:p>
    <w:p w14:paraId="5317F47F"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szCs w:val="24"/>
        </w:rPr>
      </w:pPr>
      <w:r w:rsidRPr="00250B97">
        <w:rPr>
          <w:rFonts w:ascii="Times New Roman" w:hAnsi="Times New Roman" w:cs="Times New Roman"/>
          <w:noProof/>
          <w:sz w:val="20"/>
          <w:szCs w:val="24"/>
        </w:rPr>
        <w:lastRenderedPageBreak/>
        <w:t>[21]</w:t>
      </w:r>
      <w:r w:rsidRPr="00250B97">
        <w:rPr>
          <w:rFonts w:ascii="Times New Roman" w:hAnsi="Times New Roman" w:cs="Times New Roman"/>
          <w:noProof/>
          <w:sz w:val="20"/>
          <w:szCs w:val="24"/>
        </w:rPr>
        <w:tab/>
        <w:t xml:space="preserve">N. T. Van Dam, A. L. Hobkrik, S. Danoff-Burg, and M. Earleywine, “Mind Your Words: Positive and negative items create method effects on the five facet mindfulness questionnaire,” </w:t>
      </w:r>
      <w:r w:rsidRPr="00250B97">
        <w:rPr>
          <w:rFonts w:ascii="Times New Roman" w:hAnsi="Times New Roman" w:cs="Times New Roman"/>
          <w:i/>
          <w:iCs/>
          <w:noProof/>
          <w:sz w:val="20"/>
          <w:szCs w:val="24"/>
        </w:rPr>
        <w:t>Assessment</w:t>
      </w:r>
      <w:r w:rsidRPr="00250B97">
        <w:rPr>
          <w:rFonts w:ascii="Times New Roman" w:hAnsi="Times New Roman" w:cs="Times New Roman"/>
          <w:noProof/>
          <w:sz w:val="20"/>
          <w:szCs w:val="24"/>
        </w:rPr>
        <w:t>, vol. 19, no. 2, pp. 198–204, 2012.</w:t>
      </w:r>
    </w:p>
    <w:p w14:paraId="590B7B56" w14:textId="77777777" w:rsidR="00250B97" w:rsidRPr="00250B97" w:rsidRDefault="00250B97" w:rsidP="00250B97">
      <w:pPr>
        <w:widowControl w:val="0"/>
        <w:autoSpaceDE w:val="0"/>
        <w:autoSpaceDN w:val="0"/>
        <w:adjustRightInd w:val="0"/>
        <w:spacing w:line="480" w:lineRule="auto"/>
        <w:ind w:left="640" w:hanging="640"/>
        <w:rPr>
          <w:rFonts w:ascii="Times New Roman" w:hAnsi="Times New Roman" w:cs="Times New Roman"/>
          <w:noProof/>
          <w:sz w:val="20"/>
        </w:rPr>
      </w:pPr>
      <w:r w:rsidRPr="00250B97">
        <w:rPr>
          <w:rFonts w:ascii="Times New Roman" w:hAnsi="Times New Roman" w:cs="Times New Roman"/>
          <w:noProof/>
          <w:sz w:val="20"/>
          <w:szCs w:val="24"/>
        </w:rPr>
        <w:t>[22]</w:t>
      </w:r>
      <w:r w:rsidRPr="00250B97">
        <w:rPr>
          <w:rFonts w:ascii="Times New Roman" w:hAnsi="Times New Roman" w:cs="Times New Roman"/>
          <w:noProof/>
          <w:sz w:val="20"/>
          <w:szCs w:val="24"/>
        </w:rPr>
        <w:tab/>
        <w:t xml:space="preserve">R. A. Baer, G. T. Smith, J. Hopkins, J. Krietemeyer, and L. Toney, “Using Self-Report Assessment Methods to Explore Facets of Mindfulness,” </w:t>
      </w:r>
      <w:r w:rsidRPr="00250B97">
        <w:rPr>
          <w:rFonts w:ascii="Times New Roman" w:hAnsi="Times New Roman" w:cs="Times New Roman"/>
          <w:i/>
          <w:iCs/>
          <w:noProof/>
          <w:sz w:val="20"/>
          <w:szCs w:val="24"/>
        </w:rPr>
        <w:t>Assessment</w:t>
      </w:r>
      <w:r w:rsidRPr="00250B97">
        <w:rPr>
          <w:rFonts w:ascii="Times New Roman" w:hAnsi="Times New Roman" w:cs="Times New Roman"/>
          <w:noProof/>
          <w:sz w:val="20"/>
          <w:szCs w:val="24"/>
        </w:rPr>
        <w:t>, vol. 13, no. 1, pp. 27–45, 2006, doi: 10.1177/1073191105283504.</w:t>
      </w:r>
    </w:p>
    <w:p w14:paraId="2628694E" w14:textId="54736103" w:rsidR="00A1107A" w:rsidRPr="00862E4A" w:rsidRDefault="00A1107A" w:rsidP="00616713">
      <w:pPr>
        <w:spacing w:line="480" w:lineRule="auto"/>
        <w:rPr>
          <w:rFonts w:ascii="Times New Roman" w:hAnsi="Times New Roman" w:cs="Times New Roman"/>
          <w:sz w:val="20"/>
          <w:szCs w:val="20"/>
        </w:rPr>
      </w:pPr>
      <w:r w:rsidRPr="00862E4A">
        <w:rPr>
          <w:rFonts w:ascii="Times New Roman" w:hAnsi="Times New Roman" w:cs="Times New Roman"/>
          <w:sz w:val="20"/>
          <w:szCs w:val="20"/>
        </w:rPr>
        <w:fldChar w:fldCharType="end"/>
      </w:r>
    </w:p>
    <w:sectPr w:rsidR="00A1107A" w:rsidRPr="00862E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53DCF" w14:textId="77777777" w:rsidR="008D559E" w:rsidRDefault="008D559E" w:rsidP="00D77851">
      <w:pPr>
        <w:spacing w:after="0" w:line="240" w:lineRule="auto"/>
      </w:pPr>
      <w:r>
        <w:separator/>
      </w:r>
    </w:p>
  </w:endnote>
  <w:endnote w:type="continuationSeparator" w:id="0">
    <w:p w14:paraId="715096B8" w14:textId="77777777" w:rsidR="008D559E" w:rsidRDefault="008D559E" w:rsidP="00D7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3F8F" w14:textId="6F91AA1D" w:rsidR="00D77851" w:rsidRDefault="00D77851">
    <w:pPr>
      <w:pStyle w:val="Footer"/>
    </w:pPr>
    <w:r>
      <w:rPr>
        <w:rFonts w:ascii="Times New Roman" w:eastAsiaTheme="majorEastAsia" w:hAnsi="Times New Roman" w:cs="Times New Roman"/>
        <w:sz w:val="20"/>
        <w:szCs w:val="20"/>
      </w:rPr>
      <w:t xml:space="preserve">Supplementary Materials A. </w:t>
    </w:r>
    <w:r w:rsidRPr="00D77851">
      <w:rPr>
        <w:rFonts w:ascii="Times New Roman" w:eastAsiaTheme="majorEastAsia" w:hAnsi="Times New Roman" w:cs="Times New Roman"/>
        <w:sz w:val="20"/>
        <w:szCs w:val="20"/>
      </w:rPr>
      <w:t>Facets of mindfulness act as a mediator between stressful life experiences, and stressful combat experiences, and Post-Traumatic Stress Symptoms (PTS-S) in UK Military Veterans</w:t>
    </w:r>
    <w:r w:rsidR="001D695D" w:rsidRPr="001D695D">
      <w:rPr>
        <w:rFonts w:ascii="Times New Roman" w:eastAsiaTheme="majorEastAsia" w:hAnsi="Times New Roman" w:cs="Times New Roman"/>
        <w:sz w:val="20"/>
        <w:szCs w:val="20"/>
      </w:rPr>
      <w:t>. Harper, Jones, Goodwin &amp; Gillespie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823B" w14:textId="77777777" w:rsidR="008D559E" w:rsidRDefault="008D559E" w:rsidP="00D77851">
      <w:pPr>
        <w:spacing w:after="0" w:line="240" w:lineRule="auto"/>
      </w:pPr>
      <w:r>
        <w:separator/>
      </w:r>
    </w:p>
  </w:footnote>
  <w:footnote w:type="continuationSeparator" w:id="0">
    <w:p w14:paraId="40F4B355" w14:textId="77777777" w:rsidR="008D559E" w:rsidRDefault="008D559E" w:rsidP="00D77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7A"/>
    <w:rsid w:val="000D4DE3"/>
    <w:rsid w:val="001D695D"/>
    <w:rsid w:val="00250B97"/>
    <w:rsid w:val="003C5770"/>
    <w:rsid w:val="0041098B"/>
    <w:rsid w:val="00541DE9"/>
    <w:rsid w:val="00616713"/>
    <w:rsid w:val="00753646"/>
    <w:rsid w:val="00862E4A"/>
    <w:rsid w:val="008D559E"/>
    <w:rsid w:val="009E5586"/>
    <w:rsid w:val="00A1107A"/>
    <w:rsid w:val="00CA7D79"/>
    <w:rsid w:val="00D138BF"/>
    <w:rsid w:val="00D77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A1AC"/>
  <w15:chartTrackingRefBased/>
  <w15:docId w15:val="{64FEC0F7-0748-4C99-83FF-83EE9194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10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D4D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D4DE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07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107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D4DE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D4DE3"/>
    <w:rPr>
      <w:rFonts w:asciiTheme="majorHAnsi" w:eastAsiaTheme="majorEastAsia" w:hAnsiTheme="majorHAnsi" w:cstheme="majorBidi"/>
      <w:i/>
      <w:iCs/>
      <w:color w:val="2F5496" w:themeColor="accent1" w:themeShade="BF"/>
    </w:rPr>
  </w:style>
  <w:style w:type="character" w:styleId="FootnoteReference">
    <w:name w:val="footnote reference"/>
    <w:basedOn w:val="DefaultParagraphFont"/>
    <w:uiPriority w:val="99"/>
    <w:semiHidden/>
    <w:unhideWhenUsed/>
    <w:rsid w:val="000D4DE3"/>
    <w:rPr>
      <w:vertAlign w:val="superscript"/>
    </w:rPr>
  </w:style>
  <w:style w:type="character" w:styleId="CommentReference">
    <w:name w:val="annotation reference"/>
    <w:basedOn w:val="DefaultParagraphFont"/>
    <w:uiPriority w:val="99"/>
    <w:semiHidden/>
    <w:unhideWhenUsed/>
    <w:rsid w:val="009E5586"/>
    <w:rPr>
      <w:sz w:val="16"/>
      <w:szCs w:val="16"/>
    </w:rPr>
  </w:style>
  <w:style w:type="paragraph" w:styleId="TOCHeading">
    <w:name w:val="TOC Heading"/>
    <w:basedOn w:val="Heading1"/>
    <w:next w:val="Normal"/>
    <w:uiPriority w:val="39"/>
    <w:unhideWhenUsed/>
    <w:qFormat/>
    <w:rsid w:val="00D77851"/>
    <w:pPr>
      <w:outlineLvl w:val="9"/>
    </w:pPr>
    <w:rPr>
      <w:lang w:val="en-US"/>
    </w:rPr>
  </w:style>
  <w:style w:type="paragraph" w:styleId="TOC1">
    <w:name w:val="toc 1"/>
    <w:basedOn w:val="Normal"/>
    <w:next w:val="Normal"/>
    <w:autoRedefine/>
    <w:uiPriority w:val="39"/>
    <w:unhideWhenUsed/>
    <w:rsid w:val="00D77851"/>
    <w:pPr>
      <w:spacing w:after="100"/>
    </w:pPr>
  </w:style>
  <w:style w:type="paragraph" w:styleId="TOC2">
    <w:name w:val="toc 2"/>
    <w:basedOn w:val="Normal"/>
    <w:next w:val="Normal"/>
    <w:autoRedefine/>
    <w:uiPriority w:val="39"/>
    <w:unhideWhenUsed/>
    <w:rsid w:val="00D77851"/>
    <w:pPr>
      <w:spacing w:after="100"/>
      <w:ind w:left="220"/>
    </w:pPr>
  </w:style>
  <w:style w:type="character" w:styleId="Hyperlink">
    <w:name w:val="Hyperlink"/>
    <w:basedOn w:val="DefaultParagraphFont"/>
    <w:uiPriority w:val="99"/>
    <w:unhideWhenUsed/>
    <w:rsid w:val="00D77851"/>
    <w:rPr>
      <w:color w:val="0563C1" w:themeColor="hyperlink"/>
      <w:u w:val="single"/>
    </w:rPr>
  </w:style>
  <w:style w:type="paragraph" w:styleId="Header">
    <w:name w:val="header"/>
    <w:basedOn w:val="Normal"/>
    <w:link w:val="HeaderChar"/>
    <w:uiPriority w:val="99"/>
    <w:unhideWhenUsed/>
    <w:rsid w:val="00D77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51"/>
  </w:style>
  <w:style w:type="paragraph" w:styleId="Footer">
    <w:name w:val="footer"/>
    <w:basedOn w:val="Normal"/>
    <w:link w:val="FooterChar"/>
    <w:uiPriority w:val="99"/>
    <w:unhideWhenUsed/>
    <w:rsid w:val="00D77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7241-D100-4079-AE50-01B9E2C2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8853</Words>
  <Characters>50466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Leanne</dc:creator>
  <cp:keywords/>
  <dc:description/>
  <cp:lastModifiedBy>Harper, Leanne</cp:lastModifiedBy>
  <cp:revision>5</cp:revision>
  <dcterms:created xsi:type="dcterms:W3CDTF">2022-02-26T11:26:00Z</dcterms:created>
  <dcterms:modified xsi:type="dcterms:W3CDTF">2022-02-26T14:51:00Z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26b7b325-a161-3240-b7c5-a389a87a8e6a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http://www.zotero.org/styles/ieee</vt:lpwstr>
  </property>
</Properties>
</file>