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F8BE01" w14:textId="035687A3" w:rsidR="00BA18E4" w:rsidRPr="005C470C" w:rsidRDefault="00E27791" w:rsidP="00BA18E4">
      <w:pPr>
        <w:spacing w:after="240"/>
        <w:jc w:val="both"/>
        <w:rPr>
          <w:rFonts w:ascii="Times New Roman" w:hAnsi="Times New Roman" w:cs="Times New Roman"/>
          <w:b/>
          <w:bCs/>
          <w:lang w:val="en-US"/>
        </w:rPr>
      </w:pPr>
      <w:r w:rsidRPr="005C470C">
        <w:rPr>
          <w:rFonts w:ascii="Times New Roman" w:hAnsi="Times New Roman" w:cs="Times New Roman"/>
          <w:b/>
          <w:bCs/>
          <w:lang w:val="en-US"/>
        </w:rPr>
        <w:t>Supplementary t</w:t>
      </w:r>
      <w:r w:rsidR="00BA18E4" w:rsidRPr="005C470C">
        <w:rPr>
          <w:rFonts w:ascii="Times New Roman" w:hAnsi="Times New Roman" w:cs="Times New Roman"/>
          <w:b/>
          <w:bCs/>
          <w:lang w:val="en-US"/>
        </w:rPr>
        <w:t xml:space="preserve">able </w:t>
      </w:r>
      <w:r w:rsidR="00A53E66" w:rsidRPr="005C470C">
        <w:rPr>
          <w:rFonts w:ascii="Times New Roman" w:hAnsi="Times New Roman" w:cs="Times New Roman"/>
          <w:b/>
          <w:bCs/>
          <w:lang w:val="en-US"/>
        </w:rPr>
        <w:t>1</w:t>
      </w:r>
      <w:r w:rsidR="00BA18E4" w:rsidRPr="005C470C">
        <w:rPr>
          <w:rFonts w:ascii="Times New Roman" w:hAnsi="Times New Roman" w:cs="Times New Roman"/>
          <w:b/>
          <w:bCs/>
          <w:lang w:val="en-US"/>
        </w:rPr>
        <w:t xml:space="preserve">. </w:t>
      </w:r>
      <w:r w:rsidR="00C444A0" w:rsidRPr="005C470C">
        <w:rPr>
          <w:rFonts w:ascii="Times New Roman" w:hAnsi="Times New Roman" w:cs="Times New Roman"/>
          <w:lang w:val="en-US"/>
        </w:rPr>
        <w:t>Characteristic of the i</w:t>
      </w:r>
      <w:r w:rsidR="00BA18E4" w:rsidRPr="005C470C">
        <w:rPr>
          <w:rFonts w:ascii="Times New Roman" w:hAnsi="Times New Roman" w:cs="Times New Roman"/>
          <w:lang w:val="en-US"/>
        </w:rPr>
        <w:t xml:space="preserve">ncluded studies </w:t>
      </w:r>
      <w:r w:rsidR="00C444A0" w:rsidRPr="005C470C">
        <w:rPr>
          <w:rFonts w:ascii="Times New Roman" w:hAnsi="Times New Roman" w:cs="Times New Roman"/>
          <w:lang w:val="en-US"/>
        </w:rPr>
        <w:t>based on</w:t>
      </w:r>
      <w:r w:rsidR="00BA18E4" w:rsidRPr="005C470C">
        <w:rPr>
          <w:rFonts w:ascii="Times New Roman" w:hAnsi="Times New Roman" w:cs="Times New Roman"/>
          <w:lang w:val="en-US"/>
        </w:rPr>
        <w:t xml:space="preserve"> PICOS question and direction of the recommendation for the outcomes assessed (n=10</w:t>
      </w:r>
      <w:r w:rsidR="00054F9B">
        <w:rPr>
          <w:rFonts w:ascii="Times New Roman" w:hAnsi="Times New Roman" w:cs="Times New Roman"/>
          <w:lang w:val="en-US"/>
        </w:rPr>
        <w:t>6</w:t>
      </w:r>
      <w:r w:rsidR="00BA18E4" w:rsidRPr="005C470C">
        <w:rPr>
          <w:rFonts w:ascii="Times New Roman" w:hAnsi="Times New Roman" w:cs="Times New Roman"/>
          <w:lang w:val="en-US"/>
        </w:rPr>
        <w:t>).</w:t>
      </w:r>
    </w:p>
    <w:tbl>
      <w:tblPr>
        <w:tblW w:w="1474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35"/>
        <w:gridCol w:w="992"/>
        <w:gridCol w:w="1418"/>
        <w:gridCol w:w="1275"/>
        <w:gridCol w:w="1134"/>
        <w:gridCol w:w="1276"/>
        <w:gridCol w:w="1418"/>
        <w:gridCol w:w="1275"/>
        <w:gridCol w:w="1134"/>
        <w:gridCol w:w="567"/>
        <w:gridCol w:w="1701"/>
        <w:gridCol w:w="1418"/>
      </w:tblGrid>
      <w:tr w:rsidR="006226A8" w:rsidRPr="005C470C" w14:paraId="37C01C92" w14:textId="77777777" w:rsidTr="00114AF5">
        <w:trPr>
          <w:trHeight w:val="20"/>
        </w:trPr>
        <w:tc>
          <w:tcPr>
            <w:tcW w:w="3545" w:type="dxa"/>
            <w:gridSpan w:val="3"/>
            <w:shd w:val="clear" w:color="auto" w:fill="auto"/>
            <w:vAlign w:val="center"/>
            <w:hideMark/>
          </w:tcPr>
          <w:p w14:paraId="769DEF45" w14:textId="77777777" w:rsidR="006226A8" w:rsidRPr="005C470C" w:rsidRDefault="006226A8" w:rsidP="006226A8">
            <w:pPr>
              <w:jc w:val="center"/>
              <w:rPr>
                <w:rFonts w:ascii="Times New Roman" w:eastAsia="Times New Roman" w:hAnsi="Times New Roman" w:cs="Times New Roman"/>
                <w:b/>
                <w:bCs/>
                <w:color w:val="000000"/>
                <w:sz w:val="20"/>
                <w:szCs w:val="20"/>
                <w:lang w:val="en-US" w:eastAsia="pt-BR"/>
              </w:rPr>
            </w:pPr>
            <w:r w:rsidRPr="005C470C">
              <w:rPr>
                <w:rFonts w:ascii="Times New Roman" w:eastAsia="Times New Roman" w:hAnsi="Times New Roman" w:cs="Times New Roman"/>
                <w:b/>
                <w:bCs/>
                <w:color w:val="000000"/>
                <w:sz w:val="20"/>
                <w:szCs w:val="20"/>
                <w:lang w:val="en-US" w:eastAsia="pt-BR"/>
              </w:rPr>
              <w:t>IDENTIFICATION</w:t>
            </w:r>
          </w:p>
        </w:tc>
        <w:tc>
          <w:tcPr>
            <w:tcW w:w="8079" w:type="dxa"/>
            <w:gridSpan w:val="7"/>
            <w:shd w:val="clear" w:color="auto" w:fill="auto"/>
            <w:vAlign w:val="center"/>
            <w:hideMark/>
          </w:tcPr>
          <w:p w14:paraId="23F13223" w14:textId="77777777" w:rsidR="006226A8" w:rsidRPr="005C470C" w:rsidRDefault="006226A8" w:rsidP="006226A8">
            <w:pPr>
              <w:jc w:val="center"/>
              <w:rPr>
                <w:rFonts w:ascii="Times New Roman" w:eastAsia="Times New Roman" w:hAnsi="Times New Roman" w:cs="Times New Roman"/>
                <w:b/>
                <w:bCs/>
                <w:color w:val="000000"/>
                <w:sz w:val="20"/>
                <w:szCs w:val="20"/>
                <w:lang w:eastAsia="pt-BR"/>
              </w:rPr>
            </w:pPr>
            <w:r w:rsidRPr="005C470C">
              <w:rPr>
                <w:rFonts w:ascii="Times New Roman" w:eastAsia="Times New Roman" w:hAnsi="Times New Roman" w:cs="Times New Roman"/>
                <w:b/>
                <w:bCs/>
                <w:color w:val="000000"/>
                <w:sz w:val="20"/>
                <w:szCs w:val="20"/>
                <w:lang w:eastAsia="pt-BR"/>
              </w:rPr>
              <w:t xml:space="preserve">PLANNING </w:t>
            </w:r>
          </w:p>
        </w:tc>
        <w:tc>
          <w:tcPr>
            <w:tcW w:w="3119" w:type="dxa"/>
            <w:gridSpan w:val="2"/>
            <w:shd w:val="clear" w:color="auto" w:fill="auto"/>
            <w:vAlign w:val="center"/>
            <w:hideMark/>
          </w:tcPr>
          <w:p w14:paraId="771D3D28" w14:textId="77777777" w:rsidR="006226A8" w:rsidRPr="005C470C" w:rsidRDefault="00444B7F" w:rsidP="006226A8">
            <w:pPr>
              <w:jc w:val="center"/>
              <w:rPr>
                <w:rFonts w:ascii="Times New Roman" w:eastAsia="Times New Roman" w:hAnsi="Times New Roman" w:cs="Times New Roman"/>
                <w:b/>
                <w:bCs/>
                <w:color w:val="000000"/>
                <w:sz w:val="20"/>
                <w:szCs w:val="20"/>
                <w:lang w:eastAsia="pt-BR"/>
              </w:rPr>
            </w:pPr>
            <w:r w:rsidRPr="005C470C">
              <w:rPr>
                <w:rFonts w:ascii="Times New Roman" w:eastAsia="Times New Roman" w:hAnsi="Times New Roman" w:cs="Times New Roman"/>
                <w:b/>
                <w:bCs/>
                <w:color w:val="000000"/>
                <w:sz w:val="20"/>
                <w:szCs w:val="20"/>
                <w:lang w:eastAsia="pt-BR"/>
              </w:rPr>
              <w:t>REPORT</w:t>
            </w:r>
          </w:p>
        </w:tc>
      </w:tr>
      <w:tr w:rsidR="002914BB" w:rsidRPr="005C470C" w14:paraId="4596A32F" w14:textId="77777777" w:rsidTr="00114AF5">
        <w:trPr>
          <w:trHeight w:val="20"/>
        </w:trPr>
        <w:tc>
          <w:tcPr>
            <w:tcW w:w="1135" w:type="dxa"/>
            <w:shd w:val="clear" w:color="auto" w:fill="auto"/>
            <w:vAlign w:val="center"/>
            <w:hideMark/>
          </w:tcPr>
          <w:p w14:paraId="558682C9" w14:textId="77777777" w:rsidR="006226A8"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Author, Year</w:t>
            </w:r>
          </w:p>
          <w:p w14:paraId="6014DC63" w14:textId="51D9D353" w:rsidR="00C53143" w:rsidRPr="005C470C" w:rsidRDefault="00C53143" w:rsidP="006226A8">
            <w:pPr>
              <w:jc w:val="center"/>
              <w:rPr>
                <w:rFonts w:ascii="Times New Roman" w:eastAsia="Times New Roman" w:hAnsi="Times New Roman" w:cs="Times New Roman"/>
                <w:b/>
                <w:bCs/>
                <w:sz w:val="20"/>
                <w:szCs w:val="20"/>
                <w:lang w:eastAsia="pt-BR"/>
              </w:rPr>
            </w:pPr>
            <w:r>
              <w:rPr>
                <w:rFonts w:ascii="Times New Roman" w:eastAsia="Times New Roman" w:hAnsi="Times New Roman" w:cs="Times New Roman"/>
                <w:b/>
                <w:bCs/>
                <w:sz w:val="20"/>
                <w:szCs w:val="20"/>
                <w:lang w:eastAsia="pt-BR"/>
              </w:rPr>
              <w:t>(Country)</w:t>
            </w:r>
          </w:p>
        </w:tc>
        <w:tc>
          <w:tcPr>
            <w:tcW w:w="992" w:type="dxa"/>
            <w:shd w:val="clear" w:color="auto" w:fill="auto"/>
            <w:vAlign w:val="center"/>
            <w:hideMark/>
          </w:tcPr>
          <w:p w14:paraId="1B57A985" w14:textId="69B82D11" w:rsidR="006226A8" w:rsidRPr="005C470C" w:rsidRDefault="00C53143" w:rsidP="006226A8">
            <w:pPr>
              <w:jc w:val="center"/>
              <w:rPr>
                <w:rFonts w:ascii="Times New Roman" w:eastAsia="Times New Roman" w:hAnsi="Times New Roman" w:cs="Times New Roman"/>
                <w:b/>
                <w:bCs/>
                <w:sz w:val="20"/>
                <w:szCs w:val="20"/>
                <w:lang w:eastAsia="pt-BR"/>
              </w:rPr>
            </w:pPr>
            <w:r>
              <w:rPr>
                <w:rFonts w:ascii="Times New Roman" w:eastAsia="Times New Roman" w:hAnsi="Times New Roman" w:cs="Times New Roman"/>
                <w:b/>
                <w:bCs/>
                <w:sz w:val="20"/>
                <w:szCs w:val="20"/>
                <w:lang w:eastAsia="pt-BR"/>
              </w:rPr>
              <w:t>Journal (Impact Factor</w:t>
            </w:r>
            <w:r w:rsidR="00BC17DB">
              <w:rPr>
                <w:rFonts w:ascii="Times New Roman" w:eastAsia="Times New Roman" w:hAnsi="Times New Roman" w:cs="Times New Roman"/>
                <w:b/>
                <w:bCs/>
                <w:sz w:val="20"/>
                <w:szCs w:val="20"/>
                <w:lang w:eastAsia="pt-BR"/>
              </w:rPr>
              <w:t>*</w:t>
            </w:r>
            <w:r>
              <w:rPr>
                <w:rFonts w:ascii="Times New Roman" w:eastAsia="Times New Roman" w:hAnsi="Times New Roman" w:cs="Times New Roman"/>
                <w:b/>
                <w:bCs/>
                <w:sz w:val="20"/>
                <w:szCs w:val="20"/>
                <w:lang w:eastAsia="pt-BR"/>
              </w:rPr>
              <w:t>)</w:t>
            </w:r>
          </w:p>
        </w:tc>
        <w:tc>
          <w:tcPr>
            <w:tcW w:w="1418" w:type="dxa"/>
            <w:shd w:val="clear" w:color="auto" w:fill="auto"/>
            <w:vAlign w:val="center"/>
            <w:hideMark/>
          </w:tcPr>
          <w:p w14:paraId="0D0F07D8" w14:textId="59A5CB01" w:rsidR="006226A8"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Dentistry specialty*</w:t>
            </w:r>
            <w:r w:rsidR="00BC17DB">
              <w:rPr>
                <w:rFonts w:ascii="Times New Roman" w:eastAsia="Times New Roman" w:hAnsi="Times New Roman" w:cs="Times New Roman"/>
                <w:b/>
                <w:bCs/>
                <w:sz w:val="20"/>
                <w:szCs w:val="20"/>
                <w:lang w:eastAsia="pt-BR"/>
              </w:rPr>
              <w:t>*</w:t>
            </w:r>
          </w:p>
        </w:tc>
        <w:tc>
          <w:tcPr>
            <w:tcW w:w="1275" w:type="dxa"/>
            <w:shd w:val="clear" w:color="auto" w:fill="auto"/>
            <w:vAlign w:val="center"/>
            <w:hideMark/>
          </w:tcPr>
          <w:p w14:paraId="14ACA99C" w14:textId="77777777" w:rsidR="006226A8"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SR aim</w:t>
            </w:r>
          </w:p>
        </w:tc>
        <w:tc>
          <w:tcPr>
            <w:tcW w:w="1134" w:type="dxa"/>
            <w:shd w:val="clear" w:color="auto" w:fill="auto"/>
            <w:vAlign w:val="center"/>
            <w:hideMark/>
          </w:tcPr>
          <w:p w14:paraId="463D92BE" w14:textId="77777777" w:rsidR="00726290"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Population</w:t>
            </w:r>
          </w:p>
          <w:p w14:paraId="3EF38BBB" w14:textId="43336A46" w:rsidR="006226A8"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(P)</w:t>
            </w:r>
          </w:p>
        </w:tc>
        <w:tc>
          <w:tcPr>
            <w:tcW w:w="1276" w:type="dxa"/>
            <w:shd w:val="clear" w:color="auto" w:fill="auto"/>
            <w:vAlign w:val="center"/>
            <w:hideMark/>
          </w:tcPr>
          <w:p w14:paraId="6F7AFE30" w14:textId="77777777" w:rsidR="00726290"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 xml:space="preserve">Intervention </w:t>
            </w:r>
          </w:p>
          <w:p w14:paraId="20445868" w14:textId="58527C64" w:rsidR="006226A8"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(I)</w:t>
            </w:r>
          </w:p>
        </w:tc>
        <w:tc>
          <w:tcPr>
            <w:tcW w:w="1418" w:type="dxa"/>
            <w:shd w:val="clear" w:color="auto" w:fill="auto"/>
            <w:vAlign w:val="center"/>
            <w:hideMark/>
          </w:tcPr>
          <w:p w14:paraId="2E06DCD4" w14:textId="77777777" w:rsidR="00726290"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 xml:space="preserve">Control </w:t>
            </w:r>
          </w:p>
          <w:p w14:paraId="79004E97" w14:textId="1B7336B7" w:rsidR="006226A8"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(C)</w:t>
            </w:r>
          </w:p>
        </w:tc>
        <w:tc>
          <w:tcPr>
            <w:tcW w:w="1275" w:type="dxa"/>
            <w:shd w:val="clear" w:color="auto" w:fill="auto"/>
            <w:vAlign w:val="center"/>
            <w:hideMark/>
          </w:tcPr>
          <w:p w14:paraId="39D6A9D3" w14:textId="77777777" w:rsidR="00726290"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Outcome</w:t>
            </w:r>
            <w:r w:rsidR="00C444A0" w:rsidRPr="005C470C">
              <w:rPr>
                <w:rFonts w:ascii="Times New Roman" w:eastAsia="Times New Roman" w:hAnsi="Times New Roman" w:cs="Times New Roman"/>
                <w:b/>
                <w:bCs/>
                <w:sz w:val="20"/>
                <w:szCs w:val="20"/>
                <w:lang w:eastAsia="pt-BR"/>
              </w:rPr>
              <w:t>s</w:t>
            </w:r>
            <w:r w:rsidRPr="005C470C">
              <w:rPr>
                <w:rFonts w:ascii="Times New Roman" w:eastAsia="Times New Roman" w:hAnsi="Times New Roman" w:cs="Times New Roman"/>
                <w:b/>
                <w:bCs/>
                <w:sz w:val="20"/>
                <w:szCs w:val="20"/>
                <w:lang w:eastAsia="pt-BR"/>
              </w:rPr>
              <w:t xml:space="preserve"> </w:t>
            </w:r>
          </w:p>
          <w:p w14:paraId="1BD3FBA2" w14:textId="2680E4CF" w:rsidR="006226A8" w:rsidRPr="005C470C" w:rsidRDefault="006226A8"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(O)</w:t>
            </w:r>
          </w:p>
        </w:tc>
        <w:tc>
          <w:tcPr>
            <w:tcW w:w="1134" w:type="dxa"/>
            <w:shd w:val="clear" w:color="auto" w:fill="auto"/>
            <w:vAlign w:val="center"/>
            <w:hideMark/>
          </w:tcPr>
          <w:p w14:paraId="2E69243C" w14:textId="0D01A2B8" w:rsidR="006226A8" w:rsidRPr="005C470C" w:rsidRDefault="00C444A0" w:rsidP="006226A8">
            <w:pPr>
              <w:jc w:val="center"/>
              <w:rPr>
                <w:rFonts w:ascii="Times New Roman" w:eastAsia="Times New Roman" w:hAnsi="Times New Roman" w:cs="Times New Roman"/>
                <w:b/>
                <w:bCs/>
                <w:sz w:val="20"/>
                <w:szCs w:val="20"/>
                <w:lang w:val="en-US" w:eastAsia="pt-BR"/>
              </w:rPr>
            </w:pPr>
            <w:r w:rsidRPr="005C470C">
              <w:rPr>
                <w:rFonts w:ascii="Times New Roman" w:eastAsia="Times New Roman" w:hAnsi="Times New Roman" w:cs="Times New Roman"/>
                <w:b/>
                <w:bCs/>
                <w:sz w:val="20"/>
                <w:szCs w:val="20"/>
                <w:lang w:val="en-US" w:eastAsia="pt-BR"/>
              </w:rPr>
              <w:t xml:space="preserve">Type of </w:t>
            </w:r>
            <w:r w:rsidR="006226A8" w:rsidRPr="005C470C">
              <w:rPr>
                <w:rFonts w:ascii="Times New Roman" w:eastAsia="Times New Roman" w:hAnsi="Times New Roman" w:cs="Times New Roman"/>
                <w:b/>
                <w:bCs/>
                <w:sz w:val="20"/>
                <w:szCs w:val="20"/>
                <w:lang w:val="en-US" w:eastAsia="pt-BR"/>
              </w:rPr>
              <w:t>Study included</w:t>
            </w:r>
            <w:r w:rsidR="00DC29BB" w:rsidRPr="005C470C">
              <w:rPr>
                <w:rFonts w:ascii="Times New Roman" w:eastAsia="Times New Roman" w:hAnsi="Times New Roman" w:cs="Times New Roman"/>
                <w:b/>
                <w:bCs/>
                <w:sz w:val="20"/>
                <w:szCs w:val="20"/>
                <w:lang w:val="en-US" w:eastAsia="pt-BR"/>
              </w:rPr>
              <w:t xml:space="preserve"> (S)</w:t>
            </w:r>
            <w:r w:rsidRPr="005C470C">
              <w:rPr>
                <w:rFonts w:ascii="Times New Roman" w:eastAsia="Times New Roman" w:hAnsi="Times New Roman" w:cs="Times New Roman"/>
                <w:b/>
                <w:bCs/>
                <w:sz w:val="20"/>
                <w:szCs w:val="20"/>
                <w:lang w:val="en-US" w:eastAsia="pt-BR"/>
              </w:rPr>
              <w:t xml:space="preserve"> and n</w:t>
            </w:r>
          </w:p>
        </w:tc>
        <w:tc>
          <w:tcPr>
            <w:tcW w:w="567" w:type="dxa"/>
            <w:shd w:val="clear" w:color="auto" w:fill="auto"/>
            <w:vAlign w:val="center"/>
            <w:hideMark/>
          </w:tcPr>
          <w:p w14:paraId="129FD5FC" w14:textId="501D42C6" w:rsidR="006226A8" w:rsidRPr="005C470C" w:rsidRDefault="008466C6"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MA</w:t>
            </w:r>
          </w:p>
        </w:tc>
        <w:tc>
          <w:tcPr>
            <w:tcW w:w="1701" w:type="dxa"/>
            <w:shd w:val="clear" w:color="auto" w:fill="auto"/>
            <w:vAlign w:val="center"/>
            <w:hideMark/>
          </w:tcPr>
          <w:p w14:paraId="18E0E344" w14:textId="77777777" w:rsidR="006226A8" w:rsidRPr="005C470C" w:rsidRDefault="00444B7F"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Conclusion</w:t>
            </w:r>
          </w:p>
        </w:tc>
        <w:tc>
          <w:tcPr>
            <w:tcW w:w="1418" w:type="dxa"/>
            <w:shd w:val="clear" w:color="auto" w:fill="auto"/>
            <w:vAlign w:val="center"/>
          </w:tcPr>
          <w:p w14:paraId="067B5C75" w14:textId="77777777" w:rsidR="006226A8" w:rsidRPr="005C470C" w:rsidRDefault="0062586C" w:rsidP="006226A8">
            <w:pPr>
              <w:jc w:val="center"/>
              <w:rPr>
                <w:rFonts w:ascii="Times New Roman" w:eastAsia="Times New Roman" w:hAnsi="Times New Roman" w:cs="Times New Roman"/>
                <w:b/>
                <w:bCs/>
                <w:sz w:val="20"/>
                <w:szCs w:val="20"/>
                <w:lang w:eastAsia="pt-BR"/>
              </w:rPr>
            </w:pPr>
            <w:r w:rsidRPr="005C470C">
              <w:rPr>
                <w:rFonts w:ascii="Times New Roman" w:eastAsia="Times New Roman" w:hAnsi="Times New Roman" w:cs="Times New Roman"/>
                <w:b/>
                <w:bCs/>
                <w:sz w:val="20"/>
                <w:szCs w:val="20"/>
                <w:lang w:eastAsia="pt-BR"/>
              </w:rPr>
              <w:t xml:space="preserve">Outcome </w:t>
            </w:r>
            <w:r w:rsidR="006226A8" w:rsidRPr="005C470C">
              <w:rPr>
                <w:rFonts w:ascii="Times New Roman" w:eastAsia="Times New Roman" w:hAnsi="Times New Roman" w:cs="Times New Roman"/>
                <w:b/>
                <w:bCs/>
                <w:sz w:val="20"/>
                <w:szCs w:val="20"/>
                <w:lang w:eastAsia="pt-BR"/>
              </w:rPr>
              <w:t>Recommende</w:t>
            </w:r>
            <w:r w:rsidRPr="005C470C">
              <w:rPr>
                <w:rFonts w:ascii="Times New Roman" w:eastAsia="Times New Roman" w:hAnsi="Times New Roman" w:cs="Times New Roman"/>
                <w:b/>
                <w:bCs/>
                <w:sz w:val="20"/>
                <w:szCs w:val="20"/>
                <w:lang w:eastAsia="pt-BR"/>
              </w:rPr>
              <w:t>d</w:t>
            </w:r>
          </w:p>
        </w:tc>
      </w:tr>
      <w:tr w:rsidR="002914BB" w:rsidRPr="00114AF5" w14:paraId="73288497" w14:textId="77777777" w:rsidTr="00114AF5">
        <w:trPr>
          <w:trHeight w:val="2148"/>
        </w:trPr>
        <w:tc>
          <w:tcPr>
            <w:tcW w:w="1135" w:type="dxa"/>
            <w:shd w:val="clear" w:color="auto" w:fill="auto"/>
            <w:vAlign w:val="center"/>
            <w:hideMark/>
          </w:tcPr>
          <w:p w14:paraId="21D25B37" w14:textId="77777777" w:rsidR="006226A8" w:rsidRPr="00C53143"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Abdel Shaheed et al, 2019</w:t>
            </w:r>
            <w:r w:rsidR="00434FEC" w:rsidRPr="005C470C">
              <w:rPr>
                <w:rFonts w:ascii="Times New Roman" w:eastAsia="Times New Roman" w:hAnsi="Times New Roman" w:cs="Times New Roman"/>
                <w:sz w:val="20"/>
                <w:szCs w:val="20"/>
                <w:lang w:eastAsia="pt-BR"/>
              </w:rPr>
              <w:fldChar w:fldCharType="begin"/>
            </w:r>
            <w:r w:rsidR="00434FEC" w:rsidRPr="00C53143">
              <w:rPr>
                <w:rFonts w:ascii="Times New Roman" w:eastAsia="Times New Roman" w:hAnsi="Times New Roman" w:cs="Times New Roman"/>
                <w:sz w:val="20"/>
                <w:szCs w:val="20"/>
                <w:lang w:val="en-US" w:eastAsia="pt-BR"/>
              </w:rPr>
              <w:instrText xml:space="preserve"> ADDIN EN.CITE &lt;EndNote&gt;&lt;Cite&gt;&lt;Author&gt;Abdel Shaheed&lt;/Author&gt;&lt;Year&gt;2019&lt;/Year&gt;&lt;RecNum&gt;20828&lt;/RecNum&gt;&lt;DisplayText&gt;&lt;style face="superscript"&gt;1&lt;/style&gt;&lt;/DisplayText&gt;&lt;record&gt;&lt;rec-number&gt;20828&lt;/rec-number&gt;&lt;foreign-keys&gt;&lt;key app="EN" db-id="f5fv5a2shx52dqesxzmpffeqzt5ffxae2vev" timestamp="1607902489"&gt;20828&lt;/key&gt;&lt;/foreign-keys&gt;&lt;ref-type name="Journal Article"&gt;17&lt;/ref-type&gt;&lt;contributors&gt;&lt;authors&gt;&lt;author&gt;Abdel Shaheed, Christina&lt;/author&gt;&lt;author&gt;Maher, Christopher G&lt;/author&gt;&lt;author&gt;McLachlan, Andrew J&lt;/author&gt;&lt;/authors&gt;&lt;/contributors&gt;&lt;titles&gt;&lt;title&gt;Efficacy and Safety of Low-dose Codeine-containing Combination Analgesics for Pain&lt;/title&gt;&lt;secondary-title&gt;The Clinical journal of pain&lt;/secondary-title&gt;&lt;/titles&gt;&lt;periodical&gt;&lt;full-title&gt;The Clinical journal of pain&lt;/full-title&gt;&lt;/periodical&gt;&lt;pages&gt;836-843&lt;/pages&gt;&lt;volume&gt;35&lt;/volume&gt;&lt;number&gt;10&lt;/number&gt;&lt;dates&gt;&lt;year&gt;2019&lt;/year&gt;&lt;/dates&gt;&lt;isbn&gt;0749-8047&lt;/isbn&gt;&lt;urls&gt;&lt;/urls&gt;&lt;/record&gt;&lt;/Cite&gt;&lt;/EndNote&gt;</w:instrText>
            </w:r>
            <w:r w:rsidR="00434FEC" w:rsidRPr="005C470C">
              <w:rPr>
                <w:rFonts w:ascii="Times New Roman" w:eastAsia="Times New Roman" w:hAnsi="Times New Roman" w:cs="Times New Roman"/>
                <w:sz w:val="20"/>
                <w:szCs w:val="20"/>
                <w:lang w:eastAsia="pt-BR"/>
              </w:rPr>
              <w:fldChar w:fldCharType="separate"/>
            </w:r>
            <w:r w:rsidR="00434FEC" w:rsidRPr="005C470C">
              <w:rPr>
                <w:rFonts w:ascii="Times New Roman" w:eastAsia="Times New Roman" w:hAnsi="Times New Roman" w:cs="Times New Roman"/>
                <w:noProof/>
                <w:sz w:val="20"/>
                <w:szCs w:val="20"/>
                <w:vertAlign w:val="superscript"/>
                <w:lang w:val="en-US" w:eastAsia="pt-BR"/>
              </w:rPr>
              <w:t>1</w:t>
            </w:r>
            <w:r w:rsidR="00434FEC" w:rsidRPr="005C470C">
              <w:rPr>
                <w:rFonts w:ascii="Times New Roman" w:eastAsia="Times New Roman" w:hAnsi="Times New Roman" w:cs="Times New Roman"/>
                <w:sz w:val="20"/>
                <w:szCs w:val="20"/>
                <w:lang w:eastAsia="pt-BR"/>
              </w:rPr>
              <w:fldChar w:fldCharType="end"/>
            </w:r>
          </w:p>
          <w:p w14:paraId="3EFF2222" w14:textId="34B6343B" w:rsidR="00C53143" w:rsidRPr="005C470C" w:rsidRDefault="00C53143"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(Australia)</w:t>
            </w:r>
          </w:p>
        </w:tc>
        <w:tc>
          <w:tcPr>
            <w:tcW w:w="992" w:type="dxa"/>
            <w:shd w:val="clear" w:color="auto" w:fill="auto"/>
            <w:vAlign w:val="center"/>
            <w:hideMark/>
          </w:tcPr>
          <w:p w14:paraId="308D2022" w14:textId="77777777" w:rsid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The Clinical journal of pain</w:t>
            </w:r>
            <w:r>
              <w:rPr>
                <w:rFonts w:ascii="Times New Roman" w:eastAsia="Times New Roman" w:hAnsi="Times New Roman" w:cs="Times New Roman"/>
                <w:sz w:val="20"/>
                <w:szCs w:val="20"/>
                <w:lang w:val="en-US" w:eastAsia="pt-BR"/>
              </w:rPr>
              <w:t xml:space="preserve"> </w:t>
            </w:r>
          </w:p>
          <w:p w14:paraId="5CCD46F2" w14:textId="6F3DCA77" w:rsidR="006226A8" w:rsidRPr="00C53143" w:rsidRDefault="00C53143" w:rsidP="00C53143">
            <w:pPr>
              <w:jc w:val="cente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t>
            </w:r>
            <w:r w:rsidRPr="00C53143">
              <w:rPr>
                <w:rFonts w:ascii="Times New Roman" w:eastAsia="Times New Roman" w:hAnsi="Times New Roman" w:cs="Times New Roman"/>
                <w:sz w:val="20"/>
                <w:szCs w:val="20"/>
                <w:lang w:val="en-US" w:eastAsia="pt-BR"/>
              </w:rPr>
              <w:t>2.893)</w:t>
            </w:r>
          </w:p>
        </w:tc>
        <w:tc>
          <w:tcPr>
            <w:tcW w:w="1418" w:type="dxa"/>
            <w:shd w:val="clear" w:color="auto" w:fill="auto"/>
            <w:vAlign w:val="center"/>
            <w:hideMark/>
          </w:tcPr>
          <w:p w14:paraId="4A278E86" w14:textId="77777777" w:rsidR="006226A8" w:rsidRPr="00C53143" w:rsidRDefault="006226A8" w:rsidP="006226A8">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Dental Anesthesiology</w:t>
            </w:r>
          </w:p>
        </w:tc>
        <w:tc>
          <w:tcPr>
            <w:tcW w:w="1275" w:type="dxa"/>
            <w:shd w:val="clear" w:color="auto" w:fill="auto"/>
            <w:vAlign w:val="center"/>
            <w:hideMark/>
          </w:tcPr>
          <w:p w14:paraId="6A9397FF" w14:textId="5C93BB1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Efficacy of low-dose codeine combination analgesics and the available data on the safety with these medicines</w:t>
            </w:r>
          </w:p>
        </w:tc>
        <w:tc>
          <w:tcPr>
            <w:tcW w:w="1134" w:type="dxa"/>
            <w:shd w:val="clear" w:color="auto" w:fill="auto"/>
            <w:vAlign w:val="center"/>
            <w:hideMark/>
          </w:tcPr>
          <w:p w14:paraId="3B3B125D" w14:textId="6E551F79" w:rsidR="006226A8" w:rsidRPr="005C470C" w:rsidRDefault="00B16511" w:rsidP="006226A8">
            <w:pPr>
              <w:jc w:val="center"/>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t>Patients</w:t>
            </w:r>
            <w:r w:rsidRPr="005C470C">
              <w:rPr>
                <w:rFonts w:ascii="Times New Roman" w:eastAsia="Times New Roman" w:hAnsi="Times New Roman" w:cs="Times New Roman"/>
                <w:color w:val="000000"/>
                <w:sz w:val="20"/>
                <w:szCs w:val="20"/>
                <w:lang w:eastAsia="pt-BR"/>
              </w:rPr>
              <w:t xml:space="preserve"> </w:t>
            </w:r>
            <w:r w:rsidR="00C01468" w:rsidRPr="005C470C">
              <w:rPr>
                <w:rFonts w:ascii="Times New Roman" w:eastAsia="Times New Roman" w:hAnsi="Times New Roman" w:cs="Times New Roman"/>
                <w:color w:val="000000"/>
                <w:sz w:val="20"/>
                <w:szCs w:val="20"/>
                <w:lang w:eastAsia="pt-BR"/>
              </w:rPr>
              <w:t xml:space="preserve">with </w:t>
            </w:r>
            <w:r w:rsidR="006226A8" w:rsidRPr="005C470C">
              <w:rPr>
                <w:rFonts w:ascii="Times New Roman" w:eastAsia="Times New Roman" w:hAnsi="Times New Roman" w:cs="Times New Roman"/>
                <w:color w:val="000000"/>
                <w:sz w:val="20"/>
                <w:szCs w:val="20"/>
                <w:lang w:eastAsia="pt-BR"/>
              </w:rPr>
              <w:t>gingivitis</w:t>
            </w:r>
          </w:p>
        </w:tc>
        <w:tc>
          <w:tcPr>
            <w:tcW w:w="1276" w:type="dxa"/>
            <w:shd w:val="clear" w:color="auto" w:fill="auto"/>
            <w:vAlign w:val="center"/>
            <w:hideMark/>
          </w:tcPr>
          <w:p w14:paraId="643C55DF" w14:textId="5683DC5C"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 </w:t>
            </w:r>
            <w:r w:rsidR="00C01468" w:rsidRPr="005C470C">
              <w:rPr>
                <w:rFonts w:ascii="Times New Roman" w:eastAsia="Times New Roman" w:hAnsi="Times New Roman" w:cs="Times New Roman"/>
                <w:color w:val="000000"/>
                <w:sz w:val="20"/>
                <w:szCs w:val="20"/>
                <w:lang w:eastAsia="pt-BR"/>
              </w:rPr>
              <w:t xml:space="preserve">Therapeutic </w:t>
            </w:r>
            <w:r w:rsidRPr="005C470C">
              <w:rPr>
                <w:rFonts w:ascii="Times New Roman" w:eastAsia="Times New Roman" w:hAnsi="Times New Roman" w:cs="Times New Roman"/>
                <w:color w:val="000000"/>
                <w:sz w:val="20"/>
                <w:szCs w:val="20"/>
                <w:lang w:eastAsia="pt-BR"/>
              </w:rPr>
              <w:t>efficacy of probiotics</w:t>
            </w:r>
          </w:p>
        </w:tc>
        <w:tc>
          <w:tcPr>
            <w:tcW w:w="1418" w:type="dxa"/>
            <w:shd w:val="clear" w:color="auto" w:fill="auto"/>
            <w:vAlign w:val="center"/>
            <w:hideMark/>
          </w:tcPr>
          <w:p w14:paraId="79B72EEA" w14:textId="29010CE6"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Placebo </w:t>
            </w:r>
          </w:p>
        </w:tc>
        <w:tc>
          <w:tcPr>
            <w:tcW w:w="1275" w:type="dxa"/>
            <w:shd w:val="clear" w:color="auto" w:fill="auto"/>
            <w:vAlign w:val="center"/>
            <w:hideMark/>
          </w:tcPr>
          <w:p w14:paraId="038FBE39" w14:textId="68E4BCB2"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Gingival inflammatory parameters </w:t>
            </w:r>
          </w:p>
        </w:tc>
        <w:tc>
          <w:tcPr>
            <w:tcW w:w="1134" w:type="dxa"/>
            <w:shd w:val="clear" w:color="auto" w:fill="auto"/>
            <w:vAlign w:val="center"/>
            <w:hideMark/>
          </w:tcPr>
          <w:p w14:paraId="3C8143E2"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(n=8)</w:t>
            </w:r>
          </w:p>
        </w:tc>
        <w:tc>
          <w:tcPr>
            <w:tcW w:w="567" w:type="dxa"/>
            <w:shd w:val="clear" w:color="auto" w:fill="auto"/>
            <w:vAlign w:val="center"/>
            <w:hideMark/>
          </w:tcPr>
          <w:p w14:paraId="46161143"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57A12136" w14:textId="78B5B7B2" w:rsidR="006226A8" w:rsidRPr="005C470C" w:rsidRDefault="006226A8" w:rsidP="00726290">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b/>
                <w:bCs/>
                <w:color w:val="000000"/>
                <w:sz w:val="20"/>
                <w:szCs w:val="20"/>
                <w:lang w:val="en-US" w:eastAsia="pt-BR"/>
              </w:rPr>
              <w:t>Single dose</w:t>
            </w:r>
            <w:r w:rsidR="00BF136F"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pain relief in the 3</w:t>
            </w:r>
            <w:r w:rsidR="00BF136F" w:rsidRPr="005C470C">
              <w:rPr>
                <w:rFonts w:ascii="Times New Roman" w:eastAsia="Times New Roman" w:hAnsi="Times New Roman" w:cs="Times New Roman"/>
                <w:color w:val="000000"/>
                <w:sz w:val="20"/>
                <w:szCs w:val="20"/>
                <w:lang w:val="en-US" w:eastAsia="pt-BR"/>
              </w:rPr>
              <w:t>h</w:t>
            </w:r>
            <w:r w:rsidRPr="005C470C">
              <w:rPr>
                <w:rFonts w:ascii="Times New Roman" w:eastAsia="Times New Roman" w:hAnsi="Times New Roman" w:cs="Times New Roman"/>
                <w:color w:val="000000"/>
                <w:sz w:val="20"/>
                <w:szCs w:val="20"/>
                <w:lang w:val="en-US" w:eastAsia="pt-BR"/>
              </w:rPr>
              <w:t xml:space="preserve"> following administration for acute dental, post</w:t>
            </w:r>
            <w:r w:rsidR="00D9203A"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episiotomy and post</w:t>
            </w:r>
            <w:r w:rsidR="00D9203A"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orthopedic surgery pain</w:t>
            </w:r>
            <w:r w:rsidR="00BF136F" w:rsidRPr="005C470C">
              <w:rPr>
                <w:rFonts w:ascii="Times New Roman" w:eastAsia="Times New Roman" w:hAnsi="Times New Roman" w:cs="Times New Roman"/>
                <w:color w:val="000000"/>
                <w:sz w:val="20"/>
                <w:szCs w:val="20"/>
                <w:lang w:val="en-US" w:eastAsia="pt-BR"/>
              </w:rPr>
              <w:t>;</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b/>
                <w:bCs/>
                <w:color w:val="000000"/>
                <w:sz w:val="20"/>
                <w:szCs w:val="20"/>
                <w:lang w:val="en-US" w:eastAsia="pt-BR"/>
              </w:rPr>
              <w:t>Multiple doses</w:t>
            </w:r>
            <w:r w:rsidRPr="005C470C">
              <w:rPr>
                <w:rFonts w:ascii="Times New Roman" w:eastAsia="Times New Roman" w:hAnsi="Times New Roman" w:cs="Times New Roman"/>
                <w:color w:val="000000"/>
                <w:sz w:val="20"/>
                <w:szCs w:val="20"/>
                <w:lang w:val="en-US" w:eastAsia="pt-BR"/>
              </w:rPr>
              <w:t xml:space="preserve"> may provide moderate and more sustained benefit for chronic pain</w:t>
            </w:r>
            <w:r w:rsidR="00BF136F"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but data are largely lacking on the use of these medicines beyond 24</w:t>
            </w:r>
            <w:r w:rsidR="00BF136F" w:rsidRPr="005C470C">
              <w:rPr>
                <w:rFonts w:ascii="Times New Roman" w:eastAsia="Times New Roman" w:hAnsi="Times New Roman" w:cs="Times New Roman"/>
                <w:color w:val="000000"/>
                <w:sz w:val="20"/>
                <w:szCs w:val="20"/>
                <w:lang w:val="en-US" w:eastAsia="pt-BR"/>
              </w:rPr>
              <w:t>h</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B8407B5" w14:textId="17D9504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BF136F" w:rsidRPr="005C470C">
              <w:rPr>
                <w:rFonts w:ascii="Times New Roman" w:eastAsia="Times New Roman" w:hAnsi="Times New Roman" w:cs="Times New Roman"/>
                <w:color w:val="000000"/>
                <w:sz w:val="20"/>
                <w:szCs w:val="20"/>
                <w:lang w:val="en-US" w:eastAsia="pt-BR"/>
              </w:rPr>
              <w:t xml:space="preserve"> - Further research examining regular use of these medicines is needed with more emphasis on measuring potential harmful effects</w:t>
            </w:r>
            <w:r w:rsidR="00B0457E">
              <w:rPr>
                <w:rFonts w:ascii="Times New Roman" w:eastAsia="Times New Roman" w:hAnsi="Times New Roman" w:cs="Times New Roman"/>
                <w:color w:val="000000"/>
                <w:sz w:val="20"/>
                <w:szCs w:val="20"/>
                <w:lang w:val="en-US" w:eastAsia="pt-BR"/>
              </w:rPr>
              <w:t>.</w:t>
            </w:r>
          </w:p>
        </w:tc>
      </w:tr>
      <w:tr w:rsidR="002914BB" w:rsidRPr="005C470C" w14:paraId="77A00DB9" w14:textId="77777777" w:rsidTr="00114AF5">
        <w:trPr>
          <w:trHeight w:val="20"/>
        </w:trPr>
        <w:tc>
          <w:tcPr>
            <w:tcW w:w="1135" w:type="dxa"/>
            <w:shd w:val="clear" w:color="auto" w:fill="auto"/>
            <w:vAlign w:val="center"/>
            <w:hideMark/>
          </w:tcPr>
          <w:p w14:paraId="4AADA6EE"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Akram et al, 2020 (A)</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&lt;EndNote&gt;&lt;Cite&gt;&lt;Author&gt;Akram&lt;/Author&gt;&lt;Year&gt;2020&lt;/Year&gt;&lt;RecNum&gt;20825&lt;/RecNum&gt;&lt;DisplayText&gt;&lt;style face="superscript"&gt;2&lt;/style&gt;&lt;/DisplayText&gt;&lt;record&gt;&lt;rec-number&gt;20825&lt;/rec-number&gt;&lt;foreign-keys&gt;&lt;key app="EN" db-id="f5fv5a2shx52dqesxzmpffeqzt5ffxae2vev" timestamp="1607902489"&gt;20825&lt;/key&gt;&lt;/foreign-keys&gt;&lt;ref-type name="Journal Article"&gt;17&lt;/ref-type&gt;&lt;contributors&gt;&lt;authors&gt;&lt;author&gt;Akram, Zohaib&lt;/author&gt;&lt;author&gt;Shafqat, Syed Saad&lt;/author&gt;&lt;author&gt;Aati, Sultan&lt;/author&gt;&lt;author&gt;Kujan, Omar&lt;/author&gt;&lt;author&gt;Fawzy, Amr&lt;/author&gt;&lt;/authors&gt;&lt;/contributors&gt;&lt;titles&gt;&lt;title&gt;Clinical efficacy of probiotics in the treatment of gingivitis: A systematic review and meta‐analysis&lt;/title&gt;&lt;secondary-title&gt;Australian Dental Journal&lt;/secondary-title&gt;&lt;/titles&gt;&lt;periodical&gt;&lt;full-title&gt;Aust Dent J&lt;/full-title&gt;&lt;abbr-1&gt;Australian dental journal&lt;/abbr-1&gt;&lt;/periodical&gt;&lt;pages&gt;12-20&lt;/pages&gt;&lt;volume&gt;65&lt;/volume&gt;&lt;number&gt;1&lt;/number&gt;&lt;dates&gt;&lt;year&gt;2020&lt;/year&gt;&lt;/dates&gt;&lt;isbn&gt;0045-0421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2</w:t>
            </w:r>
            <w:r w:rsidR="0008652B" w:rsidRPr="005C470C">
              <w:rPr>
                <w:rFonts w:ascii="Times New Roman" w:eastAsia="Times New Roman" w:hAnsi="Times New Roman" w:cs="Times New Roman"/>
                <w:sz w:val="20"/>
                <w:szCs w:val="20"/>
                <w:lang w:eastAsia="pt-BR"/>
              </w:rPr>
              <w:fldChar w:fldCharType="end"/>
            </w:r>
          </w:p>
          <w:p w14:paraId="74738CE3" w14:textId="02E9E6E9" w:rsidR="00C53143" w:rsidRPr="005C470C"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(Australia)</w:t>
            </w:r>
          </w:p>
        </w:tc>
        <w:tc>
          <w:tcPr>
            <w:tcW w:w="992" w:type="dxa"/>
            <w:shd w:val="clear" w:color="auto" w:fill="auto"/>
            <w:vAlign w:val="center"/>
            <w:hideMark/>
          </w:tcPr>
          <w:p w14:paraId="1EB2DE0F"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Australian dental journal</w:t>
            </w:r>
          </w:p>
          <w:p w14:paraId="0FF0E05F" w14:textId="604BC24B" w:rsidR="00C53143"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(1.401)</w:t>
            </w:r>
          </w:p>
        </w:tc>
        <w:tc>
          <w:tcPr>
            <w:tcW w:w="1418" w:type="dxa"/>
            <w:shd w:val="clear" w:color="auto" w:fill="auto"/>
            <w:vAlign w:val="center"/>
            <w:hideMark/>
          </w:tcPr>
          <w:p w14:paraId="26DC5263"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6D516A71" w14:textId="65031FE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Effectiveness of probiotics (in any form) on gingival index (GI) and/or bleeding on probing (BOP) </w:t>
            </w:r>
          </w:p>
        </w:tc>
        <w:tc>
          <w:tcPr>
            <w:tcW w:w="1134" w:type="dxa"/>
            <w:shd w:val="clear" w:color="auto" w:fill="auto"/>
            <w:vAlign w:val="center"/>
            <w:hideMark/>
          </w:tcPr>
          <w:p w14:paraId="676D6004"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clinically diagnosed with gingivitis</w:t>
            </w:r>
          </w:p>
        </w:tc>
        <w:tc>
          <w:tcPr>
            <w:tcW w:w="1276" w:type="dxa"/>
            <w:shd w:val="clear" w:color="auto" w:fill="auto"/>
            <w:vAlign w:val="center"/>
            <w:hideMark/>
          </w:tcPr>
          <w:p w14:paraId="6A097A1A" w14:textId="543CFFC0"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Probiotics</w:t>
            </w:r>
          </w:p>
        </w:tc>
        <w:tc>
          <w:tcPr>
            <w:tcW w:w="1418" w:type="dxa"/>
            <w:shd w:val="clear" w:color="auto" w:fill="auto"/>
            <w:vAlign w:val="center"/>
            <w:hideMark/>
          </w:tcPr>
          <w:p w14:paraId="089E32EE" w14:textId="15CF57D7"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Placebo </w:t>
            </w:r>
          </w:p>
        </w:tc>
        <w:tc>
          <w:tcPr>
            <w:tcW w:w="1275" w:type="dxa"/>
            <w:shd w:val="clear" w:color="auto" w:fill="auto"/>
            <w:vAlign w:val="center"/>
            <w:hideMark/>
          </w:tcPr>
          <w:p w14:paraId="38149520"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Gingival index (GI) and/or bleeding on probing (BOP);</w:t>
            </w:r>
            <w:r w:rsidRPr="005C470C">
              <w:rPr>
                <w:rFonts w:ascii="Times New Roman" w:eastAsia="Times New Roman" w:hAnsi="Times New Roman" w:cs="Times New Roman"/>
                <w:color w:val="000000"/>
                <w:sz w:val="20"/>
                <w:szCs w:val="20"/>
                <w:lang w:val="en-US" w:eastAsia="pt-BR"/>
              </w:rPr>
              <w:br/>
              <w:t>Plaque index (PI)</w:t>
            </w:r>
          </w:p>
        </w:tc>
        <w:tc>
          <w:tcPr>
            <w:tcW w:w="1134" w:type="dxa"/>
            <w:shd w:val="clear" w:color="auto" w:fill="auto"/>
            <w:vAlign w:val="center"/>
            <w:hideMark/>
          </w:tcPr>
          <w:p w14:paraId="08A9BD1A"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Double-blind placebo-parallel RCTs (n=10)</w:t>
            </w:r>
          </w:p>
        </w:tc>
        <w:tc>
          <w:tcPr>
            <w:tcW w:w="567" w:type="dxa"/>
            <w:shd w:val="clear" w:color="auto" w:fill="auto"/>
            <w:vAlign w:val="center"/>
            <w:hideMark/>
          </w:tcPr>
          <w:p w14:paraId="72C84511"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80E86FA" w14:textId="36D155E7" w:rsidR="006226A8" w:rsidRPr="005C470C" w:rsidRDefault="009725F3"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w:t>
            </w:r>
            <w:r w:rsidR="006226A8" w:rsidRPr="005C470C">
              <w:rPr>
                <w:rFonts w:ascii="Times New Roman" w:eastAsia="Times New Roman" w:hAnsi="Times New Roman" w:cs="Times New Roman"/>
                <w:color w:val="000000"/>
                <w:sz w:val="20"/>
                <w:szCs w:val="20"/>
                <w:lang w:val="en-US" w:eastAsia="pt-BR"/>
              </w:rPr>
              <w:t xml:space="preserve"> outcomes of this review show weak evidence to support the use of probiotics in mildly reducing inflammatory periodontal parameters in gingivitis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05CEA94" w14:textId="243D185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9725F3" w:rsidRPr="005C470C">
              <w:rPr>
                <w:rFonts w:ascii="Times New Roman" w:eastAsia="Times New Roman" w:hAnsi="Times New Roman" w:cs="Times New Roman"/>
                <w:color w:val="000000"/>
                <w:sz w:val="20"/>
                <w:szCs w:val="20"/>
                <w:lang w:val="en-US" w:eastAsia="pt-BR"/>
              </w:rPr>
              <w:t xml:space="preserve"> </w:t>
            </w:r>
          </w:p>
        </w:tc>
      </w:tr>
      <w:tr w:rsidR="002914BB" w:rsidRPr="005C470C" w14:paraId="0B6FE2BF" w14:textId="77777777" w:rsidTr="00114AF5">
        <w:trPr>
          <w:trHeight w:val="20"/>
        </w:trPr>
        <w:tc>
          <w:tcPr>
            <w:tcW w:w="1135" w:type="dxa"/>
            <w:shd w:val="clear" w:color="auto" w:fill="auto"/>
            <w:vAlign w:val="center"/>
            <w:hideMark/>
          </w:tcPr>
          <w:p w14:paraId="1DC44445"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lastRenderedPageBreak/>
              <w:t>Akram et al, 2020 (B)</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&lt;EndNote&gt;&lt;Cite&gt;&lt;Author&gt;Akram&lt;/Author&gt;&lt;Year&gt;2020&lt;/Year&gt;&lt;RecNum&gt;21056&lt;/RecNum&gt;&lt;DisplayText&gt;&lt;style face="superscript"&gt;3&lt;/style&gt;&lt;/DisplayText&gt;&lt;record&gt;&lt;rec-number&gt;21056&lt;/rec-number&gt;&lt;foreign-keys&gt;&lt;key app="EN" db-id="f5fv5a2shx52dqesxzmpffeqzt5ffxae2vev" timestamp="1607904004"&gt;21056&lt;/key&gt;&lt;/foreign-keys&gt;&lt;ref-type name="Journal Article"&gt;17&lt;/ref-type&gt;&lt;contributors&gt;&lt;authors&gt;&lt;author&gt;Akram, Zohaib&lt;/author&gt;&lt;author&gt;Shafqat, Syed Saad&lt;/author&gt;&lt;author&gt;Niaz, Muhammad Omar&lt;/author&gt;&lt;author&gt;Raza, Anam&lt;/author&gt;&lt;author&gt;Naseem, Mustafa&lt;/author&gt;&lt;/authors&gt;&lt;/contributors&gt;&lt;titles&gt;&lt;title&gt;Clinical efficacy of photodynamic therapy and laser irradiation as an adjunct to open flap debridement in the treatment of chronic periodontitis: A systematic review and meta‐analysis&lt;/title&gt;&lt;secondary-title&gt;Photodermatology, photoimmunology &amp;amp; photomedicine&lt;/secondary-title&gt;&lt;/titles&gt;&lt;periodical&gt;&lt;full-title&gt;Photodermatology, photoimmunology &amp;amp; photomedicine&lt;/full-title&gt;&lt;/periodical&gt;&lt;pages&gt;3-13&lt;/pages&gt;&lt;volume&gt;36&lt;/volume&gt;&lt;number&gt;1&lt;/number&gt;&lt;dates&gt;&lt;year&gt;2020&lt;/year&gt;&lt;/dates&gt;&lt;isbn&gt;0905-4383&lt;/isbn&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3</w:t>
            </w:r>
            <w:r w:rsidR="0008652B" w:rsidRPr="005C470C">
              <w:rPr>
                <w:rFonts w:ascii="Times New Roman" w:eastAsia="Times New Roman" w:hAnsi="Times New Roman" w:cs="Times New Roman"/>
                <w:sz w:val="20"/>
                <w:szCs w:val="20"/>
                <w:lang w:val="en-US" w:eastAsia="pt-BR"/>
              </w:rPr>
              <w:fldChar w:fldCharType="end"/>
            </w:r>
          </w:p>
          <w:p w14:paraId="523B69DE" w14:textId="0D7BBDDF" w:rsidR="00C53143" w:rsidRPr="005C470C" w:rsidRDefault="00C53143"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(Australia)</w:t>
            </w:r>
          </w:p>
        </w:tc>
        <w:tc>
          <w:tcPr>
            <w:tcW w:w="992" w:type="dxa"/>
            <w:shd w:val="clear" w:color="auto" w:fill="auto"/>
            <w:vAlign w:val="center"/>
            <w:hideMark/>
          </w:tcPr>
          <w:p w14:paraId="2D26F923"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Photodermatology, photoimmunology &amp; photomedicine</w:t>
            </w:r>
          </w:p>
          <w:p w14:paraId="4C5946A2" w14:textId="2D3252CD" w:rsidR="00C53143"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(2.387)</w:t>
            </w:r>
          </w:p>
        </w:tc>
        <w:tc>
          <w:tcPr>
            <w:tcW w:w="1418" w:type="dxa"/>
            <w:shd w:val="clear" w:color="auto" w:fill="auto"/>
            <w:vAlign w:val="center"/>
            <w:hideMark/>
          </w:tcPr>
          <w:p w14:paraId="17F79EA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118E326E" w14:textId="56DBFFE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Efficacy of antimicrobial photodynamic therapy (aPDT) and laser irradiation (LI) as an adjunct to open flap debridement (OFD) in the treatment of chronic periodontitis</w:t>
            </w:r>
          </w:p>
        </w:tc>
        <w:tc>
          <w:tcPr>
            <w:tcW w:w="1134" w:type="dxa"/>
            <w:shd w:val="clear" w:color="auto" w:fill="auto"/>
            <w:vAlign w:val="center"/>
            <w:hideMark/>
          </w:tcPr>
          <w:p w14:paraId="17315D90" w14:textId="52A54FE1" w:rsidR="006226A8" w:rsidRPr="005C470C" w:rsidRDefault="00B16511" w:rsidP="006226A8">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t>Patients c</w:t>
            </w:r>
            <w:r w:rsidR="006226A8" w:rsidRPr="005C470C">
              <w:rPr>
                <w:rFonts w:ascii="Times New Roman" w:eastAsia="Times New Roman" w:hAnsi="Times New Roman" w:cs="Times New Roman"/>
                <w:color w:val="000000"/>
                <w:sz w:val="20"/>
                <w:szCs w:val="20"/>
                <w:lang w:val="en-US" w:eastAsia="pt-BR"/>
              </w:rPr>
              <w:t>linically diagnosed with moderate</w:t>
            </w:r>
            <w:r w:rsidR="002B4A3F"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severe chronic periodontitis without any age restrictions</w:t>
            </w:r>
          </w:p>
        </w:tc>
        <w:tc>
          <w:tcPr>
            <w:tcW w:w="1276" w:type="dxa"/>
            <w:shd w:val="clear" w:color="auto" w:fill="auto"/>
            <w:vAlign w:val="center"/>
            <w:hideMark/>
          </w:tcPr>
          <w:p w14:paraId="5BDF083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Either PDT or LI</w:t>
            </w:r>
          </w:p>
        </w:tc>
        <w:tc>
          <w:tcPr>
            <w:tcW w:w="1418" w:type="dxa"/>
            <w:shd w:val="clear" w:color="auto" w:fill="auto"/>
            <w:vAlign w:val="center"/>
            <w:hideMark/>
          </w:tcPr>
          <w:p w14:paraId="164C35CD"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Either PDT or LI, placebo, or no treatment</w:t>
            </w:r>
          </w:p>
        </w:tc>
        <w:tc>
          <w:tcPr>
            <w:tcW w:w="1275" w:type="dxa"/>
            <w:shd w:val="clear" w:color="auto" w:fill="auto"/>
            <w:vAlign w:val="center"/>
            <w:hideMark/>
          </w:tcPr>
          <w:p w14:paraId="04B8B5F2" w14:textId="11DE68E2"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Clinical </w:t>
            </w:r>
            <w:r w:rsidR="006226A8" w:rsidRPr="005C470C">
              <w:rPr>
                <w:rFonts w:ascii="Times New Roman" w:eastAsia="Times New Roman" w:hAnsi="Times New Roman" w:cs="Times New Roman"/>
                <w:color w:val="000000"/>
                <w:sz w:val="20"/>
                <w:szCs w:val="20"/>
                <w:lang w:val="en-US" w:eastAsia="pt-BR"/>
              </w:rPr>
              <w:t>attachment level gain;</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probing depth (PD)</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gingival recession (GR) depth reduction - with a minimum follow‐up of 4</w:t>
            </w:r>
            <w:r w:rsidR="00963C08" w:rsidRPr="005C470C">
              <w:rPr>
                <w:rFonts w:ascii="Times New Roman" w:eastAsia="Times New Roman" w:hAnsi="Times New Roman" w:cs="Times New Roman"/>
                <w:color w:val="000000"/>
                <w:sz w:val="20"/>
                <w:szCs w:val="20"/>
                <w:lang w:val="en-US" w:eastAsia="pt-BR"/>
              </w:rPr>
              <w:t>w</w:t>
            </w:r>
          </w:p>
        </w:tc>
        <w:tc>
          <w:tcPr>
            <w:tcW w:w="1134" w:type="dxa"/>
            <w:shd w:val="clear" w:color="auto" w:fill="auto"/>
            <w:vAlign w:val="center"/>
            <w:hideMark/>
          </w:tcPr>
          <w:p w14:paraId="3D28A86E"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 (n=6)</w:t>
            </w:r>
          </w:p>
        </w:tc>
        <w:tc>
          <w:tcPr>
            <w:tcW w:w="567" w:type="dxa"/>
            <w:shd w:val="clear" w:color="auto" w:fill="auto"/>
            <w:vAlign w:val="center"/>
            <w:hideMark/>
          </w:tcPr>
          <w:p w14:paraId="5BD2618C"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0F50CAE" w14:textId="06EA0AC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Only aPDT as an adjunct to OFD showed superior results for clinical periodontal parameters compared to OFD alone in the treatment of chronic periodontitis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3F43A5D"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5C470C" w14:paraId="72F5C2F0" w14:textId="77777777" w:rsidTr="00114AF5">
        <w:trPr>
          <w:trHeight w:val="20"/>
        </w:trPr>
        <w:tc>
          <w:tcPr>
            <w:tcW w:w="1135" w:type="dxa"/>
            <w:shd w:val="clear" w:color="auto" w:fill="auto"/>
            <w:vAlign w:val="center"/>
            <w:hideMark/>
          </w:tcPr>
          <w:p w14:paraId="052E9625" w14:textId="77777777" w:rsidR="006226A8" w:rsidRPr="00C53143" w:rsidRDefault="006226A8"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Al-Moraissi et al, 2020</w:t>
            </w:r>
            <w:r w:rsidR="0008652B" w:rsidRPr="005C470C">
              <w:rPr>
                <w:rFonts w:ascii="Times New Roman" w:eastAsia="Times New Roman" w:hAnsi="Times New Roman" w:cs="Times New Roman"/>
                <w:sz w:val="20"/>
                <w:szCs w:val="20"/>
                <w:lang w:eastAsia="pt-BR"/>
              </w:rPr>
              <w:fldChar w:fldCharType="begin"/>
            </w:r>
            <w:r w:rsidR="0008652B" w:rsidRPr="00C53143">
              <w:rPr>
                <w:rFonts w:ascii="Times New Roman" w:eastAsia="Times New Roman" w:hAnsi="Times New Roman" w:cs="Times New Roman"/>
                <w:sz w:val="20"/>
                <w:szCs w:val="20"/>
                <w:lang w:val="en-US" w:eastAsia="pt-BR"/>
              </w:rPr>
              <w:instrText xml:space="preserve"> ADDIN EN.CITE &lt;EndNote&gt;&lt;Cite&gt;&lt;Author&gt;Al-Moraissi&lt;/Author&gt;&lt;Year&gt;2020&lt;/Year&gt;&lt;RecNum&gt;20823&lt;/RecNum&gt;&lt;DisplayText&gt;&lt;style face="superscript"&gt;4&lt;/style&gt;&lt;/DisplayText&gt;&lt;record&gt;&lt;rec-number&gt;20823&lt;/rec-number&gt;&lt;foreign-keys&gt;&lt;key app="EN" db-id="f5fv5a2shx52dqesxzmpffeqzt5ffxae2vev" timestamp="1607902489"&gt;20823&lt;/key&gt;&lt;/foreign-keys&gt;&lt;ref-type name="Journal Article"&gt;17&lt;/ref-type&gt;&lt;contributors&gt;&lt;authors&gt;&lt;author&gt;Al-Moraissi, Essam Ahmed&lt;/author&gt;&lt;author&gt;Oginni, Fadekemi Olufunmilayo&lt;/author&gt;&lt;author&gt;Holkom, Mohammed Ali Mahyoub&lt;/author&gt;&lt;author&gt;Mohamed, Abdo Ahmed Saleh&lt;/author&gt;&lt;author&gt;Al-Sharani, Hesham Mohammed&lt;/author&gt;&lt;/authors&gt;&lt;/contributors&gt;&lt;titles&gt;&lt;title&gt;Tissue-engineered bone using mesenchymal stem cells versus conventional bone grafts in the regeneration of maxillary alveolar bone: A systematic review and meta-analysis&lt;/title&gt;&lt;secondary-title&gt;International Journal of Oral &amp;amp; Maxillofacial Implants&lt;/secondary-title&gt;&lt;/titles&gt;&lt;periodical&gt;&lt;full-title&gt;International Journal of Oral &amp;amp; Maxillofacial Implants&lt;/full-title&gt;&lt;/periodical&gt;&lt;volume&gt;35&lt;/volume&gt;&lt;number&gt;1&lt;/number&gt;&lt;dates&gt;&lt;year&gt;2020&lt;/year&gt;&lt;/dates&gt;&lt;isbn&gt;0882-2786&lt;/isbn&gt;&lt;urls&gt;&lt;/urls&gt;&lt;/record&gt;&lt;/Cite&gt;&lt;/EndNote&gt;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C53143">
              <w:rPr>
                <w:rFonts w:ascii="Times New Roman" w:eastAsia="Times New Roman" w:hAnsi="Times New Roman" w:cs="Times New Roman"/>
                <w:noProof/>
                <w:sz w:val="20"/>
                <w:szCs w:val="20"/>
                <w:vertAlign w:val="superscript"/>
                <w:lang w:val="en-US" w:eastAsia="pt-BR"/>
              </w:rPr>
              <w:t>4</w:t>
            </w:r>
            <w:r w:rsidR="0008652B" w:rsidRPr="005C470C">
              <w:rPr>
                <w:rFonts w:ascii="Times New Roman" w:eastAsia="Times New Roman" w:hAnsi="Times New Roman" w:cs="Times New Roman"/>
                <w:sz w:val="20"/>
                <w:szCs w:val="20"/>
                <w:lang w:eastAsia="pt-BR"/>
              </w:rPr>
              <w:fldChar w:fldCharType="end"/>
            </w:r>
          </w:p>
          <w:p w14:paraId="5E5A6E82" w14:textId="5048C7AB" w:rsidR="00C53143" w:rsidRPr="00C53143" w:rsidRDefault="00C53143"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(Yemen)</w:t>
            </w:r>
          </w:p>
        </w:tc>
        <w:tc>
          <w:tcPr>
            <w:tcW w:w="992" w:type="dxa"/>
            <w:shd w:val="clear" w:color="auto" w:fill="auto"/>
            <w:vAlign w:val="center"/>
            <w:hideMark/>
          </w:tcPr>
          <w:p w14:paraId="1E8B9EDA" w14:textId="77777777" w:rsidR="006226A8" w:rsidRPr="00C53143" w:rsidRDefault="00C53143" w:rsidP="006226A8">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International Journal of Oral &amp; Maxillofacial Implants</w:t>
            </w:r>
          </w:p>
          <w:p w14:paraId="4E4E691C" w14:textId="303CA365" w:rsidR="00C53143" w:rsidRPr="00C53143" w:rsidRDefault="00C53143" w:rsidP="006226A8">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(2.320)</w:t>
            </w:r>
          </w:p>
        </w:tc>
        <w:tc>
          <w:tcPr>
            <w:tcW w:w="1418" w:type="dxa"/>
            <w:shd w:val="clear" w:color="auto" w:fill="auto"/>
            <w:vAlign w:val="center"/>
            <w:hideMark/>
          </w:tcPr>
          <w:p w14:paraId="312348FD"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31B3E86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Compare tissue-engineered bone using mesenchymal stem cells (MSCs) and conventional bone grafts in terms of histomorphometric outcome, bone hained, and, implant failure in the atrophic maxilla</w:t>
            </w:r>
          </w:p>
        </w:tc>
        <w:tc>
          <w:tcPr>
            <w:tcW w:w="1134" w:type="dxa"/>
            <w:shd w:val="clear" w:color="auto" w:fill="auto"/>
            <w:vAlign w:val="center"/>
            <w:hideMark/>
          </w:tcPr>
          <w:p w14:paraId="5DE69C3D" w14:textId="715338B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with missing teeth and atrophic maxilla requiring rehabilitation of the anterior or posterior maxillary alveolar ridge before or at the time of placement of dental implants</w:t>
            </w:r>
          </w:p>
        </w:tc>
        <w:tc>
          <w:tcPr>
            <w:tcW w:w="1276" w:type="dxa"/>
            <w:shd w:val="clear" w:color="auto" w:fill="auto"/>
            <w:vAlign w:val="center"/>
            <w:hideMark/>
          </w:tcPr>
          <w:p w14:paraId="7304C98B" w14:textId="00DF4AF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Patients </w:t>
            </w:r>
            <w:r w:rsidR="00726290" w:rsidRPr="005C470C">
              <w:rPr>
                <w:rFonts w:ascii="Times New Roman" w:eastAsia="Times New Roman" w:hAnsi="Times New Roman" w:cs="Times New Roman"/>
                <w:color w:val="000000"/>
                <w:sz w:val="20"/>
                <w:szCs w:val="20"/>
                <w:lang w:val="en-US" w:eastAsia="pt-BR"/>
              </w:rPr>
              <w:t>u</w:t>
            </w:r>
            <w:r w:rsidRPr="005C470C">
              <w:rPr>
                <w:rFonts w:ascii="Times New Roman" w:eastAsia="Times New Roman" w:hAnsi="Times New Roman" w:cs="Times New Roman"/>
                <w:color w:val="000000"/>
                <w:sz w:val="20"/>
                <w:szCs w:val="20"/>
                <w:lang w:val="en-US" w:eastAsia="pt-BR"/>
              </w:rPr>
              <w:t>ndergoing maxillary alveolar bone augmentation utilizing tissue engineered bone using MSCs, coupled with simultaneous or delayed implant placement in the posterior and anterior maxilla</w:t>
            </w:r>
          </w:p>
        </w:tc>
        <w:tc>
          <w:tcPr>
            <w:tcW w:w="1418" w:type="dxa"/>
            <w:shd w:val="clear" w:color="auto" w:fill="auto"/>
            <w:vAlign w:val="center"/>
            <w:hideMark/>
          </w:tcPr>
          <w:p w14:paraId="19B4BD3A" w14:textId="200FCC1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Patients </w:t>
            </w:r>
            <w:r w:rsidR="00726290" w:rsidRPr="005C470C">
              <w:rPr>
                <w:rFonts w:ascii="Times New Roman" w:eastAsia="Times New Roman" w:hAnsi="Times New Roman" w:cs="Times New Roman"/>
                <w:color w:val="000000"/>
                <w:sz w:val="20"/>
                <w:szCs w:val="20"/>
                <w:lang w:val="en-US" w:eastAsia="pt-BR"/>
              </w:rPr>
              <w:t>u</w:t>
            </w:r>
            <w:r w:rsidRPr="005C470C">
              <w:rPr>
                <w:rFonts w:ascii="Times New Roman" w:eastAsia="Times New Roman" w:hAnsi="Times New Roman" w:cs="Times New Roman"/>
                <w:color w:val="000000"/>
                <w:sz w:val="20"/>
                <w:szCs w:val="20"/>
                <w:lang w:val="en-US" w:eastAsia="pt-BR"/>
              </w:rPr>
              <w:t>ndergoing bone augmentation using conventional bone grafts (autogenous, allogenic, xenograft, alloplastic or composite) with simultaneous or delayed implant placement in the anterior and posterior maxilla</w:t>
            </w:r>
          </w:p>
        </w:tc>
        <w:tc>
          <w:tcPr>
            <w:tcW w:w="1275" w:type="dxa"/>
            <w:shd w:val="clear" w:color="auto" w:fill="auto"/>
            <w:vAlign w:val="center"/>
            <w:hideMark/>
          </w:tcPr>
          <w:p w14:paraId="45CC2AEB"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Histomorphometric outcomes such as new bone formation, residual graft particles and connective tissue and implant survival rate</w:t>
            </w:r>
          </w:p>
        </w:tc>
        <w:tc>
          <w:tcPr>
            <w:tcW w:w="1134" w:type="dxa"/>
            <w:shd w:val="clear" w:color="auto" w:fill="auto"/>
            <w:vAlign w:val="center"/>
            <w:hideMark/>
          </w:tcPr>
          <w:p w14:paraId="449752D6"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(n=12)</w:t>
            </w:r>
          </w:p>
        </w:tc>
        <w:tc>
          <w:tcPr>
            <w:tcW w:w="567" w:type="dxa"/>
            <w:shd w:val="clear" w:color="auto" w:fill="auto"/>
            <w:vAlign w:val="center"/>
            <w:hideMark/>
          </w:tcPr>
          <w:p w14:paraId="7C51B0E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4FDAED1" w14:textId="5BABB98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is moderate to very low-quality evidence supporting the use of tissue engineered bone using MSC therapy for reconstruction of the atrophic maxillary alveolar ridge compared to control groups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3287AA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5C470C" w14:paraId="5749C566" w14:textId="77777777" w:rsidTr="00114AF5">
        <w:trPr>
          <w:trHeight w:val="3193"/>
        </w:trPr>
        <w:tc>
          <w:tcPr>
            <w:tcW w:w="1135" w:type="dxa"/>
            <w:shd w:val="clear" w:color="auto" w:fill="auto"/>
            <w:vAlign w:val="center"/>
            <w:hideMark/>
          </w:tcPr>
          <w:p w14:paraId="6C4AD7EA"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Alessandri-Boneti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&lt;EndNote&gt;&lt;Cite&gt;&lt;Author&gt;Alessandri-Bonetti&lt;/Author&gt;&lt;Year&gt;2019&lt;/Year&gt;&lt;RecNum&gt;20827&lt;/RecNum&gt;&lt;DisplayText&gt;&lt;style face="superscript"&gt;5&lt;/style&gt;&lt;/DisplayText&gt;&lt;record&gt;&lt;rec-number&gt;20827&lt;/rec-number&gt;&lt;foreign-keys&gt;&lt;key app="EN" db-id="f5fv5a2shx52dqesxzmpffeqzt5ffxae2vev" timestamp="1607902489"&gt;20827&lt;/key&gt;&lt;/foreign-keys&gt;&lt;ref-type name="Journal Article"&gt;17&lt;/ref-type&gt;&lt;contributors&gt;&lt;authors&gt;&lt;author&gt;Alessandri-Bonetti, Anna&lt;/author&gt;&lt;author&gt;Bortolotti, Francesco&lt;/author&gt;&lt;author&gt;Moreno-Hay, Isabel&lt;/author&gt;&lt;author&gt;Michelotti, Ambra&lt;/author&gt;&lt;author&gt;Cordaro, Massimo&lt;/author&gt;&lt;author&gt;Alessandri-Bonetti, Giulio&lt;/author&gt;&lt;author&gt;Okeson, Jeffrey P&lt;/author&gt;&lt;/authors&gt;&lt;/contributors&gt;&lt;titles&gt;&lt;title&gt;Effects of mandibular advancement device for obstructive sleep apnea on temporomandibular disorders: A systematic review and meta-analysis&lt;/title&gt;&lt;secondary-title&gt;Sleep Medicine Reviews&lt;/secondary-title&gt;&lt;/titles&gt;&lt;periodical&gt;&lt;full-title&gt;Sleep Medicine Reviews&lt;/full-title&gt;&lt;/periodical&gt;&lt;pages&gt;101211&lt;/pages&gt;&lt;volume&gt;48&lt;/volume&gt;&lt;dates&gt;&lt;year&gt;2019&lt;/year&gt;&lt;/dates&gt;&lt;isbn&gt;1087-0792&lt;/isbn&gt;&lt;urls&gt;&lt;/urls&gt;&lt;/record&gt;&lt;/Cite&gt;&lt;/EndNote&gt;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5</w:t>
            </w:r>
            <w:r w:rsidR="0008652B" w:rsidRPr="005C470C">
              <w:rPr>
                <w:rFonts w:ascii="Times New Roman" w:eastAsia="Times New Roman" w:hAnsi="Times New Roman" w:cs="Times New Roman"/>
                <w:sz w:val="20"/>
                <w:szCs w:val="20"/>
                <w:lang w:eastAsia="pt-BR"/>
              </w:rPr>
              <w:fldChar w:fldCharType="end"/>
            </w:r>
          </w:p>
          <w:p w14:paraId="5944579D" w14:textId="2C093F4E"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Italy</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2DE20790" w14:textId="7500799D" w:rsidR="006226A8" w:rsidRPr="00C53143" w:rsidRDefault="00C53143" w:rsidP="00C53143">
            <w:pPr>
              <w:jc w:val="cente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Sleep Medicine Reviews (</w:t>
            </w:r>
            <w:r w:rsidRPr="00C53143">
              <w:rPr>
                <w:rFonts w:ascii="Times New Roman" w:eastAsia="Times New Roman" w:hAnsi="Times New Roman" w:cs="Times New Roman"/>
                <w:sz w:val="20"/>
                <w:szCs w:val="20"/>
                <w:lang w:eastAsia="pt-BR"/>
              </w:rPr>
              <w:t>9.613</w:t>
            </w:r>
            <w:r>
              <w:rPr>
                <w:rFonts w:ascii="Times New Roman" w:eastAsia="Times New Roman" w:hAnsi="Times New Roman" w:cs="Times New Roman"/>
                <w:sz w:val="20"/>
                <w:szCs w:val="20"/>
                <w:lang w:eastAsia="pt-BR"/>
              </w:rPr>
              <w:t>)</w:t>
            </w:r>
          </w:p>
        </w:tc>
        <w:tc>
          <w:tcPr>
            <w:tcW w:w="1418" w:type="dxa"/>
            <w:shd w:val="clear" w:color="auto" w:fill="auto"/>
            <w:vAlign w:val="center"/>
            <w:hideMark/>
          </w:tcPr>
          <w:p w14:paraId="5348FDD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Medicine/Orofacial Pain</w:t>
            </w:r>
          </w:p>
        </w:tc>
        <w:tc>
          <w:tcPr>
            <w:tcW w:w="1275" w:type="dxa"/>
            <w:shd w:val="clear" w:color="auto" w:fill="auto"/>
            <w:vAlign w:val="center"/>
            <w:hideMark/>
          </w:tcPr>
          <w:p w14:paraId="324036B2" w14:textId="558FD0E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Evaluate the effects of Mandibular advancement devices (MADs) on prevalence of </w:t>
            </w:r>
            <w:r w:rsidR="00C01468" w:rsidRPr="005C470C">
              <w:rPr>
                <w:rFonts w:ascii="Times New Roman" w:eastAsia="Times New Roman" w:hAnsi="Times New Roman" w:cs="Times New Roman"/>
                <w:color w:val="000000"/>
                <w:sz w:val="20"/>
                <w:szCs w:val="20"/>
                <w:lang w:val="en-US" w:eastAsia="pt-BR"/>
              </w:rPr>
              <w:t>Temporomandibular Disorder (TMD)</w:t>
            </w:r>
            <w:r w:rsidRPr="005C470C">
              <w:rPr>
                <w:rFonts w:ascii="Times New Roman" w:eastAsia="Times New Roman" w:hAnsi="Times New Roman" w:cs="Times New Roman"/>
                <w:color w:val="000000"/>
                <w:sz w:val="20"/>
                <w:szCs w:val="20"/>
                <w:lang w:val="en-US" w:eastAsia="pt-BR"/>
              </w:rPr>
              <w:t xml:space="preserve"> signs and symptoms in adult </w:t>
            </w:r>
            <w:r w:rsidR="00C01468" w:rsidRPr="005C470C">
              <w:rPr>
                <w:rFonts w:ascii="Times New Roman" w:eastAsia="Times New Roman" w:hAnsi="Times New Roman" w:cs="Times New Roman"/>
                <w:color w:val="000000"/>
                <w:sz w:val="20"/>
                <w:szCs w:val="20"/>
                <w:lang w:val="en-US" w:eastAsia="pt-BR"/>
              </w:rPr>
              <w:t>obstructive sleep apnea (</w:t>
            </w:r>
            <w:r w:rsidRPr="005C470C">
              <w:rPr>
                <w:rFonts w:ascii="Times New Roman" w:eastAsia="Times New Roman" w:hAnsi="Times New Roman" w:cs="Times New Roman"/>
                <w:color w:val="000000"/>
                <w:sz w:val="20"/>
                <w:szCs w:val="20"/>
                <w:lang w:val="en-US" w:eastAsia="pt-BR"/>
              </w:rPr>
              <w:t>OSA</w:t>
            </w:r>
            <w:r w:rsidR="00C0146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patients</w:t>
            </w:r>
          </w:p>
        </w:tc>
        <w:tc>
          <w:tcPr>
            <w:tcW w:w="1134" w:type="dxa"/>
            <w:shd w:val="clear" w:color="auto" w:fill="auto"/>
            <w:vAlign w:val="center"/>
            <w:hideMark/>
          </w:tcPr>
          <w:p w14:paraId="647F069B" w14:textId="65046B4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Adult subjects (&gt;18y of age) seeking treatment for sleep apnea</w:t>
            </w:r>
          </w:p>
        </w:tc>
        <w:tc>
          <w:tcPr>
            <w:tcW w:w="1276" w:type="dxa"/>
            <w:shd w:val="clear" w:color="auto" w:fill="auto"/>
            <w:vAlign w:val="center"/>
            <w:hideMark/>
          </w:tcPr>
          <w:p w14:paraId="782D4E22" w14:textId="67C84FD3"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Therapy </w:t>
            </w:r>
            <w:r w:rsidR="006226A8" w:rsidRPr="005C470C">
              <w:rPr>
                <w:rFonts w:ascii="Times New Roman" w:eastAsia="Times New Roman" w:hAnsi="Times New Roman" w:cs="Times New Roman"/>
                <w:color w:val="000000"/>
                <w:sz w:val="20"/>
                <w:szCs w:val="20"/>
                <w:lang w:eastAsia="pt-BR"/>
              </w:rPr>
              <w:t>with MAD</w:t>
            </w:r>
          </w:p>
        </w:tc>
        <w:tc>
          <w:tcPr>
            <w:tcW w:w="1418" w:type="dxa"/>
            <w:shd w:val="clear" w:color="auto" w:fill="auto"/>
            <w:vAlign w:val="center"/>
            <w:hideMark/>
          </w:tcPr>
          <w:p w14:paraId="7D1B68C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TMD or orofacial pain before and during therapy</w:t>
            </w:r>
          </w:p>
        </w:tc>
        <w:tc>
          <w:tcPr>
            <w:tcW w:w="1275" w:type="dxa"/>
            <w:shd w:val="clear" w:color="auto" w:fill="auto"/>
            <w:vAlign w:val="center"/>
            <w:hideMark/>
          </w:tcPr>
          <w:p w14:paraId="1F8FB95E"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TMD signs and symptoms</w:t>
            </w:r>
          </w:p>
        </w:tc>
        <w:tc>
          <w:tcPr>
            <w:tcW w:w="1134" w:type="dxa"/>
            <w:shd w:val="clear" w:color="auto" w:fill="auto"/>
            <w:vAlign w:val="center"/>
            <w:hideMark/>
          </w:tcPr>
          <w:p w14:paraId="67C71699" w14:textId="5B7E72A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(n=3)</w:t>
            </w:r>
            <w:r w:rsidR="006163BD"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prospective cohort studies (n=8)</w:t>
            </w:r>
            <w:r w:rsidR="006163BD"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and retrospective cohort study (n=1)</w:t>
            </w:r>
          </w:p>
        </w:tc>
        <w:tc>
          <w:tcPr>
            <w:tcW w:w="567" w:type="dxa"/>
            <w:shd w:val="clear" w:color="auto" w:fill="auto"/>
            <w:vAlign w:val="center"/>
            <w:hideMark/>
          </w:tcPr>
          <w:p w14:paraId="5BBAE869"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2C72F583" w14:textId="65FA207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w:t>
            </w:r>
            <w:r w:rsidR="00E31336" w:rsidRPr="005C470C">
              <w:rPr>
                <w:rFonts w:ascii="Times New Roman" w:eastAsia="Times New Roman" w:hAnsi="Times New Roman" w:cs="Times New Roman"/>
                <w:color w:val="000000"/>
                <w:sz w:val="20"/>
                <w:szCs w:val="20"/>
                <w:lang w:val="en-US" w:eastAsia="pt-BR"/>
              </w:rPr>
              <w:t xml:space="preserve">re </w:t>
            </w:r>
            <w:r w:rsidRPr="005C470C">
              <w:rPr>
                <w:rFonts w:ascii="Times New Roman" w:eastAsia="Times New Roman" w:hAnsi="Times New Roman" w:cs="Times New Roman"/>
                <w:color w:val="000000"/>
                <w:sz w:val="20"/>
                <w:szCs w:val="20"/>
                <w:lang w:val="en-US" w:eastAsia="pt-BR"/>
              </w:rPr>
              <w:t>is a moderate to low quality evidence that MAD therapy is not a risk factor for TMD signs and symptoms. Therefore, the presence of a TMD should not be considered a routine contraindication for the use of MADs in the management of OSA</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141759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114AF5" w14:paraId="60FB4FB3" w14:textId="77777777" w:rsidTr="00114AF5">
        <w:trPr>
          <w:trHeight w:val="20"/>
        </w:trPr>
        <w:tc>
          <w:tcPr>
            <w:tcW w:w="1135" w:type="dxa"/>
            <w:shd w:val="clear" w:color="auto" w:fill="auto"/>
            <w:vAlign w:val="center"/>
            <w:hideMark/>
          </w:tcPr>
          <w:p w14:paraId="42C3E865"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Bartolucci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&lt;EndNote&gt;&lt;Cite&gt;&lt;Author&gt;Bartolucci&lt;/Author&gt;&lt;Year&gt;2020&lt;/Year&gt;&lt;RecNum&gt;20822&lt;/RecNum&gt;&lt;DisplayText&gt;&lt;style face="superscript"&gt;6&lt;/style&gt;&lt;/DisplayText&gt;&lt;record&gt;&lt;rec-number&gt;20822&lt;/rec-number&gt;&lt;foreign-keys&gt;&lt;key app="EN" db-id="f5fv5a2shx52dqesxzmpffeqzt5ffxae2vev" timestamp="1607902489"&gt;20822&lt;/key&gt;&lt;/foreign-keys&gt;&lt;ref-type name="Journal Article"&gt;17&lt;/ref-type&gt;&lt;contributors&gt;&lt;authors&gt;&lt;author&gt;Bartolucci, Maria Lavinia&lt;/author&gt;&lt;author&gt;Bortolotti, Francesco&lt;/author&gt;&lt;author&gt;Corazza, Giulia&lt;/author&gt;&lt;author&gt;Incerti Parenti, Serena&lt;/author&gt;&lt;author&gt;Paganelli, Corrado&lt;/author&gt;&lt;author&gt;Alessandri Bonetti, Giulio&lt;/author&gt;&lt;/authors&gt;&lt;/contributors&gt;&lt;titles&gt;&lt;title&gt;Effectiveness of different mandibular advancement device designs in obstructive sleep apnoea therapy: A systematic review of randomised controlled trials with meta‐analysis&lt;/title&gt;&lt;secondary-title&gt;Journal of Oral Rehabilitation&lt;/secondary-title&gt;&lt;/titles&gt;&lt;periodical&gt;&lt;full-title&gt;J Oral Rehabil&lt;/full-title&gt;&lt;abbr-1&gt;Journal of oral rehabilitation&lt;/abbr-1&gt;&lt;/periodical&gt;&lt;dates&gt;&lt;year&gt;2020&lt;/year&gt;&lt;/dates&gt;&lt;isbn&gt;0305-182X&lt;/isbn&gt;&lt;urls&gt;&lt;/urls&gt;&lt;/record&gt;&lt;/Cite&gt;&lt;/EndNote&gt;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6</w:t>
            </w:r>
            <w:r w:rsidR="0008652B" w:rsidRPr="005C470C">
              <w:rPr>
                <w:rFonts w:ascii="Times New Roman" w:eastAsia="Times New Roman" w:hAnsi="Times New Roman" w:cs="Times New Roman"/>
                <w:sz w:val="20"/>
                <w:szCs w:val="20"/>
                <w:lang w:eastAsia="pt-BR"/>
              </w:rPr>
              <w:fldChar w:fldCharType="end"/>
            </w:r>
          </w:p>
          <w:p w14:paraId="4426D131" w14:textId="70B73278"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Italy</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2C748AA3"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oral rehabilitation</w:t>
            </w:r>
          </w:p>
          <w:p w14:paraId="2034174D" w14:textId="43FA2A83"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(2.304)</w:t>
            </w:r>
          </w:p>
        </w:tc>
        <w:tc>
          <w:tcPr>
            <w:tcW w:w="1418" w:type="dxa"/>
            <w:shd w:val="clear" w:color="auto" w:fill="auto"/>
            <w:vAlign w:val="center"/>
            <w:hideMark/>
          </w:tcPr>
          <w:p w14:paraId="096E97E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72C7265A" w14:textId="3B17BC73"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Effectiveness of different mandibular advancement devices (MADs) designs in apnea-hypopnea index (AHI) reduction and</w:t>
            </w:r>
            <w:r w:rsidR="00726290"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oxygen saturation improvement in obstructive</w:t>
            </w:r>
            <w:r w:rsidR="00726290"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sleep apnea (OSA) patients</w:t>
            </w:r>
          </w:p>
        </w:tc>
        <w:tc>
          <w:tcPr>
            <w:tcW w:w="1134" w:type="dxa"/>
            <w:shd w:val="clear" w:color="auto" w:fill="auto"/>
            <w:vAlign w:val="center"/>
            <w:hideMark/>
          </w:tcPr>
          <w:p w14:paraId="5D1740EE" w14:textId="20C63FC9"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Adult </w:t>
            </w:r>
            <w:r w:rsidR="006226A8" w:rsidRPr="005C470C">
              <w:rPr>
                <w:rFonts w:ascii="Times New Roman" w:eastAsia="Times New Roman" w:hAnsi="Times New Roman" w:cs="Times New Roman"/>
                <w:color w:val="000000"/>
                <w:sz w:val="20"/>
                <w:szCs w:val="20"/>
                <w:lang w:eastAsia="pt-BR"/>
              </w:rPr>
              <w:t>patients</w:t>
            </w:r>
          </w:p>
        </w:tc>
        <w:tc>
          <w:tcPr>
            <w:tcW w:w="1276" w:type="dxa"/>
            <w:shd w:val="clear" w:color="auto" w:fill="auto"/>
            <w:vAlign w:val="center"/>
            <w:hideMark/>
          </w:tcPr>
          <w:p w14:paraId="6022DC93" w14:textId="20A2F9CC"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Treated </w:t>
            </w:r>
            <w:r w:rsidR="006226A8" w:rsidRPr="005C470C">
              <w:rPr>
                <w:rFonts w:ascii="Times New Roman" w:eastAsia="Times New Roman" w:hAnsi="Times New Roman" w:cs="Times New Roman"/>
                <w:color w:val="000000"/>
                <w:sz w:val="20"/>
                <w:szCs w:val="20"/>
                <w:lang w:val="en-US" w:eastAsia="pt-BR"/>
              </w:rPr>
              <w:t>with customi</w:t>
            </w:r>
            <w:r w:rsidR="00E31336" w:rsidRPr="005C470C">
              <w:rPr>
                <w:rFonts w:ascii="Times New Roman" w:eastAsia="Times New Roman" w:hAnsi="Times New Roman" w:cs="Times New Roman"/>
                <w:color w:val="000000"/>
                <w:sz w:val="20"/>
                <w:szCs w:val="20"/>
                <w:lang w:val="en-US" w:eastAsia="pt-BR"/>
              </w:rPr>
              <w:t>z</w:t>
            </w:r>
            <w:r w:rsidR="006226A8" w:rsidRPr="005C470C">
              <w:rPr>
                <w:rFonts w:ascii="Times New Roman" w:eastAsia="Times New Roman" w:hAnsi="Times New Roman" w:cs="Times New Roman"/>
                <w:color w:val="000000"/>
                <w:sz w:val="20"/>
                <w:szCs w:val="20"/>
                <w:lang w:val="en-US" w:eastAsia="pt-BR"/>
              </w:rPr>
              <w:t>ed MADs for the treatment of OSA</w:t>
            </w:r>
          </w:p>
        </w:tc>
        <w:tc>
          <w:tcPr>
            <w:tcW w:w="1418" w:type="dxa"/>
            <w:shd w:val="clear" w:color="auto" w:fill="auto"/>
            <w:vAlign w:val="center"/>
            <w:hideMark/>
          </w:tcPr>
          <w:p w14:paraId="3474E5BE" w14:textId="22962E8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Placebo, either mono or duo-bloc MAD, not customi</w:t>
            </w:r>
            <w:r w:rsidR="006163BD" w:rsidRPr="005C470C">
              <w:rPr>
                <w:rFonts w:ascii="Times New Roman" w:eastAsia="Times New Roman" w:hAnsi="Times New Roman" w:cs="Times New Roman"/>
                <w:color w:val="000000"/>
                <w:sz w:val="20"/>
                <w:szCs w:val="20"/>
                <w:lang w:val="en-US" w:eastAsia="pt-BR"/>
              </w:rPr>
              <w:t>z</w:t>
            </w:r>
            <w:r w:rsidRPr="005C470C">
              <w:rPr>
                <w:rFonts w:ascii="Times New Roman" w:eastAsia="Times New Roman" w:hAnsi="Times New Roman" w:cs="Times New Roman"/>
                <w:color w:val="000000"/>
                <w:sz w:val="20"/>
                <w:szCs w:val="20"/>
                <w:lang w:val="en-US" w:eastAsia="pt-BR"/>
              </w:rPr>
              <w:t>ed MAD, CPAP, positional therapy, not titratable mono</w:t>
            </w:r>
            <w:r w:rsidR="00726290" w:rsidRPr="005C470C">
              <w:rPr>
                <w:rFonts w:ascii="Times New Roman" w:eastAsia="Times New Roman" w:hAnsi="Times New Roman" w:cs="Times New Roman"/>
                <w:color w:val="000000"/>
                <w:sz w:val="20"/>
                <w:szCs w:val="20"/>
                <w:lang w:val="en-US" w:eastAsia="pt-BR"/>
              </w:rPr>
              <w:t xml:space="preserve"> or duo</w:t>
            </w:r>
            <w:r w:rsidRPr="005C470C">
              <w:rPr>
                <w:rFonts w:ascii="Times New Roman" w:eastAsia="Times New Roman" w:hAnsi="Times New Roman" w:cs="Times New Roman"/>
                <w:color w:val="000000"/>
                <w:sz w:val="20"/>
                <w:szCs w:val="20"/>
                <w:lang w:val="en-US" w:eastAsia="pt-BR"/>
              </w:rPr>
              <w:t>-bloc</w:t>
            </w:r>
            <w:r w:rsidR="00726290" w:rsidRPr="005C470C">
              <w:rPr>
                <w:rFonts w:ascii="Times New Roman" w:eastAsia="Times New Roman" w:hAnsi="Times New Roman" w:cs="Times New Roman"/>
                <w:color w:val="000000"/>
                <w:sz w:val="20"/>
                <w:szCs w:val="20"/>
                <w:lang w:val="en-US" w:eastAsia="pt-BR"/>
              </w:rPr>
              <w:t xml:space="preserve"> w/ or w/o elastics</w:t>
            </w:r>
            <w:r w:rsidRPr="005C470C">
              <w:rPr>
                <w:rFonts w:ascii="Times New Roman" w:eastAsia="Times New Roman" w:hAnsi="Times New Roman" w:cs="Times New Roman"/>
                <w:color w:val="000000"/>
                <w:sz w:val="20"/>
                <w:szCs w:val="20"/>
                <w:lang w:val="en-US" w:eastAsia="pt-BR"/>
              </w:rPr>
              <w:t xml:space="preserve">, </w:t>
            </w:r>
            <w:r w:rsidR="00726290" w:rsidRPr="005C470C">
              <w:rPr>
                <w:rFonts w:ascii="Times New Roman" w:eastAsia="Times New Roman" w:hAnsi="Times New Roman" w:cs="Times New Roman"/>
                <w:color w:val="000000"/>
                <w:sz w:val="20"/>
                <w:szCs w:val="20"/>
                <w:lang w:val="en-US" w:eastAsia="pt-BR"/>
              </w:rPr>
              <w:t>t</w:t>
            </w:r>
            <w:r w:rsidRPr="005C470C">
              <w:rPr>
                <w:rFonts w:ascii="Times New Roman" w:eastAsia="Times New Roman" w:hAnsi="Times New Roman" w:cs="Times New Roman"/>
                <w:color w:val="000000"/>
                <w:sz w:val="20"/>
                <w:szCs w:val="20"/>
                <w:lang w:val="en-US" w:eastAsia="pt-BR"/>
              </w:rPr>
              <w:t xml:space="preserve">ongue </w:t>
            </w:r>
            <w:r w:rsidR="006163BD" w:rsidRPr="005C470C">
              <w:rPr>
                <w:rFonts w:ascii="Times New Roman" w:eastAsia="Times New Roman" w:hAnsi="Times New Roman" w:cs="Times New Roman"/>
                <w:color w:val="000000"/>
                <w:sz w:val="20"/>
                <w:szCs w:val="20"/>
                <w:lang w:val="en-US" w:eastAsia="pt-BR"/>
              </w:rPr>
              <w:t>stabilizing</w:t>
            </w:r>
            <w:r w:rsidRPr="005C470C">
              <w:rPr>
                <w:rFonts w:ascii="Times New Roman" w:eastAsia="Times New Roman" w:hAnsi="Times New Roman" w:cs="Times New Roman"/>
                <w:color w:val="000000"/>
                <w:sz w:val="20"/>
                <w:szCs w:val="20"/>
                <w:lang w:val="en-US" w:eastAsia="pt-BR"/>
              </w:rPr>
              <w:t xml:space="preserve"> device, </w:t>
            </w:r>
            <w:r w:rsidR="00726290" w:rsidRPr="005C470C">
              <w:rPr>
                <w:rFonts w:ascii="Times New Roman" w:eastAsia="Times New Roman" w:hAnsi="Times New Roman" w:cs="Times New Roman"/>
                <w:color w:val="000000"/>
                <w:sz w:val="20"/>
                <w:szCs w:val="20"/>
                <w:lang w:val="en-US" w:eastAsia="pt-BR"/>
              </w:rPr>
              <w:t>s</w:t>
            </w:r>
            <w:r w:rsidRPr="005C470C">
              <w:rPr>
                <w:rFonts w:ascii="Times New Roman" w:eastAsia="Times New Roman" w:hAnsi="Times New Roman" w:cs="Times New Roman"/>
                <w:color w:val="000000"/>
                <w:sz w:val="20"/>
                <w:szCs w:val="20"/>
                <w:lang w:val="en-US" w:eastAsia="pt-BR"/>
              </w:rPr>
              <w:t>urgery</w:t>
            </w:r>
          </w:p>
        </w:tc>
        <w:tc>
          <w:tcPr>
            <w:tcW w:w="1275" w:type="dxa"/>
            <w:shd w:val="clear" w:color="auto" w:fill="auto"/>
            <w:vAlign w:val="center"/>
            <w:hideMark/>
          </w:tcPr>
          <w:p w14:paraId="039E8AE9" w14:textId="3A66E22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AHI reduction and oxygen saturation improvement</w:t>
            </w:r>
          </w:p>
        </w:tc>
        <w:tc>
          <w:tcPr>
            <w:tcW w:w="1134" w:type="dxa"/>
            <w:shd w:val="clear" w:color="auto" w:fill="auto"/>
            <w:vAlign w:val="center"/>
            <w:hideMark/>
          </w:tcPr>
          <w:p w14:paraId="7443BAC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(n=50)</w:t>
            </w:r>
          </w:p>
        </w:tc>
        <w:tc>
          <w:tcPr>
            <w:tcW w:w="567" w:type="dxa"/>
            <w:shd w:val="clear" w:color="auto" w:fill="auto"/>
            <w:vAlign w:val="center"/>
            <w:hideMark/>
          </w:tcPr>
          <w:p w14:paraId="6562201D"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076EA0E" w14:textId="47BCC26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is a very low</w:t>
            </w:r>
            <w:r w:rsidR="006163BD"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quality body of evidence that mono-bloc MADs are more effective in reducing AHI and improving minimum oxygen saturation compared with duo-bloc MADs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CFDD5AD" w14:textId="2F7A102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E31336" w:rsidRPr="005C470C">
              <w:rPr>
                <w:rFonts w:ascii="Times New Roman" w:eastAsia="Times New Roman" w:hAnsi="Times New Roman" w:cs="Times New Roman"/>
                <w:color w:val="000000"/>
                <w:sz w:val="20"/>
                <w:szCs w:val="20"/>
                <w:lang w:val="en-US" w:eastAsia="pt-BR"/>
              </w:rPr>
              <w:t xml:space="preserve"> - Since the compliance plays a crucial role in the success of the therapy, it is important to produce further studies directly investigating different designs addressing both efficacy and compliance</w:t>
            </w:r>
            <w:r w:rsidR="00B0457E">
              <w:rPr>
                <w:rFonts w:ascii="Times New Roman" w:eastAsia="Times New Roman" w:hAnsi="Times New Roman" w:cs="Times New Roman"/>
                <w:color w:val="000000"/>
                <w:sz w:val="20"/>
                <w:szCs w:val="20"/>
                <w:lang w:val="en-US" w:eastAsia="pt-BR"/>
              </w:rPr>
              <w:t>.</w:t>
            </w:r>
          </w:p>
        </w:tc>
      </w:tr>
      <w:tr w:rsidR="002914BB" w:rsidRPr="00114AF5" w14:paraId="676EACF4" w14:textId="77777777" w:rsidTr="00114AF5">
        <w:trPr>
          <w:trHeight w:val="20"/>
        </w:trPr>
        <w:tc>
          <w:tcPr>
            <w:tcW w:w="1135" w:type="dxa"/>
            <w:shd w:val="clear" w:color="auto" w:fill="auto"/>
            <w:vAlign w:val="center"/>
            <w:hideMark/>
          </w:tcPr>
          <w:p w14:paraId="788F3142"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Bellini-Pereira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&lt;EndNote&gt;&lt;Cite&gt;&lt;Author&gt;Bellini-Pereira&lt;/Author&gt;&lt;Year&gt;2019&lt;/Year&gt;&lt;RecNum&gt;20826&lt;/RecNum&gt;&lt;DisplayText&gt;&lt;style face="superscript"&gt;7&lt;/style&gt;&lt;/DisplayText&gt;&lt;record&gt;&lt;rec-number&gt;20826&lt;/rec-number&gt;&lt;foreign-keys&gt;&lt;key app="EN" db-id="f5fv5a2shx52dqesxzmpffeqzt5ffxae2vev" timestamp="1607902489"&gt;20826&lt;/key&gt;&lt;/foreign-keys&gt;&lt;ref-type name="Journal Article"&gt;17&lt;/ref-type&gt;&lt;contributors&gt;&lt;authors&gt;&lt;author&gt;Bellini-Pereira, Silvio Augusto&lt;/author&gt;&lt;author&gt;Pupulim, Daniela Cubas&lt;/author&gt;&lt;author&gt;Aliaga-Del Castillo, Aron&lt;/author&gt;&lt;author&gt;Henriques, José Fernando Castanha&lt;/author&gt;&lt;author&gt;Janson, Guilherme&lt;/author&gt;&lt;/authors&gt;&lt;/contributors&gt;&lt;titles&gt;&lt;title&gt;Time of maxillary molar distalization with non-compliance intraoral distalizing appliances: a meta-analysis&lt;/title&gt;&lt;secondary-title&gt;European journal of orthodontics&lt;/secondary-title&gt;&lt;/titles&gt;&lt;periodical&gt;&lt;full-title&gt;Eur J Orthod&lt;/full-title&gt;&lt;abbr-1&gt;European journal of orthodontics&lt;/abbr-1&gt;&lt;/periodical&gt;&lt;pages&gt;652-660&lt;/pages&gt;&lt;volume&gt;41&lt;/volume&gt;&lt;number&gt;6&lt;/number&gt;&lt;dates&gt;&lt;year&gt;2019&lt;/year&gt;&lt;/dates&gt;&lt;isbn&gt;0141-5387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w:t>
            </w:r>
            <w:r w:rsidR="0008652B" w:rsidRPr="005C470C">
              <w:rPr>
                <w:rFonts w:ascii="Times New Roman" w:eastAsia="Times New Roman" w:hAnsi="Times New Roman" w:cs="Times New Roman"/>
                <w:sz w:val="20"/>
                <w:szCs w:val="20"/>
                <w:lang w:eastAsia="pt-BR"/>
              </w:rPr>
              <w:fldChar w:fldCharType="end"/>
            </w:r>
          </w:p>
          <w:p w14:paraId="242D632A" w14:textId="78B0122C"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6D0482DC"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European journal of orthodontics</w:t>
            </w:r>
          </w:p>
          <w:p w14:paraId="7C4213A0" w14:textId="00BEB31C" w:rsidR="00C53143"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(2.202)</w:t>
            </w:r>
          </w:p>
        </w:tc>
        <w:tc>
          <w:tcPr>
            <w:tcW w:w="1418" w:type="dxa"/>
            <w:shd w:val="clear" w:color="auto" w:fill="auto"/>
            <w:vAlign w:val="center"/>
            <w:hideMark/>
          </w:tcPr>
          <w:p w14:paraId="0DF7EB5F" w14:textId="77777777" w:rsidR="006226A8" w:rsidRPr="005C470C" w:rsidRDefault="006226A8" w:rsidP="00C53143">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Oral and Maxillofacial Surgery/Orthodontics and Dentofacial Orthopedics</w:t>
            </w:r>
          </w:p>
        </w:tc>
        <w:tc>
          <w:tcPr>
            <w:tcW w:w="1275" w:type="dxa"/>
            <w:shd w:val="clear" w:color="auto" w:fill="auto"/>
            <w:vAlign w:val="center"/>
            <w:hideMark/>
          </w:tcPr>
          <w:p w14:paraId="7B0D53EE" w14:textId="23CFB863"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Evaluate the distalization time with non-compliance intraoral distalizing appliances in patients with Class II malocclusion</w:t>
            </w:r>
          </w:p>
        </w:tc>
        <w:tc>
          <w:tcPr>
            <w:tcW w:w="1134" w:type="dxa"/>
            <w:shd w:val="clear" w:color="auto" w:fill="auto"/>
            <w:vAlign w:val="center"/>
            <w:hideMark/>
          </w:tcPr>
          <w:p w14:paraId="4959C90C" w14:textId="72E16CE7"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Patients </w:t>
            </w:r>
            <w:r w:rsidR="006226A8" w:rsidRPr="005C470C">
              <w:rPr>
                <w:rFonts w:ascii="Times New Roman" w:eastAsia="Times New Roman" w:hAnsi="Times New Roman" w:cs="Times New Roman"/>
                <w:sz w:val="20"/>
                <w:szCs w:val="20"/>
                <w:lang w:val="en-US" w:eastAsia="pt-BR"/>
              </w:rPr>
              <w:t>with Class II malocclusion</w:t>
            </w:r>
          </w:p>
        </w:tc>
        <w:tc>
          <w:tcPr>
            <w:tcW w:w="1276" w:type="dxa"/>
            <w:shd w:val="clear" w:color="auto" w:fill="auto"/>
            <w:vAlign w:val="center"/>
            <w:hideMark/>
          </w:tcPr>
          <w:p w14:paraId="1482A74E" w14:textId="5D893A6D"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Orthodontic </w:t>
            </w:r>
            <w:r w:rsidR="006226A8" w:rsidRPr="005C470C">
              <w:rPr>
                <w:rFonts w:ascii="Times New Roman" w:eastAsia="Times New Roman" w:hAnsi="Times New Roman" w:cs="Times New Roman"/>
                <w:sz w:val="20"/>
                <w:szCs w:val="20"/>
                <w:lang w:val="en-US" w:eastAsia="pt-BR"/>
              </w:rPr>
              <w:t>interventions with intraoral distalizers</w:t>
            </w:r>
          </w:p>
        </w:tc>
        <w:tc>
          <w:tcPr>
            <w:tcW w:w="1418" w:type="dxa"/>
            <w:shd w:val="clear" w:color="auto" w:fill="auto"/>
            <w:vAlign w:val="center"/>
            <w:hideMark/>
          </w:tcPr>
          <w:p w14:paraId="73591BE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NA</w:t>
            </w:r>
          </w:p>
        </w:tc>
        <w:tc>
          <w:tcPr>
            <w:tcW w:w="1275" w:type="dxa"/>
            <w:shd w:val="clear" w:color="auto" w:fill="auto"/>
            <w:vAlign w:val="center"/>
            <w:hideMark/>
          </w:tcPr>
          <w:p w14:paraId="3C911C9A" w14:textId="2A0A0BF1"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Mean </w:t>
            </w:r>
            <w:r w:rsidR="006226A8" w:rsidRPr="005C470C">
              <w:rPr>
                <w:rFonts w:ascii="Times New Roman" w:eastAsia="Times New Roman" w:hAnsi="Times New Roman" w:cs="Times New Roman"/>
                <w:color w:val="000000"/>
                <w:sz w:val="20"/>
                <w:szCs w:val="20"/>
                <w:lang w:val="en-US" w:eastAsia="pt-BR"/>
              </w:rPr>
              <w:t>duration of maxillary molar distalization, in</w:t>
            </w:r>
            <w:r w:rsidR="006226A8" w:rsidRPr="005C470C">
              <w:rPr>
                <w:rFonts w:ascii="Times New Roman" w:eastAsia="Times New Roman" w:hAnsi="Times New Roman" w:cs="Times New Roman"/>
                <w:color w:val="000000"/>
                <w:sz w:val="20"/>
                <w:szCs w:val="20"/>
                <w:lang w:val="en-US" w:eastAsia="pt-BR"/>
              </w:rPr>
              <w:br/>
              <w:t>months</w:t>
            </w:r>
          </w:p>
        </w:tc>
        <w:tc>
          <w:tcPr>
            <w:tcW w:w="1134" w:type="dxa"/>
            <w:shd w:val="clear" w:color="auto" w:fill="auto"/>
            <w:vAlign w:val="center"/>
            <w:hideMark/>
          </w:tcPr>
          <w:p w14:paraId="2603212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(n=2) and prospective non-randomized trials (n=7)</w:t>
            </w:r>
          </w:p>
        </w:tc>
        <w:tc>
          <w:tcPr>
            <w:tcW w:w="567" w:type="dxa"/>
            <w:shd w:val="clear" w:color="auto" w:fill="auto"/>
            <w:vAlign w:val="center"/>
            <w:hideMark/>
          </w:tcPr>
          <w:p w14:paraId="611AB904"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5938B9F9" w14:textId="323CFF0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Correction of a half-to-full cusp Class II molar relationship with</w:t>
            </w:r>
            <w:r w:rsidR="00E31336"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intraoral distalizers can be achieved in 8.34</w:t>
            </w:r>
            <w:r w:rsidR="00434FEC" w:rsidRPr="005C470C">
              <w:rPr>
                <w:rFonts w:ascii="Times New Roman" w:eastAsia="Times New Roman" w:hAnsi="Times New Roman" w:cs="Times New Roman"/>
                <w:color w:val="000000"/>
                <w:sz w:val="20"/>
                <w:szCs w:val="20"/>
                <w:lang w:val="en-US" w:eastAsia="pt-BR"/>
              </w:rPr>
              <w:t>mo</w:t>
            </w:r>
            <w:r w:rsidR="00E31336" w:rsidRPr="005C470C">
              <w:rPr>
                <w:rFonts w:ascii="Times New Roman" w:eastAsia="Times New Roman" w:hAnsi="Times New Roman" w:cs="Times New Roman"/>
                <w:color w:val="000000"/>
                <w:sz w:val="20"/>
                <w:szCs w:val="20"/>
                <w:lang w:val="en-US" w:eastAsia="pt-BR"/>
              </w:rPr>
              <w:t>;</w:t>
            </w:r>
            <w:r w:rsidR="00434FEC"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Distalization time may not be influenced by the type of anchorage</w:t>
            </w:r>
            <w:r w:rsidR="00E31336"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used, whether conventional or skeletal</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0437865" w14:textId="78CB81B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E31336" w:rsidRPr="005C470C">
              <w:rPr>
                <w:rFonts w:ascii="Times New Roman" w:eastAsia="Times New Roman" w:hAnsi="Times New Roman" w:cs="Times New Roman"/>
                <w:color w:val="000000"/>
                <w:sz w:val="20"/>
                <w:szCs w:val="20"/>
                <w:lang w:val="en-US" w:eastAsia="pt-BR"/>
              </w:rPr>
              <w:t xml:space="preserve"> - Further high-quality research is needed to increase robustness of the results</w:t>
            </w:r>
            <w:r w:rsidR="00B0457E">
              <w:rPr>
                <w:rFonts w:ascii="Times New Roman" w:eastAsia="Times New Roman" w:hAnsi="Times New Roman" w:cs="Times New Roman"/>
                <w:color w:val="000000"/>
                <w:sz w:val="20"/>
                <w:szCs w:val="20"/>
                <w:lang w:val="en-US" w:eastAsia="pt-BR"/>
              </w:rPr>
              <w:t>.</w:t>
            </w:r>
          </w:p>
        </w:tc>
      </w:tr>
      <w:tr w:rsidR="002914BB" w:rsidRPr="005C470C" w14:paraId="5B0F01F8" w14:textId="77777777" w:rsidTr="00114AF5">
        <w:trPr>
          <w:trHeight w:val="20"/>
        </w:trPr>
        <w:tc>
          <w:tcPr>
            <w:tcW w:w="1135" w:type="dxa"/>
            <w:shd w:val="clear" w:color="auto" w:fill="auto"/>
            <w:vAlign w:val="center"/>
            <w:hideMark/>
          </w:tcPr>
          <w:p w14:paraId="340F8D63"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Cabral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&lt;EndNote&gt;&lt;Cite&gt;&lt;Author&gt;Cabral&lt;/Author&gt;&lt;Year&gt;2019&lt;/Year&gt;&lt;RecNum&gt;20851&lt;/RecNum&gt;&lt;DisplayText&gt;&lt;style face="superscript"&gt;8&lt;/style&gt;&lt;/DisplayText&gt;&lt;record&gt;&lt;rec-number&gt;20851&lt;/rec-number&gt;&lt;foreign-keys&gt;&lt;key app="EN" db-id="f5fv5a2shx52dqesxzmpffeqzt5ffxae2vev" timestamp="1607902500"&gt;20851&lt;/key&gt;&lt;/foreign-keys&gt;&lt;ref-type name="Journal Article"&gt;17&lt;/ref-type&gt;&lt;contributors&gt;&lt;authors&gt;&lt;author&gt;Cabral, Luana Cardoso&lt;/author&gt;&lt;author&gt;Alves, Giovanna Morais&lt;/author&gt;&lt;author&gt;Furtado, Lair Mambrini&lt;/author&gt;&lt;author&gt;Neto, Alfredo Júlio Fernandes&lt;/author&gt;&lt;author&gt;Júnior, Paulo Cézar Simamoto&lt;/author&gt;&lt;/authors&gt;&lt;/contributors&gt;&lt;titles&gt;&lt;title&gt;Changes in mandibular and articular dynamics associated with surgical versus nonsurgical treatment of mandibular condylar fractures: a systematic review with meta-analysis&lt;/title&gt;&lt;secondary-title&gt;Oral Surgery, Oral Medicine, Oral Pathology and Oral Radiology&lt;/secondary-title&gt;&lt;/titles&gt;&lt;periodical&gt;&lt;full-title&gt;Oral Surgery, Oral Medicine, Oral Pathology and Oral Radiology&lt;/full-title&gt;&lt;/periodical&gt;&lt;dates&gt;&lt;year&gt;2019&lt;/year&gt;&lt;/dates&gt;&lt;isbn&gt;2212-4403&lt;/isbn&gt;&lt;urls&gt;&lt;/urls&gt;&lt;/record&gt;&lt;/Cite&gt;&lt;/EndNote&gt;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w:t>
            </w:r>
            <w:r w:rsidR="0008652B" w:rsidRPr="005C470C">
              <w:rPr>
                <w:rFonts w:ascii="Times New Roman" w:eastAsia="Times New Roman" w:hAnsi="Times New Roman" w:cs="Times New Roman"/>
                <w:sz w:val="20"/>
                <w:szCs w:val="20"/>
                <w:lang w:eastAsia="pt-BR"/>
              </w:rPr>
              <w:fldChar w:fldCharType="end"/>
            </w:r>
          </w:p>
          <w:p w14:paraId="1BEE0CFF" w14:textId="53AFE3DC"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6749FF02"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Oral Surgery, Oral Medicine, Oral Pathology and Oral Radiology</w:t>
            </w:r>
          </w:p>
          <w:p w14:paraId="16754BE3" w14:textId="1D356B38"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(1.601)</w:t>
            </w:r>
          </w:p>
        </w:tc>
        <w:tc>
          <w:tcPr>
            <w:tcW w:w="1418" w:type="dxa"/>
            <w:shd w:val="clear" w:color="auto" w:fill="auto"/>
            <w:vAlign w:val="center"/>
            <w:hideMark/>
          </w:tcPr>
          <w:p w14:paraId="2CECEE40"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187CDC3A" w14:textId="7F3842AD"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Evaluate </w:t>
            </w:r>
            <w:r w:rsidR="006226A8" w:rsidRPr="005C470C">
              <w:rPr>
                <w:rFonts w:ascii="Times New Roman" w:eastAsia="Times New Roman" w:hAnsi="Times New Roman" w:cs="Times New Roman"/>
                <w:sz w:val="20"/>
                <w:szCs w:val="20"/>
                <w:lang w:val="en-US" w:eastAsia="pt-BR"/>
              </w:rPr>
              <w:t>the mandibular and articular dynamics and the presence of complications associated with surgical (ORIF) or nonsurgical treatments (MMF) of mandibular condylar fractures</w:t>
            </w:r>
          </w:p>
        </w:tc>
        <w:tc>
          <w:tcPr>
            <w:tcW w:w="1134" w:type="dxa"/>
            <w:shd w:val="clear" w:color="auto" w:fill="auto"/>
            <w:vAlign w:val="center"/>
            <w:hideMark/>
          </w:tcPr>
          <w:p w14:paraId="091961C9" w14:textId="4D50D3AC"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Patients </w:t>
            </w:r>
            <w:r w:rsidR="006226A8" w:rsidRPr="005C470C">
              <w:rPr>
                <w:rFonts w:ascii="Times New Roman" w:eastAsia="Times New Roman" w:hAnsi="Times New Roman" w:cs="Times New Roman"/>
                <w:sz w:val="20"/>
                <w:szCs w:val="20"/>
                <w:lang w:val="en-US" w:eastAsia="pt-BR"/>
              </w:rPr>
              <w:t>with mandibular condyle fracture</w:t>
            </w:r>
          </w:p>
        </w:tc>
        <w:tc>
          <w:tcPr>
            <w:tcW w:w="1276" w:type="dxa"/>
            <w:shd w:val="clear" w:color="auto" w:fill="auto"/>
            <w:vAlign w:val="center"/>
            <w:hideMark/>
          </w:tcPr>
          <w:p w14:paraId="2DC8FECA" w14:textId="4B4EB864"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Open </w:t>
            </w:r>
            <w:r w:rsidR="006226A8" w:rsidRPr="005C470C">
              <w:rPr>
                <w:rFonts w:ascii="Times New Roman" w:eastAsia="Times New Roman" w:hAnsi="Times New Roman" w:cs="Times New Roman"/>
                <w:sz w:val="20"/>
                <w:szCs w:val="20"/>
                <w:lang w:val="en-US" w:eastAsia="pt-BR"/>
              </w:rPr>
              <w:t>treatment and internal fixation (ORIF)</w:t>
            </w:r>
          </w:p>
        </w:tc>
        <w:tc>
          <w:tcPr>
            <w:tcW w:w="1418" w:type="dxa"/>
            <w:shd w:val="clear" w:color="auto" w:fill="auto"/>
            <w:vAlign w:val="center"/>
            <w:hideMark/>
          </w:tcPr>
          <w:p w14:paraId="12E349A7" w14:textId="2604AADF" w:rsidR="006226A8" w:rsidRPr="005C470C" w:rsidRDefault="00C0146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 xml:space="preserve">Maxillomandibular </w:t>
            </w:r>
            <w:r w:rsidR="006226A8" w:rsidRPr="005C470C">
              <w:rPr>
                <w:rFonts w:ascii="Times New Roman" w:eastAsia="Times New Roman" w:hAnsi="Times New Roman" w:cs="Times New Roman"/>
                <w:sz w:val="20"/>
                <w:szCs w:val="20"/>
                <w:lang w:eastAsia="pt-BR"/>
              </w:rPr>
              <w:t>fixation (MMF)</w:t>
            </w:r>
          </w:p>
        </w:tc>
        <w:tc>
          <w:tcPr>
            <w:tcW w:w="1275" w:type="dxa"/>
            <w:shd w:val="clear" w:color="auto" w:fill="auto"/>
            <w:vAlign w:val="center"/>
            <w:hideMark/>
          </w:tcPr>
          <w:p w14:paraId="348D3CF9" w14:textId="7CDC8C0A"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Mandibular </w:t>
            </w:r>
            <w:r w:rsidR="006226A8" w:rsidRPr="005C470C">
              <w:rPr>
                <w:rFonts w:ascii="Times New Roman" w:eastAsia="Times New Roman" w:hAnsi="Times New Roman" w:cs="Times New Roman"/>
                <w:color w:val="000000"/>
                <w:sz w:val="20"/>
                <w:szCs w:val="20"/>
                <w:lang w:val="en-US" w:eastAsia="pt-BR"/>
              </w:rPr>
              <w:t>movement and articular movement and complications</w:t>
            </w:r>
          </w:p>
        </w:tc>
        <w:tc>
          <w:tcPr>
            <w:tcW w:w="1134" w:type="dxa"/>
            <w:shd w:val="clear" w:color="auto" w:fill="auto"/>
            <w:vAlign w:val="center"/>
            <w:hideMark/>
          </w:tcPr>
          <w:p w14:paraId="2968E3DE"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RCTs (n=9)</w:t>
            </w:r>
          </w:p>
        </w:tc>
        <w:tc>
          <w:tcPr>
            <w:tcW w:w="567" w:type="dxa"/>
            <w:shd w:val="clear" w:color="auto" w:fill="auto"/>
            <w:vAlign w:val="center"/>
            <w:hideMark/>
          </w:tcPr>
          <w:p w14:paraId="37FA7319"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E1E4972" w14:textId="690FD75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review suggests that MMF and ORIF are effective treatments options for condylar fractures of the mandible</w:t>
            </w:r>
            <w:r w:rsidR="0072629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w:t>
            </w:r>
            <w:r w:rsidR="00726290" w:rsidRPr="005C470C">
              <w:rPr>
                <w:rFonts w:ascii="Times New Roman" w:eastAsia="Times New Roman" w:hAnsi="Times New Roman" w:cs="Times New Roman"/>
                <w:color w:val="000000"/>
                <w:sz w:val="20"/>
                <w:szCs w:val="20"/>
                <w:lang w:val="en-US" w:eastAsia="pt-BR"/>
              </w:rPr>
              <w:t>ORIF:</w:t>
            </w:r>
            <w:r w:rsidRPr="005C470C">
              <w:rPr>
                <w:rFonts w:ascii="Times New Roman" w:eastAsia="Times New Roman" w:hAnsi="Times New Roman" w:cs="Times New Roman"/>
                <w:color w:val="000000"/>
                <w:sz w:val="20"/>
                <w:szCs w:val="20"/>
                <w:lang w:val="en-US" w:eastAsia="pt-BR"/>
              </w:rPr>
              <w:t xml:space="preserve"> higher objective parameters</w:t>
            </w:r>
            <w:r w:rsidR="0072629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w:t>
            </w:r>
            <w:r w:rsidR="00726290" w:rsidRPr="005C470C">
              <w:rPr>
                <w:rFonts w:ascii="Times New Roman" w:eastAsia="Times New Roman" w:hAnsi="Times New Roman" w:cs="Times New Roman"/>
                <w:color w:val="000000"/>
                <w:sz w:val="20"/>
                <w:szCs w:val="20"/>
                <w:lang w:val="en-US" w:eastAsia="pt-BR"/>
              </w:rPr>
              <w:t>MMF:</w:t>
            </w:r>
            <w:r w:rsidRPr="005C470C">
              <w:rPr>
                <w:rFonts w:ascii="Times New Roman" w:eastAsia="Times New Roman" w:hAnsi="Times New Roman" w:cs="Times New Roman"/>
                <w:color w:val="000000"/>
                <w:sz w:val="20"/>
                <w:szCs w:val="20"/>
                <w:lang w:val="en-US" w:eastAsia="pt-BR"/>
              </w:rPr>
              <w:t xml:space="preserve"> high index of complications, with associated complications such as malocclusion, pain, and deviation</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0AF45935" w14:textId="3CA9718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w:t>
            </w:r>
          </w:p>
        </w:tc>
      </w:tr>
      <w:tr w:rsidR="002914BB" w:rsidRPr="00114AF5" w14:paraId="28D2E1A4" w14:textId="77777777" w:rsidTr="00114AF5">
        <w:trPr>
          <w:trHeight w:val="4810"/>
        </w:trPr>
        <w:tc>
          <w:tcPr>
            <w:tcW w:w="1135" w:type="dxa"/>
            <w:shd w:val="clear" w:color="auto" w:fill="auto"/>
            <w:vAlign w:val="center"/>
            <w:hideMark/>
          </w:tcPr>
          <w:p w14:paraId="24D49A2C" w14:textId="77777777" w:rsidR="006226A8" w:rsidRPr="00C53143" w:rsidRDefault="006226A8"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lastRenderedPageBreak/>
              <w:t>Cacciatore et al, 2019</w:t>
            </w:r>
            <w:r w:rsidR="0008652B" w:rsidRPr="005C470C">
              <w:rPr>
                <w:rFonts w:ascii="Times New Roman" w:eastAsia="Times New Roman" w:hAnsi="Times New Roman" w:cs="Times New Roman"/>
                <w:sz w:val="20"/>
                <w:szCs w:val="20"/>
                <w:lang w:eastAsia="pt-BR"/>
              </w:rPr>
              <w:fldChar w:fldCharType="begin"/>
            </w:r>
            <w:r w:rsidR="0008652B" w:rsidRPr="00C53143">
              <w:rPr>
                <w:rFonts w:ascii="Times New Roman" w:eastAsia="Times New Roman" w:hAnsi="Times New Roman" w:cs="Times New Roman"/>
                <w:sz w:val="20"/>
                <w:szCs w:val="20"/>
                <w:lang w:val="en-US" w:eastAsia="pt-BR"/>
              </w:rPr>
              <w:instrText xml:space="preserve"> ADDIN EN.CITE &lt;EndNote&gt;&lt;Cite&gt;&lt;Author&gt;Cacciatore&lt;/Author&gt;&lt;Year&gt;2019&lt;/Year&gt;&lt;RecNum&gt;20850&lt;/RecNum&gt;&lt;DisplayText&gt;&lt;style face="superscript"&gt;9&lt;/style&gt;&lt;/DisplayText&gt;&lt;record&gt;&lt;rec-number&gt;20850&lt;/rec-number&gt;&lt;foreign-keys&gt;&lt;key app="EN" db-id="f5fv5a2shx52dqesxzmpffeqzt5ffxae2vev" timestamp="1607902500"&gt;20850&lt;/key&gt;&lt;/foreign-keys&gt;&lt;ref-type name="Journal Article"&gt;17&lt;/ref-type&gt;&lt;contributors&gt;&lt;authors&gt;&lt;author&gt;Cacciatore, Giorgio&lt;/author&gt;&lt;author&gt;Ugolini, Alessandro&lt;/author&gt;&lt;author&gt;Sforza, Chiarella&lt;/author&gt;&lt;author&gt;Gbinigie, Oghenekome&lt;/author&gt;&lt;author&gt;Plüddemann, Annette&lt;/author&gt;&lt;/authors&gt;&lt;/contributors&gt;&lt;titles&gt;&lt;title&gt;Long-term effects of functional appliances in treated versus untreated patients with Class II malocclusion: A systematic review and meta-analysis&lt;/title&gt;&lt;secondary-title&gt;PloS one&lt;/secondary-title&gt;&lt;/titles&gt;&lt;periodical&gt;&lt;full-title&gt;PloS one&lt;/full-title&gt;&lt;/periodical&gt;&lt;pages&gt;e0221624&lt;/pages&gt;&lt;volume&gt;14&lt;/volume&gt;&lt;number&gt;9&lt;/number&gt;&lt;dates&gt;&lt;year&gt;2019&lt;/year&gt;&lt;/dates&gt;&lt;isbn&gt;1932-6203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C53143">
              <w:rPr>
                <w:rFonts w:ascii="Times New Roman" w:eastAsia="Times New Roman" w:hAnsi="Times New Roman" w:cs="Times New Roman"/>
                <w:noProof/>
                <w:sz w:val="20"/>
                <w:szCs w:val="20"/>
                <w:vertAlign w:val="superscript"/>
                <w:lang w:val="en-US" w:eastAsia="pt-BR"/>
              </w:rPr>
              <w:t>9</w:t>
            </w:r>
            <w:r w:rsidR="0008652B" w:rsidRPr="005C470C">
              <w:rPr>
                <w:rFonts w:ascii="Times New Roman" w:eastAsia="Times New Roman" w:hAnsi="Times New Roman" w:cs="Times New Roman"/>
                <w:sz w:val="20"/>
                <w:szCs w:val="20"/>
                <w:lang w:eastAsia="pt-BR"/>
              </w:rPr>
              <w:fldChar w:fldCharType="end"/>
            </w:r>
          </w:p>
          <w:p w14:paraId="69CB7E61" w14:textId="37EC99E3" w:rsidR="00C53143" w:rsidRPr="00C53143" w:rsidRDefault="00C53143"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(United Kingdom)</w:t>
            </w:r>
          </w:p>
        </w:tc>
        <w:tc>
          <w:tcPr>
            <w:tcW w:w="992" w:type="dxa"/>
            <w:shd w:val="clear" w:color="auto" w:fill="auto"/>
            <w:vAlign w:val="center"/>
            <w:hideMark/>
          </w:tcPr>
          <w:p w14:paraId="434E3335"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PloS one</w:t>
            </w:r>
          </w:p>
          <w:p w14:paraId="3EBC2FAC" w14:textId="765760B8"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(2.740)</w:t>
            </w:r>
          </w:p>
        </w:tc>
        <w:tc>
          <w:tcPr>
            <w:tcW w:w="1418" w:type="dxa"/>
            <w:shd w:val="clear" w:color="auto" w:fill="auto"/>
            <w:vAlign w:val="center"/>
            <w:hideMark/>
          </w:tcPr>
          <w:p w14:paraId="547DAA8E"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7404F7F4" w14:textId="6F9C14BF"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assess the cephalometric skeletal and soft-tissue of functional appliances in treated versus untreated Class II subjects in the long-term (primarily at the end of growth, secondarily at least 3</w:t>
            </w:r>
            <w:r w:rsidR="00E31336" w:rsidRPr="005C470C">
              <w:rPr>
                <w:rFonts w:ascii="Times New Roman" w:eastAsia="Times New Roman" w:hAnsi="Times New Roman" w:cs="Times New Roman"/>
                <w:sz w:val="20"/>
                <w:szCs w:val="20"/>
                <w:lang w:val="en-US" w:eastAsia="pt-BR"/>
              </w:rPr>
              <w:t xml:space="preserve">y </w:t>
            </w:r>
            <w:r w:rsidRPr="005C470C">
              <w:rPr>
                <w:rFonts w:ascii="Times New Roman" w:eastAsia="Times New Roman" w:hAnsi="Times New Roman" w:cs="Times New Roman"/>
                <w:sz w:val="20"/>
                <w:szCs w:val="20"/>
                <w:lang w:val="en-US" w:eastAsia="pt-BR"/>
              </w:rPr>
              <w:t>after retention)</w:t>
            </w:r>
          </w:p>
        </w:tc>
        <w:tc>
          <w:tcPr>
            <w:tcW w:w="1134" w:type="dxa"/>
            <w:shd w:val="clear" w:color="auto" w:fill="auto"/>
            <w:vAlign w:val="center"/>
            <w:hideMark/>
          </w:tcPr>
          <w:p w14:paraId="7DA93AD5" w14:textId="5BEC165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Children and adolescents (aged 16</w:t>
            </w:r>
            <w:r w:rsidR="00E31336"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or under) receiving orthodontic treatment to correct Class II malocclusion; Active treatment with functional appliances had to be completed by the age of 16</w:t>
            </w:r>
            <w:r w:rsidR="00E31336" w:rsidRPr="005C470C">
              <w:rPr>
                <w:rFonts w:ascii="Times New Roman" w:eastAsia="Times New Roman" w:hAnsi="Times New Roman" w:cs="Times New Roman"/>
                <w:color w:val="000000"/>
                <w:sz w:val="20"/>
                <w:szCs w:val="20"/>
                <w:lang w:val="en-US" w:eastAsia="pt-BR"/>
              </w:rPr>
              <w:t>y</w:t>
            </w:r>
          </w:p>
        </w:tc>
        <w:tc>
          <w:tcPr>
            <w:tcW w:w="1276" w:type="dxa"/>
            <w:shd w:val="clear" w:color="auto" w:fill="auto"/>
            <w:vAlign w:val="center"/>
            <w:hideMark/>
          </w:tcPr>
          <w:p w14:paraId="6042EC7F" w14:textId="4F4BE3D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Any type of functional appliance, defined as a removable or fixed orthodontic appliance that postures the mandible forward; worn alone or in combination with multi-bracket therapy</w:t>
            </w:r>
            <w:r w:rsidR="00726290" w:rsidRPr="005C470C">
              <w:rPr>
                <w:rFonts w:ascii="Times New Roman" w:eastAsia="Times New Roman" w:hAnsi="Times New Roman" w:cs="Times New Roman"/>
                <w:color w:val="000000"/>
                <w:sz w:val="20"/>
                <w:szCs w:val="20"/>
                <w:lang w:val="en-US" w:eastAsia="pt-BR"/>
              </w:rPr>
              <w:t xml:space="preserve">; and </w:t>
            </w:r>
            <w:r w:rsidRPr="005C470C">
              <w:rPr>
                <w:rFonts w:ascii="Times New Roman" w:eastAsia="Times New Roman" w:hAnsi="Times New Roman" w:cs="Times New Roman"/>
                <w:color w:val="000000"/>
                <w:sz w:val="20"/>
                <w:szCs w:val="20"/>
                <w:lang w:val="en-US" w:eastAsia="pt-BR"/>
              </w:rPr>
              <w:t>worn for 6</w:t>
            </w:r>
            <w:r w:rsidR="00434FEC" w:rsidRPr="005C470C">
              <w:rPr>
                <w:rFonts w:ascii="Times New Roman" w:eastAsia="Times New Roman" w:hAnsi="Times New Roman" w:cs="Times New Roman"/>
                <w:color w:val="000000"/>
                <w:sz w:val="20"/>
                <w:szCs w:val="20"/>
                <w:lang w:val="en-US" w:eastAsia="pt-BR"/>
              </w:rPr>
              <w:t>mo</w:t>
            </w:r>
            <w:r w:rsidRPr="005C470C">
              <w:rPr>
                <w:rFonts w:ascii="Times New Roman" w:eastAsia="Times New Roman" w:hAnsi="Times New Roman" w:cs="Times New Roman"/>
                <w:color w:val="000000"/>
                <w:sz w:val="20"/>
                <w:szCs w:val="20"/>
                <w:lang w:val="en-US" w:eastAsia="pt-BR"/>
              </w:rPr>
              <w:t xml:space="preserve"> or longer</w:t>
            </w:r>
          </w:p>
        </w:tc>
        <w:tc>
          <w:tcPr>
            <w:tcW w:w="1418" w:type="dxa"/>
            <w:shd w:val="clear" w:color="auto" w:fill="auto"/>
            <w:vAlign w:val="center"/>
            <w:hideMark/>
          </w:tcPr>
          <w:p w14:paraId="0277AC5E" w14:textId="479B0BB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Untreated Class II subjects; Groups with similar ages at the commencement of the observational period (age differences between the treated and untreated groups less than 18</w:t>
            </w:r>
            <w:r w:rsidR="00434FEC" w:rsidRPr="005C470C">
              <w:rPr>
                <w:rFonts w:ascii="Times New Roman" w:eastAsia="Times New Roman" w:hAnsi="Times New Roman" w:cs="Times New Roman"/>
                <w:color w:val="000000"/>
                <w:sz w:val="20"/>
                <w:szCs w:val="20"/>
                <w:lang w:val="en-US" w:eastAsia="pt-BR"/>
              </w:rPr>
              <w:t>mo</w:t>
            </w:r>
            <w:r w:rsidRPr="005C470C">
              <w:rPr>
                <w:rFonts w:ascii="Times New Roman" w:eastAsia="Times New Roman" w:hAnsi="Times New Roman" w:cs="Times New Roman"/>
                <w:color w:val="000000"/>
                <w:sz w:val="20"/>
                <w:szCs w:val="20"/>
                <w:lang w:val="en-US" w:eastAsia="pt-BR"/>
              </w:rPr>
              <w:t>)</w:t>
            </w:r>
          </w:p>
        </w:tc>
        <w:tc>
          <w:tcPr>
            <w:tcW w:w="1275" w:type="dxa"/>
            <w:shd w:val="clear" w:color="auto" w:fill="auto"/>
            <w:vAlign w:val="center"/>
            <w:hideMark/>
          </w:tcPr>
          <w:p w14:paraId="441C38A9" w14:textId="362E2EF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Cephalometric skeletal measurements evaluating the antero-posterior position of the maxilla and mandible, the total mandibular length or length of its parts</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 xml:space="preserve">the mutual relationship between the jaws; Soft tissue changes </w:t>
            </w:r>
            <w:r w:rsidR="0072629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lips and chin</w:t>
            </w:r>
            <w:r w:rsidR="0072629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measured on lateral cephalograms</w:t>
            </w:r>
          </w:p>
        </w:tc>
        <w:tc>
          <w:tcPr>
            <w:tcW w:w="1134" w:type="dxa"/>
            <w:shd w:val="clear" w:color="auto" w:fill="auto"/>
            <w:vAlign w:val="center"/>
            <w:hideMark/>
          </w:tcPr>
          <w:p w14:paraId="09B6932D" w14:textId="24FABB14"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6226A8" w:rsidRPr="005C470C">
              <w:rPr>
                <w:rFonts w:ascii="Times New Roman" w:eastAsia="Times New Roman" w:hAnsi="Times New Roman" w:cs="Times New Roman"/>
                <w:color w:val="000000"/>
                <w:sz w:val="20"/>
                <w:szCs w:val="20"/>
                <w:lang w:val="en-US" w:eastAsia="pt-BR"/>
              </w:rPr>
              <w:t>on-</w:t>
            </w:r>
            <w:r w:rsidR="00726290" w:rsidRPr="005C470C">
              <w:rPr>
                <w:rFonts w:ascii="Times New Roman" w:eastAsia="Times New Roman" w:hAnsi="Times New Roman" w:cs="Times New Roman"/>
                <w:color w:val="000000"/>
                <w:sz w:val="20"/>
                <w:szCs w:val="20"/>
                <w:lang w:val="en-US" w:eastAsia="pt-BR"/>
              </w:rPr>
              <w:t>RCTs</w:t>
            </w:r>
            <w:r w:rsidR="006226A8" w:rsidRPr="005C470C">
              <w:rPr>
                <w:rFonts w:ascii="Times New Roman" w:eastAsia="Times New Roman" w:hAnsi="Times New Roman" w:cs="Times New Roman"/>
                <w:color w:val="000000"/>
                <w:sz w:val="20"/>
                <w:szCs w:val="20"/>
                <w:lang w:val="en-US" w:eastAsia="pt-BR"/>
              </w:rPr>
              <w:t xml:space="preserve"> (n=8 studies/ n=12 articles)</w:t>
            </w:r>
          </w:p>
        </w:tc>
        <w:tc>
          <w:tcPr>
            <w:tcW w:w="567" w:type="dxa"/>
            <w:shd w:val="clear" w:color="auto" w:fill="auto"/>
            <w:vAlign w:val="center"/>
            <w:hideMark/>
          </w:tcPr>
          <w:p w14:paraId="3C38DF6B"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CDFDCF1" w14:textId="75D4F89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Functional appliances, worn alone or in combination with multi-bracket therapy, may be effective in correcting skeletal Class II malocclusion in the long-term. The increase in the mandibular length may contribute to the improvement of the maxillo-mandibular relationship, although it brought about a negligible or non-significant improvement of the mandibular projection</w:t>
            </w:r>
            <w:r w:rsidR="00E31336" w:rsidRPr="005C470C">
              <w:rPr>
                <w:rFonts w:ascii="Times New Roman" w:eastAsia="Times New Roman" w:hAnsi="Times New Roman" w:cs="Times New Roman"/>
                <w:color w:val="000000"/>
                <w:sz w:val="20"/>
                <w:szCs w:val="20"/>
                <w:lang w:val="en-US" w:eastAsia="pt-BR"/>
              </w:rPr>
              <w:t>. The quality of evidence was ‘very low’ for most of the outcomes at both primary time points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32BF7EB" w14:textId="1FC5798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E31336" w:rsidRPr="005C470C">
              <w:rPr>
                <w:rFonts w:ascii="Times New Roman" w:eastAsia="Times New Roman" w:hAnsi="Times New Roman" w:cs="Times New Roman"/>
                <w:color w:val="000000"/>
                <w:sz w:val="20"/>
                <w:szCs w:val="20"/>
                <w:lang w:val="en-US" w:eastAsia="pt-BR"/>
              </w:rPr>
              <w:t xml:space="preserve"> - The clinical significance of these findings was limited. Further </w:t>
            </w:r>
            <w:r w:rsidR="00B16511">
              <w:rPr>
                <w:rFonts w:ascii="Times New Roman" w:eastAsia="Times New Roman" w:hAnsi="Times New Roman" w:cs="Times New Roman"/>
                <w:color w:val="000000"/>
                <w:sz w:val="20"/>
                <w:szCs w:val="20"/>
                <w:lang w:val="en-US" w:eastAsia="pt-BR"/>
              </w:rPr>
              <w:t>RCTs</w:t>
            </w:r>
            <w:r w:rsidR="00E31336" w:rsidRPr="005C470C">
              <w:rPr>
                <w:rFonts w:ascii="Times New Roman" w:eastAsia="Times New Roman" w:hAnsi="Times New Roman" w:cs="Times New Roman"/>
                <w:color w:val="000000"/>
                <w:sz w:val="20"/>
                <w:szCs w:val="20"/>
                <w:lang w:val="en-US" w:eastAsia="pt-BR"/>
              </w:rPr>
              <w:t xml:space="preserve"> evaluating clinically and patient important outcomes are needed to confirm or reject the findings of this review</w:t>
            </w:r>
            <w:r w:rsidR="00B0457E">
              <w:rPr>
                <w:rFonts w:ascii="Times New Roman" w:eastAsia="Times New Roman" w:hAnsi="Times New Roman" w:cs="Times New Roman"/>
                <w:color w:val="000000"/>
                <w:sz w:val="20"/>
                <w:szCs w:val="20"/>
                <w:lang w:val="en-US" w:eastAsia="pt-BR"/>
              </w:rPr>
              <w:t>.</w:t>
            </w:r>
          </w:p>
        </w:tc>
      </w:tr>
      <w:tr w:rsidR="002914BB" w:rsidRPr="00114AF5" w14:paraId="50070390" w14:textId="77777777" w:rsidTr="00114AF5">
        <w:trPr>
          <w:trHeight w:val="3224"/>
        </w:trPr>
        <w:tc>
          <w:tcPr>
            <w:tcW w:w="1135" w:type="dxa"/>
            <w:shd w:val="clear" w:color="auto" w:fill="auto"/>
            <w:vAlign w:val="center"/>
            <w:hideMark/>
          </w:tcPr>
          <w:p w14:paraId="281F9F6B"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Cai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&lt;EndNote&gt;&lt;Cite&gt;&lt;Author&gt;Cai&lt;/Author&gt;&lt;Year&gt;2020&lt;/Year&gt;&lt;RecNum&gt;20845&lt;/RecNum&gt;&lt;DisplayText&gt;&lt;style face="superscript"&gt;10&lt;/style&gt;&lt;/DisplayText&gt;&lt;record&gt;&lt;rec-number&gt;20845&lt;/rec-number&gt;&lt;foreign-keys&gt;&lt;key app="EN" db-id="f5fv5a2shx52dqesxzmpffeqzt5ffxae2vev" timestamp="1607902500"&gt;20845&lt;/key&gt;&lt;/foreign-keys&gt;&lt;ref-type name="Journal Article"&gt;17&lt;/ref-type&gt;&lt;contributors&gt;&lt;authors&gt;&lt;author&gt;Cai, He&lt;/author&gt;&lt;author&gt;Xi, Pengjun&lt;/author&gt;&lt;author&gt;Zhong, Linna&lt;/author&gt;&lt;author&gt;Chen, Junyu&lt;/author&gt;&lt;author&gt;Liang, Xing&lt;/author&gt;&lt;/authors&gt;&lt;/contributors&gt;&lt;titles&gt;&lt;title&gt;Efficacy of aromatherapy on dental anxiety: A systematic review of randomised and quasi‐randomised controlled trials&lt;/title&gt;&lt;secondary-title&gt;Oral Diseases&lt;/secondary-title&gt;&lt;/titles&gt;&lt;periodical&gt;&lt;full-title&gt;Oral Dis&lt;/full-title&gt;&lt;abbr-1&gt;Oral diseases&lt;/abbr-1&gt;&lt;/periodical&gt;&lt;dates&gt;&lt;year&gt;2020&lt;/year&gt;&lt;/dates&gt;&lt;isbn&gt;1354-523X&lt;/isbn&gt;&lt;urls&gt;&lt;/urls&gt;&lt;/record&gt;&lt;/Cite&gt;&lt;/EndNote&gt;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10</w:t>
            </w:r>
            <w:r w:rsidR="0008652B" w:rsidRPr="005C470C">
              <w:rPr>
                <w:rFonts w:ascii="Times New Roman" w:eastAsia="Times New Roman" w:hAnsi="Times New Roman" w:cs="Times New Roman"/>
                <w:sz w:val="20"/>
                <w:szCs w:val="20"/>
                <w:lang w:eastAsia="pt-BR"/>
              </w:rPr>
              <w:fldChar w:fldCharType="end"/>
            </w:r>
          </w:p>
          <w:p w14:paraId="3D27204D" w14:textId="023FE802"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(China)</w:t>
            </w:r>
          </w:p>
        </w:tc>
        <w:tc>
          <w:tcPr>
            <w:tcW w:w="992" w:type="dxa"/>
            <w:shd w:val="clear" w:color="auto" w:fill="auto"/>
            <w:vAlign w:val="center"/>
            <w:hideMark/>
          </w:tcPr>
          <w:p w14:paraId="74971A04"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Oral diseases</w:t>
            </w:r>
          </w:p>
          <w:p w14:paraId="210F0E01" w14:textId="110C76DF"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(2.613)</w:t>
            </w:r>
          </w:p>
        </w:tc>
        <w:tc>
          <w:tcPr>
            <w:tcW w:w="1418" w:type="dxa"/>
            <w:shd w:val="clear" w:color="auto" w:fill="auto"/>
            <w:vAlign w:val="center"/>
            <w:hideMark/>
          </w:tcPr>
          <w:p w14:paraId="599902A5"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Dental Anesthesiology</w:t>
            </w:r>
          </w:p>
        </w:tc>
        <w:tc>
          <w:tcPr>
            <w:tcW w:w="1275" w:type="dxa"/>
            <w:shd w:val="clear" w:color="auto" w:fill="auto"/>
            <w:vAlign w:val="center"/>
            <w:hideMark/>
          </w:tcPr>
          <w:p w14:paraId="5E075C51" w14:textId="263057AD"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Efficacy of aromatherapy on dental anxiety compared to negative</w:t>
            </w:r>
            <w:r w:rsidR="00726290"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control without aromatherapy or other positive non-aromatherapy</w:t>
            </w:r>
            <w:r w:rsidR="00726290"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interventions (e.g. music)</w:t>
            </w:r>
          </w:p>
        </w:tc>
        <w:tc>
          <w:tcPr>
            <w:tcW w:w="1134" w:type="dxa"/>
            <w:shd w:val="clear" w:color="auto" w:fill="auto"/>
            <w:vAlign w:val="center"/>
            <w:hideMark/>
          </w:tcPr>
          <w:p w14:paraId="5B6D6A3D" w14:textId="6A1885F4"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All </w:t>
            </w:r>
            <w:r w:rsidR="006226A8" w:rsidRPr="005C470C">
              <w:rPr>
                <w:rFonts w:ascii="Times New Roman" w:eastAsia="Times New Roman" w:hAnsi="Times New Roman" w:cs="Times New Roman"/>
                <w:color w:val="000000"/>
                <w:sz w:val="20"/>
                <w:szCs w:val="20"/>
                <w:lang w:val="en-US" w:eastAsia="pt-BR"/>
              </w:rPr>
              <w:t>the patients who would have dental treatments in dental clinics</w:t>
            </w:r>
          </w:p>
        </w:tc>
        <w:tc>
          <w:tcPr>
            <w:tcW w:w="1276" w:type="dxa"/>
            <w:shd w:val="clear" w:color="auto" w:fill="auto"/>
            <w:vAlign w:val="center"/>
            <w:hideMark/>
          </w:tcPr>
          <w:p w14:paraId="0F9185B2" w14:textId="7517C5A7"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The </w:t>
            </w:r>
            <w:r w:rsidR="006226A8" w:rsidRPr="005C470C">
              <w:rPr>
                <w:rFonts w:ascii="Times New Roman" w:eastAsia="Times New Roman" w:hAnsi="Times New Roman" w:cs="Times New Roman"/>
                <w:color w:val="000000"/>
                <w:sz w:val="20"/>
                <w:szCs w:val="20"/>
                <w:lang w:eastAsia="pt-BR"/>
              </w:rPr>
              <w:t>application of aromatherapy</w:t>
            </w:r>
          </w:p>
        </w:tc>
        <w:tc>
          <w:tcPr>
            <w:tcW w:w="1418" w:type="dxa"/>
            <w:shd w:val="clear" w:color="auto" w:fill="auto"/>
            <w:vAlign w:val="center"/>
            <w:hideMark/>
          </w:tcPr>
          <w:p w14:paraId="5CC2C7D7" w14:textId="4E6EB302"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w:t>
            </w:r>
            <w:r w:rsidR="006226A8" w:rsidRPr="005C470C">
              <w:rPr>
                <w:rFonts w:ascii="Times New Roman" w:eastAsia="Times New Roman" w:hAnsi="Times New Roman" w:cs="Times New Roman"/>
                <w:color w:val="000000"/>
                <w:sz w:val="20"/>
                <w:szCs w:val="20"/>
                <w:lang w:val="en-US" w:eastAsia="pt-BR"/>
              </w:rPr>
              <w:t>negative control condition without aromatherapy, or other positive non-aromatherapy managements for dental anxiety (e.g. music)</w:t>
            </w:r>
          </w:p>
        </w:tc>
        <w:tc>
          <w:tcPr>
            <w:tcW w:w="1275" w:type="dxa"/>
            <w:shd w:val="clear" w:color="auto" w:fill="auto"/>
            <w:vAlign w:val="center"/>
            <w:hideMark/>
          </w:tcPr>
          <w:p w14:paraId="37797C91" w14:textId="6328831C"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Both </w:t>
            </w:r>
            <w:r w:rsidR="006226A8" w:rsidRPr="005C470C">
              <w:rPr>
                <w:rFonts w:ascii="Times New Roman" w:eastAsia="Times New Roman" w:hAnsi="Times New Roman" w:cs="Times New Roman"/>
                <w:color w:val="000000"/>
                <w:sz w:val="20"/>
                <w:szCs w:val="20"/>
                <w:lang w:val="en-US" w:eastAsia="pt-BR"/>
              </w:rPr>
              <w:t>the physiological and psychological efficacy of applied interventions on dental anxiety</w:t>
            </w:r>
          </w:p>
        </w:tc>
        <w:tc>
          <w:tcPr>
            <w:tcW w:w="1134" w:type="dxa"/>
            <w:shd w:val="clear" w:color="auto" w:fill="auto"/>
            <w:vAlign w:val="center"/>
            <w:hideMark/>
          </w:tcPr>
          <w:p w14:paraId="4AAC8B03" w14:textId="3C2A8C4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 RCTs (n=11) and CCTs (n=6)</w:t>
            </w:r>
          </w:p>
        </w:tc>
        <w:tc>
          <w:tcPr>
            <w:tcW w:w="567" w:type="dxa"/>
            <w:shd w:val="clear" w:color="auto" w:fill="auto"/>
            <w:vAlign w:val="center"/>
            <w:hideMark/>
          </w:tcPr>
          <w:p w14:paraId="585DBEBE"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1F6B51E5" w14:textId="065218B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aromatherapy might be more effective to reduce dental anxiety compared to negative control condition without aromatherapy and has comparable effects on dental anxiety to music intervention. The most commonly used aromatherapy intervention for dental anxiety management is the lavender fragrance, followed by the orange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33193FB" w14:textId="168C00F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26290" w:rsidRPr="005C470C">
              <w:rPr>
                <w:rFonts w:ascii="Times New Roman" w:eastAsia="Times New Roman" w:hAnsi="Times New Roman" w:cs="Times New Roman"/>
                <w:color w:val="000000"/>
                <w:sz w:val="20"/>
                <w:szCs w:val="20"/>
                <w:lang w:val="en-US" w:eastAsia="pt-BR"/>
              </w:rPr>
              <w:t xml:space="preserve"> - due to the unclear/ moderate to high/serious risk of bias within studies and low/very-low-quality of existing evidence, firm conclu</w:t>
            </w:r>
            <w:r w:rsidR="002B4A3F" w:rsidRPr="005C470C">
              <w:rPr>
                <w:rFonts w:ascii="Times New Roman" w:eastAsia="Times New Roman" w:hAnsi="Times New Roman" w:cs="Times New Roman"/>
                <w:color w:val="000000"/>
                <w:sz w:val="20"/>
                <w:szCs w:val="20"/>
                <w:lang w:val="en-US" w:eastAsia="pt-BR"/>
              </w:rPr>
              <w:t>s</w:t>
            </w:r>
            <w:r w:rsidR="00726290" w:rsidRPr="005C470C">
              <w:rPr>
                <w:rFonts w:ascii="Times New Roman" w:eastAsia="Times New Roman" w:hAnsi="Times New Roman" w:cs="Times New Roman"/>
                <w:color w:val="000000"/>
                <w:sz w:val="20"/>
                <w:szCs w:val="20"/>
                <w:lang w:val="en-US" w:eastAsia="pt-BR"/>
              </w:rPr>
              <w:t>ions cannot be drawn</w:t>
            </w:r>
            <w:r w:rsidR="00B0457E">
              <w:rPr>
                <w:rFonts w:ascii="Times New Roman" w:eastAsia="Times New Roman" w:hAnsi="Times New Roman" w:cs="Times New Roman"/>
                <w:color w:val="000000"/>
                <w:sz w:val="20"/>
                <w:szCs w:val="20"/>
                <w:lang w:val="en-US" w:eastAsia="pt-BR"/>
              </w:rPr>
              <w:t>.</w:t>
            </w:r>
          </w:p>
        </w:tc>
      </w:tr>
      <w:tr w:rsidR="002914BB" w:rsidRPr="00114AF5" w14:paraId="2626E8A6" w14:textId="77777777" w:rsidTr="00114AF5">
        <w:trPr>
          <w:trHeight w:val="20"/>
        </w:trPr>
        <w:tc>
          <w:tcPr>
            <w:tcW w:w="1135" w:type="dxa"/>
            <w:shd w:val="clear" w:color="auto" w:fill="auto"/>
            <w:vAlign w:val="center"/>
            <w:hideMark/>
          </w:tcPr>
          <w:p w14:paraId="751E035A"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Cairo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&lt;EndNote&gt;&lt;Cite&gt;&lt;Author&gt;Cairo&lt;/Author&gt;&lt;Year&gt;2019&lt;/Year&gt;&lt;RecNum&gt;20849&lt;/RecNum&gt;&lt;DisplayText&gt;&lt;style face="superscript"&gt;11&lt;/style&gt;&lt;/DisplayText&gt;&lt;record&gt;&lt;rec-number&gt;20849&lt;/rec-number&gt;&lt;foreign-keys&gt;&lt;key app="EN" db-id="f5fv5a2shx52dqesxzmpffeqzt5ffxae2vev" timestamp="1607902500"&gt;20849&lt;/key&gt;&lt;/foreign-keys&gt;&lt;ref-type name="Journal Article"&gt;17&lt;/ref-type&gt;&lt;contributors&gt;&lt;authors&gt;&lt;author&gt;Cairo, Francesco&lt;/author&gt;&lt;author&gt;Barbato, Luigi&lt;/author&gt;&lt;author&gt;Selvaggi, Filippo&lt;/author&gt;&lt;author&gt;Baielli, Maria G&lt;/author&gt;&lt;author&gt;Piattelli, Adriano&lt;/author&gt;&lt;author&gt;Chambrone, Leandro&lt;/author&gt;&lt;/authors&gt;&lt;/contributors&gt;&lt;titles&gt;&lt;title&gt;Surgical procedures for soft tissue augmentation at implant sites. A systematic review and meta‐analysis of randomized controlled trials&lt;/title&gt;&lt;secondary-title&gt;Clinical Implant Dentistry and Related Research&lt;/secondary-title&gt;&lt;/titles&gt;&lt;periodical&gt;&lt;full-title&gt;Clinical Implant Dentistry and Related Research&lt;/full-title&gt;&lt;/periodical&gt;&lt;pages&gt;1262-1270&lt;/pages&gt;&lt;volume&gt;21&lt;/volume&gt;&lt;number&gt;6&lt;/number&gt;&lt;dates&gt;&lt;year&gt;2019&lt;/year&gt;&lt;/dates&gt;&lt;isbn&gt;1523-0899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11</w:t>
            </w:r>
            <w:r w:rsidR="0008652B" w:rsidRPr="005C470C">
              <w:rPr>
                <w:rFonts w:ascii="Times New Roman" w:eastAsia="Times New Roman" w:hAnsi="Times New Roman" w:cs="Times New Roman"/>
                <w:sz w:val="20"/>
                <w:szCs w:val="20"/>
                <w:lang w:eastAsia="pt-BR"/>
              </w:rPr>
              <w:fldChar w:fldCharType="end"/>
            </w:r>
          </w:p>
          <w:p w14:paraId="38207D0F" w14:textId="3CBD17FB"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(Italy)</w:t>
            </w:r>
          </w:p>
        </w:tc>
        <w:tc>
          <w:tcPr>
            <w:tcW w:w="992" w:type="dxa"/>
            <w:shd w:val="clear" w:color="auto" w:fill="auto"/>
            <w:vAlign w:val="center"/>
            <w:hideMark/>
          </w:tcPr>
          <w:p w14:paraId="177B59CC"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Clinical Implant Dentistry and Related Research</w:t>
            </w:r>
          </w:p>
          <w:p w14:paraId="516A88CE" w14:textId="5B6E2716"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(3.396)</w:t>
            </w:r>
          </w:p>
        </w:tc>
        <w:tc>
          <w:tcPr>
            <w:tcW w:w="1418" w:type="dxa"/>
            <w:shd w:val="clear" w:color="auto" w:fill="auto"/>
            <w:vAlign w:val="center"/>
            <w:hideMark/>
          </w:tcPr>
          <w:p w14:paraId="7F0F374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7CC9CEDF" w14:textId="77777777" w:rsidR="00726290"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u w:val="single"/>
                <w:lang w:val="en-US" w:eastAsia="pt-BR"/>
              </w:rPr>
              <w:t>Question 1:</w:t>
            </w:r>
            <w:r w:rsidRPr="005C470C">
              <w:rPr>
                <w:rFonts w:ascii="Times New Roman" w:eastAsia="Times New Roman" w:hAnsi="Times New Roman" w:cs="Times New Roman"/>
                <w:sz w:val="20"/>
                <w:szCs w:val="20"/>
                <w:lang w:val="en-US" w:eastAsia="pt-BR"/>
              </w:rPr>
              <w:t xml:space="preserve"> “What</w:t>
            </w:r>
            <w:r w:rsidRPr="005C470C">
              <w:rPr>
                <w:rFonts w:ascii="Times New Roman" w:eastAsia="Times New Roman" w:hAnsi="Times New Roman" w:cs="Times New Roman"/>
                <w:sz w:val="20"/>
                <w:szCs w:val="20"/>
                <w:lang w:val="en-US" w:eastAsia="pt-BR"/>
              </w:rPr>
              <w:br/>
              <w:t xml:space="preserve">is the clinical benefits of soft tissue augmentation procedure at implant sites in terms of thickness and height of keratinized tissue?”; </w:t>
            </w:r>
          </w:p>
          <w:p w14:paraId="05C97778" w14:textId="12D126CA"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u w:val="single"/>
                <w:lang w:val="en-US" w:eastAsia="pt-BR"/>
              </w:rPr>
              <w:t>Question 2:</w:t>
            </w:r>
            <w:r w:rsidRPr="005C470C">
              <w:rPr>
                <w:rFonts w:ascii="Times New Roman" w:eastAsia="Times New Roman" w:hAnsi="Times New Roman" w:cs="Times New Roman"/>
                <w:sz w:val="20"/>
                <w:szCs w:val="20"/>
                <w:lang w:val="en-US" w:eastAsia="pt-BR"/>
              </w:rPr>
              <w:t xml:space="preserve"> “Which is the best surgical </w:t>
            </w:r>
            <w:r w:rsidRPr="005C470C">
              <w:rPr>
                <w:rFonts w:ascii="Times New Roman" w:eastAsia="Times New Roman" w:hAnsi="Times New Roman" w:cs="Times New Roman"/>
                <w:sz w:val="20"/>
                <w:szCs w:val="20"/>
                <w:lang w:val="en-US" w:eastAsia="pt-BR"/>
              </w:rPr>
              <w:lastRenderedPageBreak/>
              <w:t>procedure to augment soft tissue?”</w:t>
            </w:r>
          </w:p>
        </w:tc>
        <w:tc>
          <w:tcPr>
            <w:tcW w:w="1134" w:type="dxa"/>
            <w:shd w:val="clear" w:color="auto" w:fill="auto"/>
            <w:vAlign w:val="center"/>
            <w:hideMark/>
          </w:tcPr>
          <w:p w14:paraId="1CF8D8B0"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Patients requiring soft tissue augmentation at implant site to augment keratinized tissue height/thickness for aesthetic purpose and/or functional reasons</w:t>
            </w:r>
          </w:p>
        </w:tc>
        <w:tc>
          <w:tcPr>
            <w:tcW w:w="1276" w:type="dxa"/>
            <w:shd w:val="clear" w:color="auto" w:fill="auto"/>
            <w:vAlign w:val="center"/>
            <w:hideMark/>
          </w:tcPr>
          <w:p w14:paraId="119DA43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Any type of surgical procedures to augment soft tissue at implant site.</w:t>
            </w:r>
          </w:p>
        </w:tc>
        <w:tc>
          <w:tcPr>
            <w:tcW w:w="1418" w:type="dxa"/>
            <w:shd w:val="clear" w:color="auto" w:fill="auto"/>
            <w:vAlign w:val="center"/>
            <w:hideMark/>
          </w:tcPr>
          <w:p w14:paraId="67B1A85F" w14:textId="30D7AEBB" w:rsidR="006226A8" w:rsidRPr="005C470C" w:rsidRDefault="00726290"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sz w:val="20"/>
                <w:szCs w:val="20"/>
                <w:u w:val="single"/>
                <w:lang w:val="en-US" w:eastAsia="pt-BR"/>
              </w:rPr>
              <w:t xml:space="preserve">Question </w:t>
            </w:r>
            <w:r w:rsidR="006226A8" w:rsidRPr="005C470C">
              <w:rPr>
                <w:rFonts w:ascii="Times New Roman" w:eastAsia="Times New Roman" w:hAnsi="Times New Roman" w:cs="Times New Roman"/>
                <w:color w:val="000000"/>
                <w:sz w:val="20"/>
                <w:szCs w:val="20"/>
                <w:u w:val="single"/>
                <w:lang w:val="en-US" w:eastAsia="pt-BR"/>
              </w:rPr>
              <w:t>1</w:t>
            </w:r>
            <w:r w:rsidR="00C01468" w:rsidRPr="005C470C">
              <w:rPr>
                <w:rFonts w:ascii="Times New Roman" w:eastAsia="Times New Roman" w:hAnsi="Times New Roman" w:cs="Times New Roman"/>
                <w:color w:val="000000"/>
                <w:sz w:val="20"/>
                <w:szCs w:val="20"/>
                <w:u w:val="single"/>
                <w:lang w:val="en-US" w:eastAsia="pt-BR"/>
              </w:rPr>
              <w:t>:</w:t>
            </w:r>
            <w:r w:rsidR="00C01468"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no augmentation procedure; </w:t>
            </w:r>
            <w:r w:rsidRPr="005C470C">
              <w:rPr>
                <w:rFonts w:ascii="Times New Roman" w:eastAsia="Times New Roman" w:hAnsi="Times New Roman" w:cs="Times New Roman"/>
                <w:sz w:val="20"/>
                <w:szCs w:val="20"/>
                <w:u w:val="single"/>
                <w:lang w:val="en-US" w:eastAsia="pt-BR"/>
              </w:rPr>
              <w:t xml:space="preserve">Question </w:t>
            </w:r>
            <w:r w:rsidR="006226A8" w:rsidRPr="005C470C">
              <w:rPr>
                <w:rFonts w:ascii="Times New Roman" w:eastAsia="Times New Roman" w:hAnsi="Times New Roman" w:cs="Times New Roman"/>
                <w:color w:val="000000"/>
                <w:sz w:val="20"/>
                <w:szCs w:val="20"/>
                <w:u w:val="single"/>
                <w:lang w:val="en-US" w:eastAsia="pt-BR"/>
              </w:rPr>
              <w:t>2</w:t>
            </w:r>
            <w:r w:rsidR="00C01468" w:rsidRPr="005C470C">
              <w:rPr>
                <w:rFonts w:ascii="Times New Roman" w:eastAsia="Times New Roman" w:hAnsi="Times New Roman" w:cs="Times New Roman"/>
                <w:color w:val="000000"/>
                <w:sz w:val="20"/>
                <w:szCs w:val="20"/>
                <w:u w:val="single"/>
                <w:lang w:val="en-US" w:eastAsia="pt-BR"/>
              </w:rPr>
              <w:t>:</w:t>
            </w:r>
            <w:r w:rsidR="006226A8" w:rsidRPr="005C470C">
              <w:rPr>
                <w:rFonts w:ascii="Times New Roman" w:eastAsia="Times New Roman" w:hAnsi="Times New Roman" w:cs="Times New Roman"/>
                <w:color w:val="000000"/>
                <w:sz w:val="20"/>
                <w:szCs w:val="20"/>
                <w:lang w:val="en-US" w:eastAsia="pt-BR"/>
              </w:rPr>
              <w:t xml:space="preserve"> any type of comparison between different techniques for soft tissue augmentation around dental implants </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including grafts or biomaterials</w:t>
            </w:r>
            <w:r w:rsidRPr="005C470C">
              <w:rPr>
                <w:rFonts w:ascii="Times New Roman" w:eastAsia="Times New Roman" w:hAnsi="Times New Roman" w:cs="Times New Roman"/>
                <w:color w:val="000000"/>
                <w:sz w:val="20"/>
                <w:szCs w:val="20"/>
                <w:lang w:val="en-US" w:eastAsia="pt-BR"/>
              </w:rPr>
              <w:t>)</w:t>
            </w:r>
          </w:p>
        </w:tc>
        <w:tc>
          <w:tcPr>
            <w:tcW w:w="1275" w:type="dxa"/>
            <w:shd w:val="clear" w:color="auto" w:fill="auto"/>
            <w:vAlign w:val="center"/>
            <w:hideMark/>
          </w:tcPr>
          <w:p w14:paraId="25952EE9" w14:textId="40A2D681" w:rsidR="006226A8" w:rsidRPr="005C470C" w:rsidRDefault="00726290"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w:t>
            </w:r>
            <w:r w:rsidR="006226A8" w:rsidRPr="005C470C">
              <w:rPr>
                <w:rFonts w:ascii="Times New Roman" w:eastAsia="Times New Roman" w:hAnsi="Times New Roman" w:cs="Times New Roman"/>
                <w:color w:val="000000"/>
                <w:sz w:val="20"/>
                <w:szCs w:val="20"/>
                <w:lang w:val="en-US" w:eastAsia="pt-BR"/>
              </w:rPr>
              <w:t>hanges in keratinized tissue thickness (STT) and keratinized tissue height (KT)</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implant survival (IS), marginal bone level (MBL) variation, aesthetic evaluation, patient </w:t>
            </w:r>
            <w:r w:rsidR="006226A8" w:rsidRPr="005C470C">
              <w:rPr>
                <w:rFonts w:ascii="Times New Roman" w:eastAsia="Times New Roman" w:hAnsi="Times New Roman" w:cs="Times New Roman"/>
                <w:color w:val="000000"/>
                <w:sz w:val="20"/>
                <w:szCs w:val="20"/>
                <w:lang w:val="en-US" w:eastAsia="pt-BR"/>
              </w:rPr>
              <w:lastRenderedPageBreak/>
              <w:t>satisfaction, and complications</w:t>
            </w:r>
          </w:p>
        </w:tc>
        <w:tc>
          <w:tcPr>
            <w:tcW w:w="1134" w:type="dxa"/>
            <w:shd w:val="clear" w:color="auto" w:fill="auto"/>
            <w:vAlign w:val="center"/>
            <w:hideMark/>
          </w:tcPr>
          <w:p w14:paraId="673577C9"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(n=14)</w:t>
            </w:r>
          </w:p>
        </w:tc>
        <w:tc>
          <w:tcPr>
            <w:tcW w:w="567" w:type="dxa"/>
            <w:shd w:val="clear" w:color="auto" w:fill="auto"/>
            <w:vAlign w:val="center"/>
            <w:hideMark/>
          </w:tcPr>
          <w:p w14:paraId="09413D61"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26DC602C" w14:textId="78390B6A" w:rsidR="006226A8" w:rsidRPr="005C470C" w:rsidRDefault="006226A8" w:rsidP="00726290">
            <w:pPr>
              <w:autoSpaceDE w:val="0"/>
              <w:autoSpaceDN w:val="0"/>
              <w:adjustRightInd w:val="0"/>
              <w:jc w:val="center"/>
              <w:rPr>
                <w:rFonts w:ascii="Times New Roman" w:hAnsi="Times New Roman" w:cs="Times New Roman"/>
                <w:sz w:val="18"/>
                <w:szCs w:val="18"/>
                <w:lang w:val="en-US"/>
              </w:rPr>
            </w:pPr>
            <w:r w:rsidRPr="005C470C">
              <w:rPr>
                <w:rFonts w:ascii="Times New Roman" w:eastAsia="Times New Roman" w:hAnsi="Times New Roman" w:cs="Times New Roman"/>
                <w:color w:val="000000"/>
                <w:sz w:val="20"/>
                <w:szCs w:val="20"/>
                <w:lang w:val="en-US" w:eastAsia="pt-BR"/>
              </w:rPr>
              <w:t>1. Soft tissue augmentation at implant sites provided significant increase of peri-implant soft tissue quantity at short-term observation;</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 xml:space="preserve">2. The add of </w:t>
            </w:r>
            <w:r w:rsidR="00726290" w:rsidRPr="005C470C">
              <w:rPr>
                <w:rFonts w:ascii="Times New Roman" w:eastAsia="Times New Roman" w:hAnsi="Times New Roman" w:cs="Times New Roman"/>
                <w:color w:val="000000"/>
                <w:sz w:val="20"/>
                <w:szCs w:val="20"/>
                <w:lang w:val="en-US" w:eastAsia="pt-BR"/>
              </w:rPr>
              <w:t xml:space="preserve">connective tissue graft (CTG) </w:t>
            </w:r>
            <w:r w:rsidRPr="005C470C">
              <w:rPr>
                <w:rFonts w:ascii="Times New Roman" w:eastAsia="Times New Roman" w:hAnsi="Times New Roman" w:cs="Times New Roman"/>
                <w:color w:val="000000"/>
                <w:sz w:val="20"/>
                <w:szCs w:val="20"/>
                <w:lang w:val="en-US" w:eastAsia="pt-BR"/>
              </w:rPr>
              <w:t>is associated with improved bone level stability at post extractive implants</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 xml:space="preserve">3. CTG </w:t>
            </w:r>
            <w:r w:rsidRPr="005C470C">
              <w:rPr>
                <w:rFonts w:ascii="Times New Roman" w:eastAsia="Times New Roman" w:hAnsi="Times New Roman" w:cs="Times New Roman"/>
                <w:color w:val="000000"/>
                <w:sz w:val="20"/>
                <w:szCs w:val="20"/>
                <w:lang w:val="en-US" w:eastAsia="pt-BR"/>
              </w:rPr>
              <w:lastRenderedPageBreak/>
              <w:t xml:space="preserve">is more effective that </w:t>
            </w:r>
            <w:r w:rsidR="00726290" w:rsidRPr="005C470C">
              <w:rPr>
                <w:rFonts w:ascii="Times New Roman" w:eastAsia="Times New Roman" w:hAnsi="Times New Roman" w:cs="Times New Roman"/>
                <w:color w:val="000000"/>
                <w:sz w:val="20"/>
                <w:szCs w:val="20"/>
                <w:lang w:val="en-US" w:eastAsia="pt-BR"/>
              </w:rPr>
              <w:t xml:space="preserve">xenogeneic collagen matrix </w:t>
            </w:r>
            <w:r w:rsidRPr="005C470C">
              <w:rPr>
                <w:rFonts w:ascii="Times New Roman" w:eastAsia="Times New Roman" w:hAnsi="Times New Roman" w:cs="Times New Roman"/>
                <w:color w:val="000000"/>
                <w:sz w:val="20"/>
                <w:szCs w:val="20"/>
                <w:lang w:val="en-US" w:eastAsia="pt-BR"/>
              </w:rPr>
              <w:t xml:space="preserve">to improve peri-implant soft tissue thickness before prosthetic treatment; </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4</w:t>
            </w:r>
            <w:r w:rsidR="00726290" w:rsidRPr="005C470C">
              <w:rPr>
                <w:rFonts w:ascii="Times New Roman" w:eastAsia="Times New Roman" w:hAnsi="Times New Roman" w:cs="Times New Roman"/>
                <w:color w:val="000000"/>
                <w:sz w:val="20"/>
                <w:szCs w:val="20"/>
                <w:lang w:val="en-US" w:eastAsia="pt-BR"/>
              </w:rPr>
              <w:t>. S</w:t>
            </w:r>
            <w:r w:rsidRPr="005C470C">
              <w:rPr>
                <w:rFonts w:ascii="Times New Roman" w:eastAsia="Times New Roman" w:hAnsi="Times New Roman" w:cs="Times New Roman"/>
                <w:color w:val="000000"/>
                <w:sz w:val="20"/>
                <w:szCs w:val="20"/>
                <w:lang w:val="en-US" w:eastAsia="pt-BR"/>
              </w:rPr>
              <w:t>hort-term follow-ups (</w:t>
            </w:r>
            <w:r w:rsidR="00726290" w:rsidRPr="005C470C">
              <w:rPr>
                <w:rFonts w:ascii="Times New Roman" w:eastAsia="Times New Roman" w:hAnsi="Times New Roman" w:cs="Times New Roman"/>
                <w:color w:val="000000"/>
                <w:sz w:val="20"/>
                <w:szCs w:val="20"/>
                <w:lang w:val="en-US" w:eastAsia="pt-BR"/>
              </w:rPr>
              <w:t>&lt;</w:t>
            </w:r>
            <w:r w:rsidRPr="005C470C">
              <w:rPr>
                <w:rFonts w:ascii="Times New Roman" w:eastAsia="Times New Roman" w:hAnsi="Times New Roman" w:cs="Times New Roman"/>
                <w:color w:val="000000"/>
                <w:sz w:val="20"/>
                <w:szCs w:val="20"/>
                <w:lang w:val="en-US" w:eastAsia="pt-BR"/>
              </w:rPr>
              <w:t>2</w:t>
            </w:r>
            <w:r w:rsidR="00726290"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and long-term benefit of soft tissue augmentation at implant site is not yet established</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F6238B8" w14:textId="4C33BF2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726290" w:rsidRPr="005C470C">
              <w:rPr>
                <w:rFonts w:ascii="Times New Roman" w:eastAsia="Times New Roman" w:hAnsi="Times New Roman" w:cs="Times New Roman"/>
                <w:color w:val="000000"/>
                <w:sz w:val="20"/>
                <w:szCs w:val="20"/>
                <w:lang w:val="en-US" w:eastAsia="pt-BR"/>
              </w:rPr>
              <w:t xml:space="preserve"> - Further RCTs should be designed to reduce potential methodological biases, as well as to include both clinical and patient-reported outcomes</w:t>
            </w:r>
            <w:r w:rsidR="00B0457E">
              <w:rPr>
                <w:rFonts w:ascii="Times New Roman" w:eastAsia="Times New Roman" w:hAnsi="Times New Roman" w:cs="Times New Roman"/>
                <w:color w:val="000000"/>
                <w:sz w:val="20"/>
                <w:szCs w:val="20"/>
                <w:lang w:val="en-US" w:eastAsia="pt-BR"/>
              </w:rPr>
              <w:t>.</w:t>
            </w:r>
          </w:p>
        </w:tc>
      </w:tr>
      <w:tr w:rsidR="002914BB" w:rsidRPr="00114AF5" w14:paraId="24CB2677" w14:textId="77777777" w:rsidTr="00114AF5">
        <w:trPr>
          <w:trHeight w:val="20"/>
        </w:trPr>
        <w:tc>
          <w:tcPr>
            <w:tcW w:w="1135" w:type="dxa"/>
            <w:shd w:val="clear" w:color="auto" w:fill="auto"/>
            <w:vAlign w:val="center"/>
            <w:hideMark/>
          </w:tcPr>
          <w:p w14:paraId="0B4B677E"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Caporossi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&lt;EndNote&gt;&lt;Cite&gt;&lt;Author&gt;Caporossi&lt;/Author&gt;&lt;Year&gt;2020&lt;/Year&gt;&lt;RecNum&gt;20844&lt;/RecNum&gt;&lt;DisplayText&gt;&lt;style face="superscript"&gt;12&lt;/style&gt;&lt;/DisplayText&gt;&lt;record&gt;&lt;rec-number&gt;20844&lt;/rec-number&gt;&lt;foreign-keys&gt;&lt;key app="EN" db-id="f5fv5a2shx52dqesxzmpffeqzt5ffxae2vev" timestamp="1607902500"&gt;20844&lt;/key&gt;&lt;/foreign-keys&gt;&lt;ref-type name="Journal Article"&gt;17&lt;/ref-type&gt;&lt;contributors&gt;&lt;authors&gt;&lt;author&gt;Caporossi, Leonardo Stephan&lt;/author&gt;&lt;author&gt;Dos Santos, Cinthia Studzinski&lt;/author&gt;&lt;author&gt;Calcia, Thayanne Brasil Barbosa&lt;/author&gt;&lt;author&gt;Cenci, Maximiliano Sergio&lt;/author&gt;&lt;author&gt;Muniz, Francisco Wilker Mustafa Gomes&lt;/author&gt;&lt;author&gt;da Silveira Lima, Giana&lt;/author&gt;&lt;/authors&gt;&lt;/contributors&gt;&lt;titles&gt;&lt;title&gt;Pharmacological management of pain after periodontal surgery: a systematic review with meta-analysis&lt;/title&gt;&lt;secondary-title&gt;Clinical Oral Investigations&lt;/secondary-title&gt;&lt;/titles&gt;&lt;periodical&gt;&lt;full-title&gt;Clin Oral Investig&lt;/full-title&gt;&lt;abbr-1&gt;Clinical oral investigations&lt;/abbr-1&gt;&lt;/periodical&gt;&lt;pages&gt;2559-2578&lt;/pages&gt;&lt;volume&gt;24&lt;/volume&gt;&lt;number&gt;8&lt;/number&gt;&lt;dates&gt;&lt;year&gt;2020&lt;/year&gt;&lt;/dates&gt;&lt;isbn&gt;1436-3771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12</w:t>
            </w:r>
            <w:r w:rsidR="0008652B" w:rsidRPr="005C470C">
              <w:rPr>
                <w:rFonts w:ascii="Times New Roman" w:eastAsia="Times New Roman" w:hAnsi="Times New Roman" w:cs="Times New Roman"/>
                <w:sz w:val="20"/>
                <w:szCs w:val="20"/>
                <w:lang w:eastAsia="pt-BR"/>
              </w:rPr>
              <w:fldChar w:fldCharType="end"/>
            </w:r>
          </w:p>
          <w:p w14:paraId="3DB8013F" w14:textId="17123717"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292F0154"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Clinical oral investigations</w:t>
            </w:r>
          </w:p>
          <w:p w14:paraId="571498AA" w14:textId="3456BDB6"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(2.812)</w:t>
            </w:r>
          </w:p>
        </w:tc>
        <w:tc>
          <w:tcPr>
            <w:tcW w:w="1418" w:type="dxa"/>
            <w:shd w:val="clear" w:color="auto" w:fill="auto"/>
            <w:vAlign w:val="center"/>
            <w:hideMark/>
          </w:tcPr>
          <w:p w14:paraId="4C31963C"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255D6BE4" w14:textId="67D45222"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u w:val="single"/>
                <w:lang w:val="en-US" w:eastAsia="pt-BR"/>
              </w:rPr>
              <w:t>Question 1:</w:t>
            </w:r>
            <w:r w:rsidRPr="005C470C">
              <w:rPr>
                <w:rFonts w:ascii="Times New Roman" w:eastAsia="Times New Roman" w:hAnsi="Times New Roman" w:cs="Times New Roman"/>
                <w:sz w:val="20"/>
                <w:szCs w:val="20"/>
                <w:lang w:val="en-US" w:eastAsia="pt-BR"/>
              </w:rPr>
              <w:t xml:space="preserve"> “In adult individuals receiving periodontal surgeries, is there any differences regarding the pharmacological effects of different drugs, on pain relief, after periodontal surgeries?”; </w:t>
            </w:r>
            <w:r w:rsidRPr="005C470C">
              <w:rPr>
                <w:rFonts w:ascii="Times New Roman" w:eastAsia="Times New Roman" w:hAnsi="Times New Roman" w:cs="Times New Roman"/>
                <w:sz w:val="20"/>
                <w:szCs w:val="20"/>
                <w:u w:val="single"/>
                <w:lang w:val="en-US" w:eastAsia="pt-BR"/>
              </w:rPr>
              <w:t>Question 2:</w:t>
            </w:r>
            <w:r w:rsidRPr="005C470C">
              <w:rPr>
                <w:rFonts w:ascii="Times New Roman" w:eastAsia="Times New Roman" w:hAnsi="Times New Roman" w:cs="Times New Roman"/>
                <w:sz w:val="20"/>
                <w:szCs w:val="20"/>
                <w:lang w:val="en-US" w:eastAsia="pt-BR"/>
              </w:rPr>
              <w:t xml:space="preserve"> “Is there a necessity for pharmacologi</w:t>
            </w:r>
            <w:r w:rsidRPr="005C470C">
              <w:rPr>
                <w:rFonts w:ascii="Times New Roman" w:eastAsia="Times New Roman" w:hAnsi="Times New Roman" w:cs="Times New Roman"/>
                <w:sz w:val="20"/>
                <w:szCs w:val="20"/>
                <w:lang w:val="en-US" w:eastAsia="pt-BR"/>
              </w:rPr>
              <w:lastRenderedPageBreak/>
              <w:t>cal pain control after periodontal surgeries?”</w:t>
            </w:r>
          </w:p>
        </w:tc>
        <w:tc>
          <w:tcPr>
            <w:tcW w:w="1134" w:type="dxa"/>
            <w:shd w:val="clear" w:color="auto" w:fill="auto"/>
            <w:vAlign w:val="center"/>
            <w:hideMark/>
          </w:tcPr>
          <w:p w14:paraId="0C00D97B" w14:textId="47AA358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Adult individuals that received any type of periodontal surgery</w:t>
            </w:r>
          </w:p>
        </w:tc>
        <w:tc>
          <w:tcPr>
            <w:tcW w:w="1276" w:type="dxa"/>
            <w:shd w:val="clear" w:color="auto" w:fill="auto"/>
            <w:vAlign w:val="center"/>
            <w:hideMark/>
          </w:tcPr>
          <w:p w14:paraId="17A3FA62" w14:textId="2F607B4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Use of any pharmacological scheme, by oral or other administration routes</w:t>
            </w:r>
          </w:p>
        </w:tc>
        <w:tc>
          <w:tcPr>
            <w:tcW w:w="1418" w:type="dxa"/>
            <w:shd w:val="clear" w:color="auto" w:fill="auto"/>
            <w:vAlign w:val="center"/>
            <w:hideMark/>
          </w:tcPr>
          <w:p w14:paraId="08C94C02" w14:textId="23675F5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Use of another pharmacological scheme, by oral or other administration routes, including a placebo substance</w:t>
            </w:r>
          </w:p>
        </w:tc>
        <w:tc>
          <w:tcPr>
            <w:tcW w:w="1275" w:type="dxa"/>
            <w:shd w:val="clear" w:color="auto" w:fill="auto"/>
            <w:vAlign w:val="center"/>
            <w:hideMark/>
          </w:tcPr>
          <w:p w14:paraId="2D75AA5D" w14:textId="4FC0633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Any postoperative pain assessment at any time</w:t>
            </w:r>
          </w:p>
        </w:tc>
        <w:tc>
          <w:tcPr>
            <w:tcW w:w="1134" w:type="dxa"/>
            <w:shd w:val="clear" w:color="auto" w:fill="auto"/>
            <w:vAlign w:val="center"/>
            <w:hideMark/>
          </w:tcPr>
          <w:p w14:paraId="1615901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(n=35)</w:t>
            </w:r>
          </w:p>
        </w:tc>
        <w:tc>
          <w:tcPr>
            <w:tcW w:w="567" w:type="dxa"/>
            <w:shd w:val="clear" w:color="auto" w:fill="auto"/>
            <w:vAlign w:val="center"/>
            <w:hideMark/>
          </w:tcPr>
          <w:p w14:paraId="5446C309"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9B51EF0" w14:textId="7271939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can experience benefits from several pharmacological schemes for pain relief after periodontal surgeries</w:t>
            </w:r>
            <w:r w:rsidR="002B4A3F" w:rsidRPr="005C470C">
              <w:rPr>
                <w:rFonts w:ascii="Times New Roman" w:eastAsia="Times New Roman" w:hAnsi="Times New Roman" w:cs="Times New Roman"/>
                <w:color w:val="000000"/>
                <w:sz w:val="20"/>
                <w:szCs w:val="20"/>
                <w:lang w:val="en-US" w:eastAsia="pt-BR"/>
              </w:rPr>
              <w:t>. Pharmacological therapy for pain relief, after periodontal surgeries, must consider patients and professional preferences, as there is not enough evidence to suggest a standard treatment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470C1E3" w14:textId="3F77CFF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2B4A3F" w:rsidRPr="005C470C">
              <w:rPr>
                <w:rFonts w:ascii="Times New Roman" w:eastAsia="Times New Roman" w:hAnsi="Times New Roman" w:cs="Times New Roman"/>
                <w:color w:val="000000"/>
                <w:sz w:val="20"/>
                <w:szCs w:val="20"/>
                <w:lang w:val="en-US" w:eastAsia="pt-BR"/>
              </w:rPr>
              <w:t xml:space="preserve"> - there is not enough evidence to suggest a standard treatment</w:t>
            </w:r>
            <w:r w:rsidR="00B0457E">
              <w:rPr>
                <w:rFonts w:ascii="Times New Roman" w:eastAsia="Times New Roman" w:hAnsi="Times New Roman" w:cs="Times New Roman"/>
                <w:color w:val="000000"/>
                <w:sz w:val="20"/>
                <w:szCs w:val="20"/>
                <w:lang w:val="en-US" w:eastAsia="pt-BR"/>
              </w:rPr>
              <w:t>.</w:t>
            </w:r>
          </w:p>
        </w:tc>
      </w:tr>
      <w:tr w:rsidR="002914BB" w:rsidRPr="00114AF5" w14:paraId="025B41DC" w14:textId="77777777" w:rsidTr="00114AF5">
        <w:trPr>
          <w:trHeight w:val="2405"/>
        </w:trPr>
        <w:tc>
          <w:tcPr>
            <w:tcW w:w="1135" w:type="dxa"/>
            <w:shd w:val="clear" w:color="auto" w:fill="auto"/>
            <w:vAlign w:val="center"/>
            <w:hideMark/>
          </w:tcPr>
          <w:p w14:paraId="0FE095A0"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Cardenas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&lt;EndNote&gt;&lt;Cite&gt;&lt;Author&gt;Cardenas&lt;/Author&gt;&lt;Year&gt;2019&lt;/Year&gt;&lt;RecNum&gt;20848&lt;/RecNum&gt;&lt;DisplayText&gt;&lt;style face="superscript"&gt;13&lt;/style&gt;&lt;/DisplayText&gt;&lt;record&gt;&lt;rec-number&gt;20848&lt;/rec-number&gt;&lt;foreign-keys&gt;&lt;key app="EN" db-id="f5fv5a2shx52dqesxzmpffeqzt5ffxae2vev" timestamp="1607902500"&gt;20848&lt;/key&gt;&lt;/foreign-keys&gt;&lt;ref-type name="Journal Article"&gt;17&lt;/ref-type&gt;&lt;contributors&gt;&lt;authors&gt;&lt;author&gt;Cardenas, Andres Felipe Millan&lt;/author&gt;&lt;author&gt;Maran, Bianca Medeiros&lt;/author&gt;&lt;author&gt;Araújo, Lucila Cristina Rodrigues&lt;/author&gt;&lt;author&gt;de Siqueira, Fabiana Suelen Figuerêdo&lt;/author&gt;&lt;author&gt;Wambier, Letícia Maíra&lt;/author&gt;&lt;author&gt;Gonzaga, Carla Castiglia&lt;/author&gt;&lt;author&gt;Loguercio, Alessandro D&lt;/author&gt;&lt;author&gt;Reis, Alessandra&lt;/author&gt;&lt;/authors&gt;&lt;/contributors&gt;&lt;titles&gt;&lt;title&gt;Are combined bleaching techniques better than their sole application? A systematic review and meta-analysis&lt;/title&gt;&lt;secondary-title&gt;Clinical oral investigations&lt;/secondary-title&gt;&lt;/titles&gt;&lt;periodical&gt;&lt;full-title&gt;Clin Oral Investig&lt;/full-title&gt;&lt;abbr-1&gt;Clinical oral investigations&lt;/abbr-1&gt;&lt;/periodical&gt;&lt;pages&gt;1-17&lt;/pages&gt;&lt;dates&gt;&lt;year&gt;2019&lt;/year&gt;&lt;/dates&gt;&lt;isbn&gt;1432-6981&lt;/isbn&gt;&lt;urls&gt;&lt;/urls&gt;&lt;/record&gt;&lt;/Cite&gt;&lt;/EndNote&gt;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13</w:t>
            </w:r>
            <w:r w:rsidR="0008652B" w:rsidRPr="005C470C">
              <w:rPr>
                <w:rFonts w:ascii="Times New Roman" w:eastAsia="Times New Roman" w:hAnsi="Times New Roman" w:cs="Times New Roman"/>
                <w:sz w:val="20"/>
                <w:szCs w:val="20"/>
                <w:lang w:eastAsia="pt-BR"/>
              </w:rPr>
              <w:fldChar w:fldCharType="end"/>
            </w:r>
          </w:p>
          <w:p w14:paraId="208F6698" w14:textId="35D8E48E"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3BD3C063" w14:textId="7777777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Clinical oral investigations</w:t>
            </w:r>
          </w:p>
          <w:p w14:paraId="385F9402" w14:textId="45885A60" w:rsidR="006226A8"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(2.812)</w:t>
            </w:r>
          </w:p>
        </w:tc>
        <w:tc>
          <w:tcPr>
            <w:tcW w:w="1418" w:type="dxa"/>
            <w:shd w:val="clear" w:color="auto" w:fill="auto"/>
            <w:vAlign w:val="center"/>
            <w:hideMark/>
          </w:tcPr>
          <w:p w14:paraId="45BDF2C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2318C020"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“Does combined in-office (IO) and at-home (AH) bleaching produce improved color change and lower tooth sensitivity (TS) better than solely AH or IO bleaching in adults?”</w:t>
            </w:r>
          </w:p>
        </w:tc>
        <w:tc>
          <w:tcPr>
            <w:tcW w:w="1134" w:type="dxa"/>
            <w:shd w:val="clear" w:color="auto" w:fill="auto"/>
            <w:vAlign w:val="center"/>
            <w:hideMark/>
          </w:tcPr>
          <w:p w14:paraId="078F45B3" w14:textId="0A3C4420"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Adult </w:t>
            </w:r>
            <w:r w:rsidR="006226A8" w:rsidRPr="005C470C">
              <w:rPr>
                <w:rFonts w:ascii="Times New Roman" w:eastAsia="Times New Roman" w:hAnsi="Times New Roman" w:cs="Times New Roman"/>
                <w:color w:val="000000"/>
                <w:sz w:val="20"/>
                <w:szCs w:val="20"/>
                <w:lang w:val="en-US" w:eastAsia="pt-BR"/>
              </w:rPr>
              <w:t>patients that underwent vital tooth bleaching</w:t>
            </w:r>
          </w:p>
        </w:tc>
        <w:tc>
          <w:tcPr>
            <w:tcW w:w="1276" w:type="dxa"/>
            <w:shd w:val="clear" w:color="auto" w:fill="auto"/>
            <w:vAlign w:val="center"/>
            <w:hideMark/>
          </w:tcPr>
          <w:p w14:paraId="1E718EBD" w14:textId="4E4F4CA8"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Combined </w:t>
            </w:r>
            <w:r w:rsidR="006226A8" w:rsidRPr="005C470C">
              <w:rPr>
                <w:rFonts w:ascii="Times New Roman" w:eastAsia="Times New Roman" w:hAnsi="Times New Roman" w:cs="Times New Roman"/>
                <w:color w:val="000000"/>
                <w:sz w:val="20"/>
                <w:szCs w:val="20"/>
                <w:lang w:val="en-US" w:eastAsia="pt-BR"/>
              </w:rPr>
              <w:t>in-office and at-home bleaching</w:t>
            </w:r>
          </w:p>
        </w:tc>
        <w:tc>
          <w:tcPr>
            <w:tcW w:w="1418" w:type="dxa"/>
            <w:shd w:val="clear" w:color="auto" w:fill="auto"/>
            <w:vAlign w:val="center"/>
            <w:hideMark/>
          </w:tcPr>
          <w:p w14:paraId="057DB0AC" w14:textId="5B0CD67B"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Solely </w:t>
            </w:r>
            <w:r w:rsidR="006226A8" w:rsidRPr="005C470C">
              <w:rPr>
                <w:rFonts w:ascii="Times New Roman" w:eastAsia="Times New Roman" w:hAnsi="Times New Roman" w:cs="Times New Roman"/>
                <w:color w:val="000000"/>
                <w:sz w:val="20"/>
                <w:szCs w:val="20"/>
                <w:lang w:val="en-US" w:eastAsia="pt-BR"/>
              </w:rPr>
              <w:t>in-office or at-home bleaching</w:t>
            </w:r>
          </w:p>
        </w:tc>
        <w:tc>
          <w:tcPr>
            <w:tcW w:w="1275" w:type="dxa"/>
            <w:shd w:val="clear" w:color="auto" w:fill="auto"/>
            <w:vAlign w:val="center"/>
            <w:hideMark/>
          </w:tcPr>
          <w:p w14:paraId="41EF58F4" w14:textId="06B012E9"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Color </w:t>
            </w:r>
            <w:r w:rsidR="006226A8" w:rsidRPr="005C470C">
              <w:rPr>
                <w:rFonts w:ascii="Times New Roman" w:eastAsia="Times New Roman" w:hAnsi="Times New Roman" w:cs="Times New Roman"/>
                <w:color w:val="000000"/>
                <w:sz w:val="20"/>
                <w:szCs w:val="20"/>
                <w:lang w:val="en-US" w:eastAsia="pt-BR"/>
              </w:rPr>
              <w:t>change in shade guide units and with a spectrophotometer; risk and intensity of TS taken after dental bleaching</w:t>
            </w:r>
          </w:p>
        </w:tc>
        <w:tc>
          <w:tcPr>
            <w:tcW w:w="1134" w:type="dxa"/>
            <w:shd w:val="clear" w:color="auto" w:fill="auto"/>
            <w:vAlign w:val="center"/>
            <w:hideMark/>
          </w:tcPr>
          <w:p w14:paraId="16345166"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(n=12)</w:t>
            </w:r>
          </w:p>
        </w:tc>
        <w:tc>
          <w:tcPr>
            <w:tcW w:w="567" w:type="dxa"/>
            <w:shd w:val="clear" w:color="auto" w:fill="auto"/>
            <w:vAlign w:val="center"/>
            <w:hideMark/>
          </w:tcPr>
          <w:p w14:paraId="702377D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BB95F61" w14:textId="0A37DA6E" w:rsidR="006226A8" w:rsidRPr="005C470C" w:rsidRDefault="00726290" w:rsidP="00726290">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is no benefit in color change was observed when combined bleaching was either compared with sole at-home bleaching or sole in-office bleaching</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18CD1D9" w14:textId="1BC3680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26290" w:rsidRPr="005C470C">
              <w:rPr>
                <w:rFonts w:ascii="Times New Roman" w:eastAsia="Times New Roman" w:hAnsi="Times New Roman" w:cs="Times New Roman"/>
                <w:color w:val="000000"/>
                <w:sz w:val="20"/>
                <w:szCs w:val="20"/>
                <w:lang w:val="en-US" w:eastAsia="pt-BR"/>
              </w:rPr>
              <w:t xml:space="preserve"> - These findings should be interpreted with caution due to the low quality of evidence of all </w:t>
            </w:r>
            <w:r w:rsidR="00434FEC" w:rsidRPr="005C470C">
              <w:rPr>
                <w:rFonts w:ascii="Times New Roman" w:eastAsia="Times New Roman" w:hAnsi="Times New Roman" w:cs="Times New Roman"/>
                <w:color w:val="000000"/>
                <w:sz w:val="20"/>
                <w:szCs w:val="20"/>
                <w:lang w:val="en-US" w:eastAsia="pt-BR"/>
              </w:rPr>
              <w:t>MA</w:t>
            </w:r>
            <w:r w:rsidR="00726290" w:rsidRPr="005C470C">
              <w:rPr>
                <w:rFonts w:ascii="Times New Roman" w:eastAsia="Times New Roman" w:hAnsi="Times New Roman" w:cs="Times New Roman"/>
                <w:color w:val="000000"/>
                <w:sz w:val="20"/>
                <w:szCs w:val="20"/>
                <w:lang w:val="en-US" w:eastAsia="pt-BR"/>
              </w:rPr>
              <w:t xml:space="preserve"> herein reported</w:t>
            </w:r>
            <w:r w:rsidR="00B0457E">
              <w:rPr>
                <w:rFonts w:ascii="Times New Roman" w:eastAsia="Times New Roman" w:hAnsi="Times New Roman" w:cs="Times New Roman"/>
                <w:color w:val="000000"/>
                <w:sz w:val="20"/>
                <w:szCs w:val="20"/>
                <w:lang w:val="en-US" w:eastAsia="pt-BR"/>
              </w:rPr>
              <w:t>.</w:t>
            </w:r>
          </w:p>
        </w:tc>
      </w:tr>
      <w:tr w:rsidR="002914BB" w:rsidRPr="005C470C" w14:paraId="681DE206" w14:textId="77777777" w:rsidTr="00114AF5">
        <w:trPr>
          <w:trHeight w:val="2678"/>
        </w:trPr>
        <w:tc>
          <w:tcPr>
            <w:tcW w:w="1135" w:type="dxa"/>
            <w:shd w:val="clear" w:color="auto" w:fill="auto"/>
            <w:vAlign w:val="center"/>
            <w:hideMark/>
          </w:tcPr>
          <w:p w14:paraId="0B13A7C1"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Cardoso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&lt;EndNote&gt;&lt;Cite&gt;&lt;Author&gt;Cardoso&lt;/Author&gt;&lt;Year&gt;2020&lt;/Year&gt;&lt;RecNum&gt;20843&lt;/RecNum&gt;&lt;DisplayText&gt;&lt;style face="superscript"&gt;14&lt;/style&gt;&lt;/DisplayText&gt;&lt;record&gt;&lt;rec-number&gt;20843&lt;/rec-number&gt;&lt;foreign-keys&gt;&lt;key app="EN" db-id="f5fv5a2shx52dqesxzmpffeqzt5ffxae2vev" timestamp="1607902500"&gt;20843&lt;/key&gt;&lt;/foreign-keys&gt;&lt;ref-type name="Journal Article"&gt;17&lt;/ref-type&gt;&lt;contributors&gt;&lt;authors&gt;&lt;author&gt;Cardoso, Paula Coutinho&lt;/author&gt;&lt;author&gt;Espinosa, Daybelis Gonzalez&lt;/author&gt;&lt;author&gt;Mecenas, Paulo&lt;/author&gt;&lt;author&gt;Flores-Mir, Carlos&lt;/author&gt;&lt;author&gt;Normando, David&lt;/author&gt;&lt;/authors&gt;&lt;/contributors&gt;&lt;titles&gt;&lt;title&gt;Pain level between clear aligners and fixed appliances: a systematic review&lt;/title&gt;&lt;secondary-title&gt;Progress in Orthodontics&lt;/secondary-title&gt;&lt;/titles&gt;&lt;periodical&gt;&lt;full-title&gt;Progress in Orthodontics&lt;/full-title&gt;&lt;/periodical&gt;&lt;pages&gt;3&lt;/pages&gt;&lt;volume&gt;21&lt;/volume&gt;&lt;number&gt;1&lt;/number&gt;&lt;dates&gt;&lt;year&gt;2020&lt;/year&gt;&lt;/dates&gt;&lt;isbn&gt;2196-1042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14</w:t>
            </w:r>
            <w:r w:rsidR="0008652B" w:rsidRPr="005C470C">
              <w:rPr>
                <w:rFonts w:ascii="Times New Roman" w:eastAsia="Times New Roman" w:hAnsi="Times New Roman" w:cs="Times New Roman"/>
                <w:sz w:val="20"/>
                <w:szCs w:val="20"/>
                <w:lang w:eastAsia="pt-BR"/>
              </w:rPr>
              <w:fldChar w:fldCharType="end"/>
            </w:r>
          </w:p>
          <w:p w14:paraId="01FA481A" w14:textId="0C176006"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588BFF79"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Progress in Orthodontics</w:t>
            </w:r>
          </w:p>
          <w:p w14:paraId="79ACC33E" w14:textId="2FAC5B78"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(1.822)</w:t>
            </w:r>
          </w:p>
        </w:tc>
        <w:tc>
          <w:tcPr>
            <w:tcW w:w="1418" w:type="dxa"/>
            <w:shd w:val="clear" w:color="auto" w:fill="auto"/>
            <w:vAlign w:val="center"/>
            <w:hideMark/>
          </w:tcPr>
          <w:p w14:paraId="73CB2265"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52F35F39" w14:textId="0C632C5C"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Evaluate the level of pain during orthodontic treatment in patients treated with clear aligners compared with patients treated with fixed appliances</w:t>
            </w:r>
          </w:p>
        </w:tc>
        <w:tc>
          <w:tcPr>
            <w:tcW w:w="1134" w:type="dxa"/>
            <w:shd w:val="clear" w:color="auto" w:fill="auto"/>
            <w:vAlign w:val="center"/>
            <w:hideMark/>
          </w:tcPr>
          <w:p w14:paraId="5D98E226" w14:textId="32C00A9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Adult patients during orthodontic</w:t>
            </w:r>
            <w:r w:rsidRPr="005C470C">
              <w:rPr>
                <w:rFonts w:ascii="Times New Roman" w:eastAsia="Times New Roman" w:hAnsi="Times New Roman" w:cs="Times New Roman"/>
                <w:color w:val="000000"/>
                <w:sz w:val="20"/>
                <w:szCs w:val="20"/>
                <w:lang w:val="en-US" w:eastAsia="pt-BR"/>
              </w:rPr>
              <w:br/>
              <w:t>treatment</w:t>
            </w:r>
          </w:p>
        </w:tc>
        <w:tc>
          <w:tcPr>
            <w:tcW w:w="1276" w:type="dxa"/>
            <w:shd w:val="clear" w:color="auto" w:fill="auto"/>
            <w:vAlign w:val="center"/>
            <w:hideMark/>
          </w:tcPr>
          <w:p w14:paraId="4D28C0D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treated with clear aligners</w:t>
            </w:r>
          </w:p>
        </w:tc>
        <w:tc>
          <w:tcPr>
            <w:tcW w:w="1418" w:type="dxa"/>
            <w:shd w:val="clear" w:color="auto" w:fill="auto"/>
            <w:vAlign w:val="center"/>
            <w:hideMark/>
          </w:tcPr>
          <w:p w14:paraId="2F7AEDAB" w14:textId="266CB09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treated with conventional</w:t>
            </w:r>
            <w:r w:rsidRPr="005C470C">
              <w:rPr>
                <w:rFonts w:ascii="Times New Roman" w:eastAsia="Times New Roman" w:hAnsi="Times New Roman" w:cs="Times New Roman"/>
                <w:color w:val="000000"/>
                <w:sz w:val="20"/>
                <w:szCs w:val="20"/>
                <w:lang w:val="en-US" w:eastAsia="pt-BR"/>
              </w:rPr>
              <w:br/>
              <w:t>fixed appliances</w:t>
            </w:r>
          </w:p>
        </w:tc>
        <w:tc>
          <w:tcPr>
            <w:tcW w:w="1275" w:type="dxa"/>
            <w:shd w:val="clear" w:color="auto" w:fill="auto"/>
            <w:vAlign w:val="center"/>
            <w:hideMark/>
          </w:tcPr>
          <w:p w14:paraId="19FC92BD" w14:textId="3656439D"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Pain level</w:t>
            </w:r>
          </w:p>
        </w:tc>
        <w:tc>
          <w:tcPr>
            <w:tcW w:w="1134" w:type="dxa"/>
            <w:shd w:val="clear" w:color="auto" w:fill="auto"/>
            <w:vAlign w:val="center"/>
            <w:hideMark/>
          </w:tcPr>
          <w:p w14:paraId="0996196E" w14:textId="4C8F73B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Prospective non-</w:t>
            </w:r>
            <w:r w:rsidR="00726290" w:rsidRPr="005C470C">
              <w:rPr>
                <w:rFonts w:ascii="Times New Roman" w:eastAsia="Times New Roman" w:hAnsi="Times New Roman" w:cs="Times New Roman"/>
                <w:color w:val="000000"/>
                <w:sz w:val="20"/>
                <w:szCs w:val="20"/>
                <w:lang w:val="en-US" w:eastAsia="pt-BR"/>
              </w:rPr>
              <w:t xml:space="preserve">RCT </w:t>
            </w:r>
            <w:r w:rsidRPr="005C470C">
              <w:rPr>
                <w:rFonts w:ascii="Times New Roman" w:eastAsia="Times New Roman" w:hAnsi="Times New Roman" w:cs="Times New Roman"/>
                <w:color w:val="000000"/>
                <w:sz w:val="20"/>
                <w:szCs w:val="20"/>
                <w:lang w:val="en-US" w:eastAsia="pt-BR"/>
              </w:rPr>
              <w:t>studies (n=5), cross-sectional study (n=1), and RCT (n=1)</w:t>
            </w:r>
          </w:p>
        </w:tc>
        <w:tc>
          <w:tcPr>
            <w:tcW w:w="567" w:type="dxa"/>
            <w:shd w:val="clear" w:color="auto" w:fill="auto"/>
            <w:vAlign w:val="center"/>
            <w:hideMark/>
          </w:tcPr>
          <w:p w14:paraId="5E5A5059"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49C959CC" w14:textId="327ACBF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Based on a moderate level of certainty, orthodontic patients treated with Invisalign appear to feel lower levels of pain than those treated with fixed appliances during the first few days of treatment. Thereafter (up to </w:t>
            </w:r>
            <w:r w:rsidRPr="005C470C">
              <w:rPr>
                <w:rFonts w:ascii="Times New Roman" w:eastAsia="Times New Roman" w:hAnsi="Times New Roman" w:cs="Times New Roman"/>
                <w:color w:val="000000"/>
                <w:sz w:val="20"/>
                <w:szCs w:val="20"/>
                <w:lang w:val="en-US" w:eastAsia="pt-BR"/>
              </w:rPr>
              <w:lastRenderedPageBreak/>
              <w:t>3</w:t>
            </w:r>
            <w:r w:rsidR="00434FEC" w:rsidRPr="005C470C">
              <w:rPr>
                <w:rFonts w:ascii="Times New Roman" w:eastAsia="Times New Roman" w:hAnsi="Times New Roman" w:cs="Times New Roman"/>
                <w:color w:val="000000"/>
                <w:sz w:val="20"/>
                <w:szCs w:val="20"/>
                <w:lang w:val="en-US" w:eastAsia="pt-BR"/>
              </w:rPr>
              <w:t>mo</w:t>
            </w:r>
            <w:r w:rsidRPr="005C470C">
              <w:rPr>
                <w:rFonts w:ascii="Times New Roman" w:eastAsia="Times New Roman" w:hAnsi="Times New Roman" w:cs="Times New Roman"/>
                <w:color w:val="000000"/>
                <w:sz w:val="20"/>
                <w:szCs w:val="20"/>
                <w:lang w:val="en-US" w:eastAsia="pt-BR"/>
              </w:rPr>
              <w:t>), differences were not noted</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C86BD6D"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03A5A352" w14:textId="77777777" w:rsidTr="00114AF5">
        <w:trPr>
          <w:trHeight w:val="20"/>
        </w:trPr>
        <w:tc>
          <w:tcPr>
            <w:tcW w:w="1135" w:type="dxa"/>
            <w:shd w:val="clear" w:color="auto" w:fill="auto"/>
            <w:vAlign w:val="center"/>
            <w:hideMark/>
          </w:tcPr>
          <w:p w14:paraId="5282E529"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Carneiro-Campos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&lt;EndNote&gt;&lt;Cite&gt;&lt;Author&gt;Carneiro-Campos&lt;/Author&gt;&lt;Year&gt;2019&lt;/Year&gt;&lt;RecNum&gt;20847&lt;/RecNum&gt;&lt;DisplayText&gt;&lt;style face="superscript"&gt;15&lt;/style&gt;&lt;/DisplayText&gt;&lt;record&gt;&lt;rec-number&gt;20847&lt;/rec-number&gt;&lt;foreign-keys&gt;&lt;key app="EN" db-id="f5fv5a2shx52dqesxzmpffeqzt5ffxae2vev" timestamp="1607902500"&gt;20847&lt;/key&gt;&lt;/foreign-keys&gt;&lt;ref-type name="Journal Article"&gt;17&lt;/ref-type&gt;&lt;contributors&gt;&lt;authors&gt;&lt;author&gt;Carneiro-Campos, Luis Eduardo&lt;/author&gt;&lt;author&gt;Freitas-Fernandes, Liana B&lt;/author&gt;&lt;author&gt;Masterson, Daniele&lt;/author&gt;&lt;author&gt;Magno, Marcela Baraúna&lt;/author&gt;&lt;author&gt;Fernandes, Claudio Pinheiro&lt;/author&gt;&lt;author&gt;Maia, Lucianne Cople&lt;/author&gt;&lt;author&gt;Zanetta-Barbosa, Darceny&lt;/author&gt;&lt;/authors&gt;&lt;/contributors&gt;&lt;titles&gt;&lt;title&gt;Does the natural maxillary dentition influence the survival rate of mandibular metal-resin implant-supported fixed complete dentures? A systematic review and meta-analysis&lt;/title&gt;&lt;secondary-title&gt;The Journal of prosthetic dentistry&lt;/secondary-title&gt;&lt;/titles&gt;&lt;periodical&gt;&lt;full-title&gt;The Journal of Prosthetic Dentistry&lt;/full-title&gt;&lt;/periodical&gt;&lt;dates&gt;&lt;year&gt;2019&lt;/year&gt;&lt;/dates&gt;&lt;isbn&gt;0022-3913&lt;/isbn&gt;&lt;urls&gt;&lt;/urls&gt;&lt;/record&gt;&lt;/Cite&gt;&lt;/EndNote&gt;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15</w:t>
            </w:r>
            <w:r w:rsidR="0008652B" w:rsidRPr="005C470C">
              <w:rPr>
                <w:rFonts w:ascii="Times New Roman" w:eastAsia="Times New Roman" w:hAnsi="Times New Roman" w:cs="Times New Roman"/>
                <w:sz w:val="20"/>
                <w:szCs w:val="20"/>
                <w:lang w:eastAsia="pt-BR"/>
              </w:rPr>
              <w:fldChar w:fldCharType="end"/>
            </w:r>
          </w:p>
          <w:p w14:paraId="5D7501CE" w14:textId="029E429F"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534C36AA"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The Journal of prosthetic dentistry</w:t>
            </w:r>
          </w:p>
          <w:p w14:paraId="6CD31ED0" w14:textId="1D3658D0" w:rsidR="00C53143"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(2.444)</w:t>
            </w:r>
          </w:p>
        </w:tc>
        <w:tc>
          <w:tcPr>
            <w:tcW w:w="1418" w:type="dxa"/>
            <w:shd w:val="clear" w:color="auto" w:fill="auto"/>
            <w:vAlign w:val="center"/>
            <w:hideMark/>
          </w:tcPr>
          <w:p w14:paraId="7A520FB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3932C15E" w14:textId="16B8A317"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Identify </w:t>
            </w:r>
            <w:r w:rsidR="006226A8" w:rsidRPr="005C470C">
              <w:rPr>
                <w:rFonts w:ascii="Times New Roman" w:eastAsia="Times New Roman" w:hAnsi="Times New Roman" w:cs="Times New Roman"/>
                <w:sz w:val="20"/>
                <w:szCs w:val="20"/>
                <w:lang w:val="en-US" w:eastAsia="pt-BR"/>
              </w:rPr>
              <w:t>whether the natural or prosthetic maxillary dentition influences the survival rate of mandibular metal-resin implant-supported fixed complete dentures with distal cantilevers</w:t>
            </w:r>
          </w:p>
        </w:tc>
        <w:tc>
          <w:tcPr>
            <w:tcW w:w="1134" w:type="dxa"/>
            <w:shd w:val="clear" w:color="auto" w:fill="auto"/>
            <w:vAlign w:val="center"/>
            <w:hideMark/>
          </w:tcPr>
          <w:p w14:paraId="6B3108CA" w14:textId="1EF3B542" w:rsidR="006226A8" w:rsidRPr="005C470C" w:rsidRDefault="006163BD"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P</w:t>
            </w:r>
            <w:r w:rsidR="006226A8" w:rsidRPr="005C470C">
              <w:rPr>
                <w:rFonts w:ascii="Times New Roman" w:eastAsia="Times New Roman" w:hAnsi="Times New Roman" w:cs="Times New Roman"/>
                <w:sz w:val="20"/>
                <w:szCs w:val="20"/>
                <w:lang w:val="en-US" w:eastAsia="pt-BR"/>
              </w:rPr>
              <w:t>opulation</w:t>
            </w:r>
            <w:r w:rsidRPr="005C470C">
              <w:rPr>
                <w:rFonts w:ascii="Times New Roman" w:eastAsia="Times New Roman" w:hAnsi="Times New Roman" w:cs="Times New Roman"/>
                <w:sz w:val="20"/>
                <w:szCs w:val="20"/>
                <w:lang w:val="en-US" w:eastAsia="pt-BR"/>
              </w:rPr>
              <w:t xml:space="preserve"> </w:t>
            </w:r>
            <w:r w:rsidR="006226A8" w:rsidRPr="005C470C">
              <w:rPr>
                <w:rFonts w:ascii="Times New Roman" w:eastAsia="Times New Roman" w:hAnsi="Times New Roman" w:cs="Times New Roman"/>
                <w:sz w:val="20"/>
                <w:szCs w:val="20"/>
                <w:lang w:val="en-US" w:eastAsia="pt-BR"/>
              </w:rPr>
              <w:t>edentulous patients rehabilitated</w:t>
            </w:r>
            <w:r w:rsidR="00726290" w:rsidRPr="005C470C">
              <w:rPr>
                <w:rFonts w:ascii="Times New Roman" w:eastAsia="Times New Roman" w:hAnsi="Times New Roman" w:cs="Times New Roman"/>
                <w:sz w:val="20"/>
                <w:szCs w:val="20"/>
                <w:lang w:val="en-US" w:eastAsia="pt-BR"/>
              </w:rPr>
              <w:t xml:space="preserve"> </w:t>
            </w:r>
            <w:r w:rsidR="006226A8" w:rsidRPr="005C470C">
              <w:rPr>
                <w:rFonts w:ascii="Times New Roman" w:eastAsia="Times New Roman" w:hAnsi="Times New Roman" w:cs="Times New Roman"/>
                <w:sz w:val="20"/>
                <w:szCs w:val="20"/>
                <w:lang w:val="en-US" w:eastAsia="pt-BR"/>
              </w:rPr>
              <w:t xml:space="preserve">with </w:t>
            </w:r>
            <w:r w:rsidR="00726290" w:rsidRPr="005C470C">
              <w:rPr>
                <w:rFonts w:ascii="Times New Roman" w:eastAsia="Times New Roman" w:hAnsi="Times New Roman" w:cs="Times New Roman"/>
                <w:sz w:val="20"/>
                <w:szCs w:val="20"/>
                <w:lang w:val="en-US" w:eastAsia="pt-BR"/>
              </w:rPr>
              <w:t>metal-resin implant-supported fixed complete denture (</w:t>
            </w:r>
            <w:r w:rsidR="006226A8" w:rsidRPr="005C470C">
              <w:rPr>
                <w:rFonts w:ascii="Times New Roman" w:eastAsia="Times New Roman" w:hAnsi="Times New Roman" w:cs="Times New Roman"/>
                <w:sz w:val="20"/>
                <w:szCs w:val="20"/>
                <w:lang w:val="en-US" w:eastAsia="pt-BR"/>
              </w:rPr>
              <w:t>MRISFC</w:t>
            </w:r>
            <w:r w:rsidR="00726290" w:rsidRPr="005C470C">
              <w:rPr>
                <w:rFonts w:ascii="Times New Roman" w:eastAsia="Times New Roman" w:hAnsi="Times New Roman" w:cs="Times New Roman"/>
                <w:sz w:val="20"/>
                <w:szCs w:val="20"/>
                <w:lang w:val="en-US" w:eastAsia="pt-BR"/>
              </w:rPr>
              <w:t>D)</w:t>
            </w:r>
          </w:p>
        </w:tc>
        <w:tc>
          <w:tcPr>
            <w:tcW w:w="1276" w:type="dxa"/>
            <w:shd w:val="clear" w:color="auto" w:fill="auto"/>
            <w:vAlign w:val="center"/>
            <w:hideMark/>
          </w:tcPr>
          <w:p w14:paraId="532B1ED3" w14:textId="067D7A79"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Any modality of prosthetic</w:t>
            </w:r>
            <w:r w:rsidRPr="005C470C">
              <w:rPr>
                <w:rFonts w:ascii="Times New Roman" w:eastAsia="Times New Roman" w:hAnsi="Times New Roman" w:cs="Times New Roman"/>
                <w:color w:val="000000"/>
                <w:sz w:val="20"/>
                <w:szCs w:val="20"/>
                <w:lang w:val="en-US" w:eastAsia="pt-BR"/>
              </w:rPr>
              <w:br/>
              <w:t>maxillary rehabilitation</w:t>
            </w:r>
          </w:p>
        </w:tc>
        <w:tc>
          <w:tcPr>
            <w:tcW w:w="1418" w:type="dxa"/>
            <w:shd w:val="clear" w:color="auto" w:fill="auto"/>
            <w:vAlign w:val="center"/>
            <w:hideMark/>
          </w:tcPr>
          <w:p w14:paraId="384A5ECB" w14:textId="16D0311A"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Natural dentition or</w:t>
            </w:r>
            <w:r w:rsidRPr="005C470C">
              <w:rPr>
                <w:rFonts w:ascii="Times New Roman" w:eastAsia="Times New Roman" w:hAnsi="Times New Roman" w:cs="Times New Roman"/>
                <w:color w:val="000000"/>
                <w:sz w:val="20"/>
                <w:szCs w:val="20"/>
                <w:lang w:val="en-US" w:eastAsia="pt-BR"/>
              </w:rPr>
              <w:br/>
              <w:t>natural dentition with some partial fixed maxillary restorations</w:t>
            </w:r>
          </w:p>
        </w:tc>
        <w:tc>
          <w:tcPr>
            <w:tcW w:w="1275" w:type="dxa"/>
            <w:shd w:val="clear" w:color="auto" w:fill="auto"/>
            <w:vAlign w:val="center"/>
            <w:hideMark/>
          </w:tcPr>
          <w:p w14:paraId="182358EE" w14:textId="7C50E602"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evaluation of the survival rate of</w:t>
            </w:r>
            <w:r w:rsidR="00726290" w:rsidRPr="005C470C">
              <w:rPr>
                <w:rFonts w:ascii="Times New Roman" w:eastAsia="Times New Roman" w:hAnsi="Times New Roman" w:cs="Times New Roman"/>
                <w:color w:val="000000"/>
                <w:sz w:val="20"/>
                <w:szCs w:val="20"/>
                <w:lang w:val="en-US" w:eastAsia="pt-BR"/>
              </w:rPr>
              <w:t xml:space="preserve"> </w:t>
            </w:r>
            <w:r w:rsidR="00726290" w:rsidRPr="005C470C">
              <w:rPr>
                <w:rFonts w:ascii="Times New Roman" w:eastAsia="Times New Roman" w:hAnsi="Times New Roman" w:cs="Times New Roman"/>
                <w:sz w:val="20"/>
                <w:szCs w:val="20"/>
                <w:lang w:val="en-US" w:eastAsia="pt-BR"/>
              </w:rPr>
              <w:t>MRISFCD</w:t>
            </w:r>
          </w:p>
        </w:tc>
        <w:tc>
          <w:tcPr>
            <w:tcW w:w="1134" w:type="dxa"/>
            <w:shd w:val="clear" w:color="auto" w:fill="auto"/>
            <w:vAlign w:val="center"/>
            <w:hideMark/>
          </w:tcPr>
          <w:p w14:paraId="1F176B5E" w14:textId="015FFD1F"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Only retrospective (n=4) and prospective (n=2) clinical studies in humans</w:t>
            </w:r>
          </w:p>
        </w:tc>
        <w:tc>
          <w:tcPr>
            <w:tcW w:w="567" w:type="dxa"/>
            <w:shd w:val="clear" w:color="auto" w:fill="auto"/>
            <w:vAlign w:val="center"/>
            <w:hideMark/>
          </w:tcPr>
          <w:p w14:paraId="607EC4D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A53830A" w14:textId="2BF0243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Based on the findings of this </w:t>
            </w:r>
            <w:r w:rsidR="00434FEC" w:rsidRPr="005C470C">
              <w:rPr>
                <w:rFonts w:ascii="Times New Roman" w:eastAsia="Times New Roman" w:hAnsi="Times New Roman" w:cs="Times New Roman"/>
                <w:color w:val="000000"/>
                <w:sz w:val="20"/>
                <w:szCs w:val="20"/>
                <w:lang w:val="en-US" w:eastAsia="pt-BR"/>
              </w:rPr>
              <w:t>SR</w:t>
            </w:r>
            <w:r w:rsidRPr="005C470C">
              <w:rPr>
                <w:rFonts w:ascii="Times New Roman" w:eastAsia="Times New Roman" w:hAnsi="Times New Roman" w:cs="Times New Roman"/>
                <w:color w:val="000000"/>
                <w:sz w:val="20"/>
                <w:szCs w:val="20"/>
                <w:lang w:val="en-US" w:eastAsia="pt-BR"/>
              </w:rPr>
              <w:t xml:space="preserve"> and </w:t>
            </w:r>
            <w:r w:rsidR="00434FEC" w:rsidRPr="005C470C">
              <w:rPr>
                <w:rFonts w:ascii="Times New Roman" w:eastAsia="Times New Roman" w:hAnsi="Times New Roman" w:cs="Times New Roman"/>
                <w:color w:val="000000"/>
                <w:sz w:val="20"/>
                <w:szCs w:val="20"/>
                <w:lang w:val="en-US" w:eastAsia="pt-BR"/>
              </w:rPr>
              <w:t>MA</w:t>
            </w:r>
            <w:r w:rsidRPr="005C470C">
              <w:rPr>
                <w:rFonts w:ascii="Times New Roman" w:eastAsia="Times New Roman" w:hAnsi="Times New Roman" w:cs="Times New Roman"/>
                <w:color w:val="000000"/>
                <w:sz w:val="20"/>
                <w:szCs w:val="20"/>
                <w:lang w:val="en-US" w:eastAsia="pt-BR"/>
              </w:rPr>
              <w:t>, the following conclusion was drawn: With a moderate certainty of evidence, natural maxillary dentitions opposed by MRISFCDs do not affect the long-term survival rate differently than other maxillary prosthetic designs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0D70347" w14:textId="36A934A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 - natural maxillary dentitions opposed by MRISFCDs do not affect the long-term survival rate differently than other maxillary prosthetic designs</w:t>
            </w:r>
            <w:r w:rsidR="00B0457E">
              <w:rPr>
                <w:rFonts w:ascii="Times New Roman" w:eastAsia="Times New Roman" w:hAnsi="Times New Roman" w:cs="Times New Roman"/>
                <w:color w:val="000000"/>
                <w:sz w:val="20"/>
                <w:szCs w:val="20"/>
                <w:lang w:val="en-US" w:eastAsia="pt-BR"/>
              </w:rPr>
              <w:t>.</w:t>
            </w:r>
          </w:p>
        </w:tc>
      </w:tr>
      <w:tr w:rsidR="002914BB" w:rsidRPr="00114AF5" w14:paraId="2649A643" w14:textId="77777777" w:rsidTr="00114AF5">
        <w:trPr>
          <w:trHeight w:val="20"/>
        </w:trPr>
        <w:tc>
          <w:tcPr>
            <w:tcW w:w="1135" w:type="dxa"/>
            <w:shd w:val="clear" w:color="auto" w:fill="auto"/>
            <w:vAlign w:val="center"/>
            <w:hideMark/>
          </w:tcPr>
          <w:p w14:paraId="2555349A"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Cetira Filho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&lt;EndNote&gt;&lt;Cite&gt;&lt;Author&gt;Cetira Filho&lt;/Author&gt;&lt;Year&gt;2020&lt;/Year&gt;&lt;RecNum&gt;20842&lt;/RecNum&gt;&lt;DisplayText&gt;&lt;style face="superscript"&gt;16&lt;/style&gt;&lt;/DisplayText&gt;&lt;record&gt;&lt;rec-number&gt;20842&lt;/rec-number&gt;&lt;foreign-keys&gt;&lt;key app="EN" db-id="f5fv5a2shx52dqesxzmpffeqzt5ffxae2vev" timestamp="1607902500"&gt;20842&lt;/key&gt;&lt;/foreign-keys&gt;&lt;ref-type name="Journal Article"&gt;17&lt;/ref-type&gt;&lt;contributors&gt;&lt;authors&gt;&lt;author&gt;Cetira Filho, Edson Luiz&lt;/author&gt;&lt;author&gt;Carvalho, Francisco Samuel Rodrigues&lt;/author&gt;&lt;author&gt;de Barros Silva, Paulo Goberlânio&lt;/author&gt;&lt;author&gt;Barbosa, Daniel Almeida Ferreira&lt;/author&gt;&lt;author&gt;Pereira, Karuza Maria Alves&lt;/author&gt;&lt;author&gt;Ribeiro, Thyciana Rodrigues&lt;/author&gt;&lt;author&gt;Costa, Fábio Wildson Gurgel&lt;/author&gt;&lt;/authors&gt;&lt;/contributors&gt;&lt;titles&gt;&lt;title&gt;Preemptive use of oral nonsteroidal anti-inflammatory drugs for the relief of inflammatory events after surgical removal of lower third molars: A systematic review with meta-analysis of placebo-controlled randomized clinical trials&lt;/title&gt;&lt;secondary-title&gt;Journal of Cranio-Maxillofacial Surgery&lt;/secondary-title&gt;&lt;/titles&gt;&lt;periodical&gt;&lt;full-title&gt;Journal of Cranio-Maxillofacial Surgery&lt;/full-title&gt;&lt;/periodical&gt;&lt;pages&gt;293-307&lt;/pages&gt;&lt;volume&gt;48&lt;/volume&gt;&lt;number&gt;3&lt;/number&gt;&lt;dates&gt;&lt;year&gt;2020&lt;/year&gt;&lt;/dates&gt;&lt;isbn&gt;1010-5182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16</w:t>
            </w:r>
            <w:r w:rsidR="0008652B" w:rsidRPr="005C470C">
              <w:rPr>
                <w:rFonts w:ascii="Times New Roman" w:eastAsia="Times New Roman" w:hAnsi="Times New Roman" w:cs="Times New Roman"/>
                <w:sz w:val="20"/>
                <w:szCs w:val="20"/>
                <w:lang w:eastAsia="pt-BR"/>
              </w:rPr>
              <w:fldChar w:fldCharType="end"/>
            </w:r>
          </w:p>
          <w:p w14:paraId="3E89FDE3" w14:textId="5F67D945"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17BB3E28"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Journal of Cranio-Maxillofacial Surgery</w:t>
            </w:r>
          </w:p>
          <w:p w14:paraId="4EDDBBB0" w14:textId="586F9819" w:rsidR="00C53143"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(1.766)</w:t>
            </w:r>
          </w:p>
        </w:tc>
        <w:tc>
          <w:tcPr>
            <w:tcW w:w="1418" w:type="dxa"/>
            <w:shd w:val="clear" w:color="auto" w:fill="auto"/>
            <w:vAlign w:val="center"/>
            <w:hideMark/>
          </w:tcPr>
          <w:p w14:paraId="2B76410E"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72AA820F" w14:textId="34A8A0A0"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Does the preemptive use of oral nonsteroidal anti-inflammatory drugs</w:t>
            </w:r>
            <w:r w:rsidR="00726290" w:rsidRPr="005C470C">
              <w:rPr>
                <w:rFonts w:ascii="Times New Roman" w:eastAsia="Times New Roman" w:hAnsi="Times New Roman" w:cs="Times New Roman"/>
                <w:sz w:val="20"/>
                <w:szCs w:val="20"/>
                <w:lang w:val="en-US" w:eastAsia="pt-BR"/>
              </w:rPr>
              <w:t xml:space="preserve"> (</w:t>
            </w:r>
            <w:r w:rsidR="00726290" w:rsidRPr="005C470C">
              <w:rPr>
                <w:rFonts w:ascii="Times New Roman" w:eastAsia="Times New Roman" w:hAnsi="Times New Roman" w:cs="Times New Roman"/>
                <w:color w:val="000000"/>
                <w:sz w:val="20"/>
                <w:szCs w:val="20"/>
                <w:lang w:val="en-US" w:eastAsia="pt-BR"/>
              </w:rPr>
              <w:t>NSAIDs)</w:t>
            </w:r>
            <w:r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lastRenderedPageBreak/>
              <w:t>reduce postoperative inflammatory events (pain, edema, and trismus) in the surgical removal of third molars?</w:t>
            </w:r>
          </w:p>
        </w:tc>
        <w:tc>
          <w:tcPr>
            <w:tcW w:w="1134" w:type="dxa"/>
            <w:shd w:val="clear" w:color="auto" w:fill="auto"/>
            <w:vAlign w:val="center"/>
            <w:hideMark/>
          </w:tcPr>
          <w:p w14:paraId="124C80B3" w14:textId="45DCA5FD" w:rsidR="006226A8" w:rsidRPr="005C470C" w:rsidRDefault="00B16511" w:rsidP="006226A8">
            <w:pPr>
              <w:jc w:val="center"/>
              <w:rPr>
                <w:rFonts w:ascii="Times New Roman" w:eastAsia="Times New Roman" w:hAnsi="Times New Roman" w:cs="Times New Roman"/>
                <w:color w:val="000000"/>
                <w:sz w:val="20"/>
                <w:szCs w:val="20"/>
                <w:lang w:val="en-US" w:eastAsia="pt-BR"/>
              </w:rPr>
            </w:pPr>
            <w:r>
              <w:rPr>
                <w:rFonts w:ascii="Times New Roman" w:eastAsia="Times New Roman" w:hAnsi="Times New Roman" w:cs="Times New Roman"/>
                <w:color w:val="000000"/>
                <w:sz w:val="20"/>
                <w:szCs w:val="20"/>
                <w:lang w:val="en-US" w:eastAsia="pt-BR"/>
              </w:rPr>
              <w:lastRenderedPageBreak/>
              <w:t>Patients</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who underwent third molar surgery</w:t>
            </w:r>
          </w:p>
        </w:tc>
        <w:tc>
          <w:tcPr>
            <w:tcW w:w="1276" w:type="dxa"/>
            <w:shd w:val="clear" w:color="auto" w:fill="auto"/>
            <w:vAlign w:val="center"/>
            <w:hideMark/>
          </w:tcPr>
          <w:p w14:paraId="1BF20143" w14:textId="0804289A"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Preoperative </w:t>
            </w:r>
            <w:r w:rsidR="006226A8" w:rsidRPr="005C470C">
              <w:rPr>
                <w:rFonts w:ascii="Times New Roman" w:eastAsia="Times New Roman" w:hAnsi="Times New Roman" w:cs="Times New Roman"/>
                <w:color w:val="000000"/>
                <w:sz w:val="20"/>
                <w:szCs w:val="20"/>
                <w:lang w:val="en-US" w:eastAsia="pt-BR"/>
              </w:rPr>
              <w:t>administration of oral NSAIDs in</w:t>
            </w:r>
            <w:r w:rsidR="008466C6"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surgical procedures for third </w:t>
            </w:r>
            <w:r w:rsidR="006226A8" w:rsidRPr="005C470C">
              <w:rPr>
                <w:rFonts w:ascii="Times New Roman" w:eastAsia="Times New Roman" w:hAnsi="Times New Roman" w:cs="Times New Roman"/>
                <w:color w:val="000000"/>
                <w:sz w:val="20"/>
                <w:szCs w:val="20"/>
                <w:lang w:val="en-US" w:eastAsia="pt-BR"/>
              </w:rPr>
              <w:lastRenderedPageBreak/>
              <w:t>molar removal</w:t>
            </w:r>
          </w:p>
        </w:tc>
        <w:tc>
          <w:tcPr>
            <w:tcW w:w="1418" w:type="dxa"/>
            <w:shd w:val="clear" w:color="auto" w:fill="auto"/>
            <w:vAlign w:val="center"/>
            <w:hideMark/>
          </w:tcPr>
          <w:p w14:paraId="2E271D97" w14:textId="496EDB45"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Placebo or another ac</w:t>
            </w:r>
            <w:r w:rsidR="006226A8" w:rsidRPr="005C470C">
              <w:rPr>
                <w:rFonts w:ascii="Times New Roman" w:eastAsia="Times New Roman" w:hAnsi="Times New Roman" w:cs="Times New Roman"/>
                <w:color w:val="000000"/>
                <w:sz w:val="20"/>
                <w:szCs w:val="20"/>
                <w:lang w:val="en-US" w:eastAsia="pt-BR"/>
              </w:rPr>
              <w:t>tive drug for pain relief</w:t>
            </w:r>
          </w:p>
        </w:tc>
        <w:tc>
          <w:tcPr>
            <w:tcW w:w="1275" w:type="dxa"/>
            <w:shd w:val="clear" w:color="auto" w:fill="auto"/>
            <w:vAlign w:val="center"/>
            <w:hideMark/>
          </w:tcPr>
          <w:p w14:paraId="2DA6F0D0" w14:textId="7A5DC051"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Relief from postoperative inflammatory events</w:t>
            </w:r>
            <w:r w:rsidR="008466C6"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(pain, edema, and trismus)</w:t>
            </w:r>
          </w:p>
        </w:tc>
        <w:tc>
          <w:tcPr>
            <w:tcW w:w="1134" w:type="dxa"/>
            <w:shd w:val="clear" w:color="auto" w:fill="auto"/>
            <w:vAlign w:val="center"/>
            <w:hideMark/>
          </w:tcPr>
          <w:p w14:paraId="787135E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(n=31)</w:t>
            </w:r>
          </w:p>
        </w:tc>
        <w:tc>
          <w:tcPr>
            <w:tcW w:w="567" w:type="dxa"/>
            <w:shd w:val="clear" w:color="auto" w:fill="auto"/>
            <w:vAlign w:val="center"/>
            <w:hideMark/>
          </w:tcPr>
          <w:p w14:paraId="2A2EA130"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59EA6B0E" w14:textId="616C2CD3" w:rsidR="006226A8" w:rsidRPr="005C470C" w:rsidRDefault="00726290"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w:t>
            </w:r>
            <w:r w:rsidR="006226A8" w:rsidRPr="005C470C">
              <w:rPr>
                <w:rFonts w:ascii="Times New Roman" w:eastAsia="Times New Roman" w:hAnsi="Times New Roman" w:cs="Times New Roman"/>
                <w:color w:val="000000"/>
                <w:sz w:val="20"/>
                <w:szCs w:val="20"/>
                <w:lang w:val="en-US" w:eastAsia="pt-BR"/>
              </w:rPr>
              <w:t xml:space="preserve">ome NSAIDs were effective in controlling pain, edema, and trismus. According to the summarized evidence, preemptive </w:t>
            </w:r>
            <w:r w:rsidR="006226A8" w:rsidRPr="005C470C">
              <w:rPr>
                <w:rFonts w:ascii="Times New Roman" w:eastAsia="Times New Roman" w:hAnsi="Times New Roman" w:cs="Times New Roman"/>
                <w:color w:val="000000"/>
                <w:sz w:val="20"/>
                <w:szCs w:val="20"/>
                <w:lang w:val="en-US" w:eastAsia="pt-BR"/>
              </w:rPr>
              <w:lastRenderedPageBreak/>
              <w:t>analgesia in the removal of third molars lowered average pain scores, especially in the first 6h after surgery, and reduced the average consumption of medication and the number of patients who needed it without interfering with the average time for first consumption. However, there are several protocols for preemptive</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analgesia in surgical procedures for third molar removal</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119CFE8" w14:textId="1454F39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726290" w:rsidRPr="005C470C">
              <w:rPr>
                <w:rFonts w:ascii="Times New Roman" w:eastAsia="Times New Roman" w:hAnsi="Times New Roman" w:cs="Times New Roman"/>
                <w:color w:val="000000"/>
                <w:sz w:val="20"/>
                <w:szCs w:val="20"/>
                <w:lang w:val="en-US" w:eastAsia="pt-BR"/>
              </w:rPr>
              <w:t xml:space="preserve"> - Rigorously delineated clinical trials are needed to allow an analysis of the real effects and clinical </w:t>
            </w:r>
            <w:r w:rsidR="00726290" w:rsidRPr="005C470C">
              <w:rPr>
                <w:rFonts w:ascii="Times New Roman" w:eastAsia="Times New Roman" w:hAnsi="Times New Roman" w:cs="Times New Roman"/>
                <w:color w:val="000000"/>
                <w:sz w:val="20"/>
                <w:szCs w:val="20"/>
                <w:lang w:val="en-US" w:eastAsia="pt-BR"/>
              </w:rPr>
              <w:lastRenderedPageBreak/>
              <w:t>applicability of preemptive analgesia with NSAIDs in oral surgery, providing a standard protocol to be addressed in further studies and in the clinical setting</w:t>
            </w:r>
            <w:r w:rsidR="00B0457E">
              <w:rPr>
                <w:rFonts w:ascii="Times New Roman" w:eastAsia="Times New Roman" w:hAnsi="Times New Roman" w:cs="Times New Roman"/>
                <w:color w:val="000000"/>
                <w:sz w:val="20"/>
                <w:szCs w:val="20"/>
                <w:lang w:val="en-US" w:eastAsia="pt-BR"/>
              </w:rPr>
              <w:t>.</w:t>
            </w:r>
          </w:p>
        </w:tc>
      </w:tr>
      <w:tr w:rsidR="002914BB" w:rsidRPr="005C470C" w14:paraId="0E664546" w14:textId="77777777" w:rsidTr="00114AF5">
        <w:trPr>
          <w:trHeight w:val="20"/>
        </w:trPr>
        <w:tc>
          <w:tcPr>
            <w:tcW w:w="1135" w:type="dxa"/>
            <w:shd w:val="clear" w:color="auto" w:fill="auto"/>
            <w:vAlign w:val="center"/>
            <w:hideMark/>
          </w:tcPr>
          <w:p w14:paraId="00DF5115"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Chambrone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&lt;EndNote&gt;&lt;Cite&gt;&lt;Author&gt;Chambrone&lt;/Author&gt;&lt;Year&gt;2019&lt;/Year&gt;&lt;RecNum&gt;20873&lt;/RecNum&gt;&lt;DisplayText&gt;&lt;style face="superscript"&gt;17&lt;/style&gt;&lt;/DisplayText&gt;&lt;record&gt;&lt;rec-number&gt;20873&lt;/rec-number&gt;&lt;foreign-keys&gt;&lt;key app="EN" db-id="f5fv5a2shx52dqesxzmpffeqzt5ffxae2vev" timestamp="1607902533"&gt;20873&lt;/key&gt;&lt;/foreign-keys&gt;&lt;ref-type name="Journal Article"&gt;17&lt;/ref-type&gt;&lt;contributors&gt;&lt;authors&gt;&lt;author&gt;Chambrone, Leandro&lt;/author&gt;&lt;author&gt;Ortega, Maria Aparecida Salinas&lt;/author&gt;&lt;author&gt;Sukekava, Flávia&lt;/author&gt;&lt;author&gt;Rotundo, Roberto&lt;/author&gt;&lt;author&gt;Kalemaj, Zamira&lt;/author&gt;&lt;author&gt;Buti, Jacopo&lt;/author&gt;&lt;author&gt;Prato, Giovan Paolo Pini&lt;/author&gt;&lt;/authors&gt;&lt;/contributors&gt;&lt;titles&gt;&lt;title&gt;Root coverage procedures for treating single and multiple recession‐type defects: An updated Cochrane systematic review&lt;/title&gt;&lt;secondary-title&gt;Journal of Periodontology&lt;/secondary-title&gt;&lt;/titles&gt;&lt;periodical&gt;&lt;full-title&gt;J Periodontol&lt;/full-title&gt;&lt;abbr-1&gt;Journal of periodontology&lt;/abbr-1&gt;&lt;/periodical&gt;&lt;pages&gt;1399-1422&lt;/pages&gt;&lt;volume&gt;90&lt;/volume&gt;&lt;number&gt;12&lt;/number&gt;&lt;dates&gt;&lt;year&gt;2019&lt;/year&gt;&lt;/dates&gt;&lt;isbn&gt;0022-3492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17</w:t>
            </w:r>
            <w:r w:rsidR="0008652B" w:rsidRPr="005C470C">
              <w:rPr>
                <w:rFonts w:ascii="Times New Roman" w:eastAsia="Times New Roman" w:hAnsi="Times New Roman" w:cs="Times New Roman"/>
                <w:sz w:val="20"/>
                <w:szCs w:val="20"/>
                <w:lang w:eastAsia="pt-BR"/>
              </w:rPr>
              <w:fldChar w:fldCharType="end"/>
            </w:r>
          </w:p>
          <w:p w14:paraId="727C2DE8" w14:textId="123634E0"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2FBF0BA3"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periodontology</w:t>
            </w:r>
          </w:p>
          <w:p w14:paraId="20FA07C2" w14:textId="6ED7145D"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(3.742)</w:t>
            </w:r>
          </w:p>
        </w:tc>
        <w:tc>
          <w:tcPr>
            <w:tcW w:w="1418" w:type="dxa"/>
            <w:shd w:val="clear" w:color="auto" w:fill="auto"/>
            <w:vAlign w:val="center"/>
            <w:hideMark/>
          </w:tcPr>
          <w:p w14:paraId="3308554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61BD2ACF" w14:textId="0E3CE1E7"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Evaluated </w:t>
            </w:r>
            <w:r w:rsidR="006226A8" w:rsidRPr="005C470C">
              <w:rPr>
                <w:rFonts w:ascii="Times New Roman" w:eastAsia="Times New Roman" w:hAnsi="Times New Roman" w:cs="Times New Roman"/>
                <w:sz w:val="20"/>
                <w:szCs w:val="20"/>
                <w:lang w:val="en-US" w:eastAsia="pt-BR"/>
              </w:rPr>
              <w:t>the efficacy of different root coverage (RC) procedures in the treatment of single and multiple gingival recessions (GR)</w:t>
            </w:r>
          </w:p>
        </w:tc>
        <w:tc>
          <w:tcPr>
            <w:tcW w:w="1134" w:type="dxa"/>
            <w:shd w:val="clear" w:color="auto" w:fill="auto"/>
            <w:vAlign w:val="center"/>
            <w:hideMark/>
          </w:tcPr>
          <w:p w14:paraId="31203E1D" w14:textId="7F9D6AF5" w:rsidR="006226A8" w:rsidRPr="005C470C" w:rsidRDefault="006226A8" w:rsidP="00726290">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treated with a single or multiple Miller’s</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 xml:space="preserve">Class I or II GR </w:t>
            </w:r>
            <w:r w:rsidR="00726290" w:rsidRPr="005C470C">
              <w:rPr>
                <w:rFonts w:ascii="Times New Roman" w:eastAsia="Times New Roman" w:hAnsi="Times New Roman" w:cs="Times New Roman"/>
                <w:color w:val="000000"/>
                <w:sz w:val="20"/>
                <w:szCs w:val="20"/>
                <w:lang w:val="en-US" w:eastAsia="pt-BR"/>
              </w:rPr>
              <w:t>[</w:t>
            </w:r>
            <w:r w:rsidR="00726290" w:rsidRPr="005C470C">
              <w:rPr>
                <w:rFonts w:ascii="Times New Roman" w:hAnsi="Times New Roman" w:cs="Times New Roman"/>
                <w:sz w:val="20"/>
                <w:szCs w:val="20"/>
                <w:lang w:val="en-US"/>
              </w:rPr>
              <w:t>recession depth (</w:t>
            </w:r>
            <w:r w:rsidRPr="005C470C">
              <w:rPr>
                <w:rFonts w:ascii="Times New Roman" w:eastAsia="Times New Roman" w:hAnsi="Times New Roman" w:cs="Times New Roman"/>
                <w:color w:val="000000"/>
                <w:sz w:val="20"/>
                <w:szCs w:val="20"/>
                <w:lang w:val="en-US" w:eastAsia="pt-BR"/>
              </w:rPr>
              <w:t>RD</w:t>
            </w:r>
            <w:r w:rsidR="0072629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 3 mm</w:t>
            </w:r>
            <w:r w:rsidR="00726290" w:rsidRPr="005C470C">
              <w:rPr>
                <w:rFonts w:ascii="Times New Roman" w:eastAsia="Times New Roman" w:hAnsi="Times New Roman" w:cs="Times New Roman"/>
                <w:color w:val="000000"/>
                <w:sz w:val="20"/>
                <w:szCs w:val="20"/>
                <w:lang w:val="en-US" w:eastAsia="pt-BR"/>
              </w:rPr>
              <w:t>]</w:t>
            </w:r>
          </w:p>
        </w:tc>
        <w:tc>
          <w:tcPr>
            <w:tcW w:w="1276" w:type="dxa"/>
            <w:shd w:val="clear" w:color="auto" w:fill="auto"/>
            <w:vAlign w:val="center"/>
            <w:hideMark/>
          </w:tcPr>
          <w:p w14:paraId="3CFB9C20" w14:textId="1A069BB6" w:rsidR="006226A8" w:rsidRPr="005C470C" w:rsidRDefault="00C01468" w:rsidP="00726290">
            <w:pPr>
              <w:autoSpaceDE w:val="0"/>
              <w:autoSpaceDN w:val="0"/>
              <w:adjustRightInd w:val="0"/>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Free </w:t>
            </w:r>
            <w:r w:rsidR="006226A8" w:rsidRPr="005C470C">
              <w:rPr>
                <w:rFonts w:ascii="Times New Roman" w:eastAsia="Times New Roman" w:hAnsi="Times New Roman" w:cs="Times New Roman"/>
                <w:color w:val="000000"/>
                <w:sz w:val="20"/>
                <w:szCs w:val="20"/>
                <w:lang w:val="en-US" w:eastAsia="pt-BR"/>
              </w:rPr>
              <w:t xml:space="preserve">gingival grafts; laterally positioned flap; </w:t>
            </w:r>
            <w:r w:rsidR="00726290" w:rsidRPr="005C470C">
              <w:rPr>
                <w:rFonts w:ascii="Times New Roman" w:eastAsia="Times New Roman" w:hAnsi="Times New Roman" w:cs="Times New Roman"/>
                <w:color w:val="000000"/>
                <w:sz w:val="20"/>
                <w:szCs w:val="20"/>
                <w:lang w:val="en-US" w:eastAsia="pt-BR"/>
              </w:rPr>
              <w:t>coronally advanced flap (</w:t>
            </w:r>
            <w:r w:rsidR="006226A8" w:rsidRPr="005C470C">
              <w:rPr>
                <w:rFonts w:ascii="Times New Roman" w:eastAsia="Times New Roman" w:hAnsi="Times New Roman" w:cs="Times New Roman"/>
                <w:color w:val="000000"/>
                <w:sz w:val="20"/>
                <w:szCs w:val="20"/>
                <w:lang w:val="en-US" w:eastAsia="pt-BR"/>
              </w:rPr>
              <w:t>CAF</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w:t>
            </w:r>
            <w:r w:rsidR="00726290" w:rsidRPr="005C470C">
              <w:rPr>
                <w:rFonts w:ascii="Times New Roman" w:eastAsia="Times New Roman" w:hAnsi="Times New Roman" w:cs="Times New Roman"/>
                <w:color w:val="000000"/>
                <w:sz w:val="20"/>
                <w:szCs w:val="20"/>
                <w:lang w:val="en-US" w:eastAsia="pt-BR"/>
              </w:rPr>
              <w:t>subepithelial connective tissue grafts (</w:t>
            </w:r>
            <w:r w:rsidR="006226A8" w:rsidRPr="005C470C">
              <w:rPr>
                <w:rFonts w:ascii="Times New Roman" w:eastAsia="Times New Roman" w:hAnsi="Times New Roman" w:cs="Times New Roman"/>
                <w:color w:val="000000"/>
                <w:sz w:val="20"/>
                <w:szCs w:val="20"/>
                <w:lang w:val="en-US" w:eastAsia="pt-BR"/>
              </w:rPr>
              <w:t>SCTG</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alone </w:t>
            </w:r>
            <w:r w:rsidR="006226A8" w:rsidRPr="005C470C">
              <w:rPr>
                <w:rFonts w:ascii="Times New Roman" w:eastAsia="Times New Roman" w:hAnsi="Times New Roman" w:cs="Times New Roman"/>
                <w:color w:val="000000"/>
                <w:sz w:val="20"/>
                <w:szCs w:val="20"/>
                <w:lang w:val="en-US" w:eastAsia="pt-BR"/>
              </w:rPr>
              <w:lastRenderedPageBreak/>
              <w:t xml:space="preserve">or </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LPF or </w:t>
            </w:r>
            <w:r w:rsidR="002B4A3F"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CAF; CAF </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allograft</w:t>
            </w:r>
            <w:r w:rsidR="00726290" w:rsidRPr="005C470C">
              <w:rPr>
                <w:rFonts w:ascii="Times New Roman" w:eastAsia="Times New Roman" w:hAnsi="Times New Roman" w:cs="Times New Roman"/>
                <w:color w:val="000000"/>
                <w:sz w:val="20"/>
                <w:szCs w:val="20"/>
                <w:lang w:val="en-US" w:eastAsia="pt-BR"/>
              </w:rPr>
              <w:t xml:space="preserve"> (e.g. </w:t>
            </w:r>
            <w:r w:rsidR="00726290" w:rsidRPr="005C470C">
              <w:rPr>
                <w:rFonts w:ascii="Times New Roman" w:hAnsi="Times New Roman" w:cs="Times New Roman"/>
                <w:sz w:val="20"/>
                <w:szCs w:val="20"/>
                <w:lang w:val="en-US"/>
              </w:rPr>
              <w:t>acellular dermalmatrix grafts – ADMG)</w:t>
            </w:r>
            <w:r w:rsidR="00726290" w:rsidRPr="005C470C">
              <w:rPr>
                <w:rFonts w:ascii="Times New Roman" w:eastAsia="Times New Roman" w:hAnsi="Times New Roman" w:cs="Times New Roman"/>
                <w:color w:val="000000"/>
                <w:sz w:val="20"/>
                <w:szCs w:val="20"/>
                <w:lang w:val="en-US" w:eastAsia="pt-BR"/>
              </w:rPr>
              <w:t>, guided tissue regeneration</w:t>
            </w:r>
            <w:r w:rsidR="002B4A3F" w:rsidRPr="005C470C">
              <w:rPr>
                <w:rFonts w:ascii="Times New Roman" w:eastAsia="Times New Roman" w:hAnsi="Times New Roman" w:cs="Times New Roman"/>
                <w:color w:val="000000"/>
                <w:sz w:val="20"/>
                <w:szCs w:val="20"/>
                <w:lang w:val="en-US" w:eastAsia="pt-BR"/>
              </w:rPr>
              <w:t>,</w:t>
            </w:r>
            <w:r w:rsidR="00726290" w:rsidRPr="005C470C">
              <w:rPr>
                <w:rFonts w:ascii="Times New Roman" w:eastAsia="Times New Roman" w:hAnsi="Times New Roman" w:cs="Times New Roman"/>
                <w:color w:val="000000"/>
                <w:sz w:val="20"/>
                <w:szCs w:val="20"/>
                <w:lang w:val="en-US" w:eastAsia="pt-BR"/>
              </w:rPr>
              <w:t xml:space="preserve"> enamel matrix derivative</w:t>
            </w:r>
            <w:r w:rsidR="006226A8" w:rsidRPr="005C470C">
              <w:rPr>
                <w:rFonts w:ascii="Times New Roman" w:eastAsia="Times New Roman" w:hAnsi="Times New Roman" w:cs="Times New Roman"/>
                <w:color w:val="000000"/>
                <w:sz w:val="20"/>
                <w:szCs w:val="20"/>
                <w:lang w:val="en-US" w:eastAsia="pt-BR"/>
              </w:rPr>
              <w:t xml:space="preserve">, </w:t>
            </w:r>
            <w:r w:rsidR="00726290" w:rsidRPr="005C470C">
              <w:rPr>
                <w:rFonts w:ascii="Times New Roman" w:eastAsia="Times New Roman" w:hAnsi="Times New Roman" w:cs="Times New Roman"/>
                <w:color w:val="000000"/>
                <w:sz w:val="20"/>
                <w:szCs w:val="20"/>
                <w:lang w:val="en-US" w:eastAsia="pt-BR"/>
              </w:rPr>
              <w:t>collagen bilayer matrix graft</w:t>
            </w:r>
            <w:r w:rsidR="006226A8" w:rsidRPr="005C470C">
              <w:rPr>
                <w:rFonts w:ascii="Times New Roman" w:eastAsia="Times New Roman" w:hAnsi="Times New Roman" w:cs="Times New Roman"/>
                <w:color w:val="000000"/>
                <w:sz w:val="20"/>
                <w:szCs w:val="20"/>
                <w:lang w:val="en-US" w:eastAsia="pt-BR"/>
              </w:rPr>
              <w:t>, or other biomaterial</w:t>
            </w:r>
          </w:p>
        </w:tc>
        <w:tc>
          <w:tcPr>
            <w:tcW w:w="1418" w:type="dxa"/>
            <w:shd w:val="clear" w:color="auto" w:fill="auto"/>
            <w:vAlign w:val="center"/>
            <w:hideMark/>
          </w:tcPr>
          <w:p w14:paraId="1BA15D4E" w14:textId="77777777" w:rsidR="006226A8" w:rsidRPr="005C470C" w:rsidRDefault="006226A8" w:rsidP="00726290">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Other type of RC</w:t>
            </w:r>
          </w:p>
        </w:tc>
        <w:tc>
          <w:tcPr>
            <w:tcW w:w="1275" w:type="dxa"/>
            <w:shd w:val="clear" w:color="auto" w:fill="auto"/>
            <w:vAlign w:val="center"/>
            <w:hideMark/>
          </w:tcPr>
          <w:p w14:paraId="18853F79" w14:textId="6610CB57" w:rsidR="006226A8" w:rsidRPr="005C470C" w:rsidRDefault="00726290" w:rsidP="00726290">
            <w:pPr>
              <w:autoSpaceDE w:val="0"/>
              <w:autoSpaceDN w:val="0"/>
              <w:adjustRightInd w:val="0"/>
              <w:jc w:val="center"/>
              <w:rPr>
                <w:rFonts w:ascii="Times New Roman" w:hAnsi="Times New Roman" w:cs="Times New Roman"/>
                <w:sz w:val="20"/>
                <w:szCs w:val="20"/>
                <w:lang w:val="en-US"/>
              </w:rPr>
            </w:pPr>
            <w:r w:rsidRPr="005C470C">
              <w:rPr>
                <w:rFonts w:ascii="Times New Roman" w:eastAsia="Times New Roman" w:hAnsi="Times New Roman" w:cs="Times New Roman"/>
                <w:color w:val="000000"/>
                <w:sz w:val="20"/>
                <w:szCs w:val="20"/>
                <w:lang w:val="en-US" w:eastAsia="pt-BR"/>
              </w:rPr>
              <w:t>C</w:t>
            </w:r>
            <w:r w:rsidR="006226A8" w:rsidRPr="005C470C">
              <w:rPr>
                <w:rFonts w:ascii="Times New Roman" w:eastAsia="Times New Roman" w:hAnsi="Times New Roman" w:cs="Times New Roman"/>
                <w:color w:val="000000"/>
                <w:sz w:val="20"/>
                <w:szCs w:val="20"/>
                <w:lang w:val="en-US" w:eastAsia="pt-BR"/>
              </w:rPr>
              <w:t>hange related to patient’s opinion</w:t>
            </w:r>
            <w:r w:rsidRPr="005C470C">
              <w:rPr>
                <w:rFonts w:ascii="Times New Roman" w:eastAsia="Times New Roman" w:hAnsi="Times New Roman" w:cs="Times New Roman"/>
                <w:color w:val="000000"/>
                <w:sz w:val="20"/>
                <w:szCs w:val="20"/>
                <w:lang w:val="en-US" w:eastAsia="pt-BR"/>
              </w:rPr>
              <w:t xml:space="preserve"> about aesthetic condition,</w:t>
            </w:r>
            <w:r w:rsidR="006226A8" w:rsidRPr="005C470C">
              <w:rPr>
                <w:rFonts w:ascii="Times New Roman" w:eastAsia="Times New Roman" w:hAnsi="Times New Roman" w:cs="Times New Roman"/>
                <w:color w:val="000000"/>
                <w:sz w:val="20"/>
                <w:szCs w:val="20"/>
                <w:lang w:val="en-US" w:eastAsia="pt-BR"/>
              </w:rPr>
              <w:t xml:space="preserve"> complete root coverage</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RD</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CAL</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w:t>
            </w:r>
            <w:r w:rsidRPr="005C470C">
              <w:rPr>
                <w:rFonts w:ascii="Times New Roman" w:hAnsi="Times New Roman" w:cs="Times New Roman"/>
                <w:sz w:val="20"/>
                <w:szCs w:val="20"/>
                <w:lang w:val="en-US"/>
              </w:rPr>
              <w:t>keratinized tissue width</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M</w:t>
            </w:r>
            <w:r w:rsidR="006226A8" w:rsidRPr="005C470C">
              <w:rPr>
                <w:rFonts w:ascii="Times New Roman" w:eastAsia="Times New Roman" w:hAnsi="Times New Roman" w:cs="Times New Roman"/>
                <w:color w:val="000000"/>
                <w:sz w:val="20"/>
                <w:szCs w:val="20"/>
                <w:lang w:val="en-US" w:eastAsia="pt-BR"/>
              </w:rPr>
              <w:t xml:space="preserve">ean root </w:t>
            </w:r>
            <w:r w:rsidR="006226A8" w:rsidRPr="005C470C">
              <w:rPr>
                <w:rFonts w:ascii="Times New Roman" w:eastAsia="Times New Roman" w:hAnsi="Times New Roman" w:cs="Times New Roman"/>
                <w:color w:val="000000"/>
                <w:sz w:val="20"/>
                <w:szCs w:val="20"/>
                <w:lang w:val="en-US" w:eastAsia="pt-BR"/>
              </w:rPr>
              <w:lastRenderedPageBreak/>
              <w:t>coverage</w:t>
            </w:r>
            <w:r w:rsidRPr="005C470C">
              <w:rPr>
                <w:rFonts w:ascii="Times New Roman" w:eastAsia="Times New Roman" w:hAnsi="Times New Roman" w:cs="Times New Roman"/>
                <w:color w:val="000000"/>
                <w:sz w:val="20"/>
                <w:szCs w:val="20"/>
                <w:lang w:val="en-US" w:eastAsia="pt-BR"/>
              </w:rPr>
              <w:t>; P</w:t>
            </w:r>
            <w:r w:rsidR="006226A8" w:rsidRPr="005C470C">
              <w:rPr>
                <w:rFonts w:ascii="Times New Roman" w:eastAsia="Times New Roman" w:hAnsi="Times New Roman" w:cs="Times New Roman"/>
                <w:color w:val="000000"/>
                <w:sz w:val="20"/>
                <w:szCs w:val="20"/>
                <w:lang w:val="en-US" w:eastAsia="pt-BR"/>
              </w:rPr>
              <w:t>atients’ preference for a specific RC procedure (in split-mouth trials), occurrence of adverse effects, and/or postoperative complications. Outcome measures were separated into short-term (as evaluated 6</w:t>
            </w:r>
            <w:r w:rsidR="008466C6"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12</w:t>
            </w:r>
            <w:r w:rsidR="008466C6" w:rsidRPr="005C470C">
              <w:rPr>
                <w:rFonts w:ascii="Times New Roman" w:eastAsia="Times New Roman" w:hAnsi="Times New Roman" w:cs="Times New Roman"/>
                <w:color w:val="000000"/>
                <w:sz w:val="20"/>
                <w:szCs w:val="20"/>
                <w:lang w:val="en-US" w:eastAsia="pt-BR"/>
              </w:rPr>
              <w:t>mo</w:t>
            </w:r>
            <w:r w:rsidR="006226A8" w:rsidRPr="005C470C">
              <w:rPr>
                <w:rFonts w:ascii="Times New Roman" w:eastAsia="Times New Roman" w:hAnsi="Times New Roman" w:cs="Times New Roman"/>
                <w:color w:val="000000"/>
                <w:sz w:val="20"/>
                <w:szCs w:val="20"/>
                <w:lang w:val="en-US" w:eastAsia="pt-BR"/>
              </w:rPr>
              <w:t xml:space="preserve"> following interventions), medium-term (13</w:t>
            </w:r>
            <w:r w:rsidR="008466C6"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59</w:t>
            </w:r>
            <w:r w:rsidR="008466C6" w:rsidRPr="005C470C">
              <w:rPr>
                <w:rFonts w:ascii="Times New Roman" w:eastAsia="Times New Roman" w:hAnsi="Times New Roman" w:cs="Times New Roman"/>
                <w:color w:val="000000"/>
                <w:sz w:val="20"/>
                <w:szCs w:val="20"/>
                <w:lang w:val="en-US" w:eastAsia="pt-BR"/>
              </w:rPr>
              <w:t>mo</w:t>
            </w:r>
            <w:r w:rsidR="006226A8" w:rsidRPr="005C470C">
              <w:rPr>
                <w:rFonts w:ascii="Times New Roman" w:eastAsia="Times New Roman" w:hAnsi="Times New Roman" w:cs="Times New Roman"/>
                <w:color w:val="000000"/>
                <w:sz w:val="20"/>
                <w:szCs w:val="20"/>
                <w:lang w:val="en-US" w:eastAsia="pt-BR"/>
              </w:rPr>
              <w:t>), or long-term (≥5</w:t>
            </w:r>
            <w:r w:rsidRPr="005C470C">
              <w:rPr>
                <w:rFonts w:ascii="Times New Roman" w:eastAsia="Times New Roman" w:hAnsi="Times New Roman" w:cs="Times New Roman"/>
                <w:color w:val="000000"/>
                <w:sz w:val="20"/>
                <w:szCs w:val="20"/>
                <w:lang w:val="en-US" w:eastAsia="pt-BR"/>
              </w:rPr>
              <w:t>y</w:t>
            </w:r>
            <w:r w:rsidR="006226A8"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4AE0B90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(n=48)</w:t>
            </w:r>
          </w:p>
        </w:tc>
        <w:tc>
          <w:tcPr>
            <w:tcW w:w="567" w:type="dxa"/>
            <w:shd w:val="clear" w:color="auto" w:fill="auto"/>
            <w:vAlign w:val="center"/>
            <w:hideMark/>
          </w:tcPr>
          <w:p w14:paraId="2A274AF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40739E27" w14:textId="0E008A1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SCTG, CAF alone or associated with another biomaterial may be used for treating single or multiple GR. Ther</w:t>
            </w:r>
            <w:r w:rsidR="006163BD" w:rsidRPr="005C470C">
              <w:rPr>
                <w:rFonts w:ascii="Times New Roman" w:eastAsia="Times New Roman" w:hAnsi="Times New Roman" w:cs="Times New Roman"/>
                <w:color w:val="000000"/>
                <w:sz w:val="20"/>
                <w:szCs w:val="20"/>
                <w:lang w:val="en-US" w:eastAsia="pt-BR"/>
              </w:rPr>
              <w:t>e</w:t>
            </w:r>
            <w:r w:rsidRPr="005C470C">
              <w:rPr>
                <w:rFonts w:ascii="Times New Roman" w:eastAsia="Times New Roman" w:hAnsi="Times New Roman" w:cs="Times New Roman"/>
                <w:color w:val="000000"/>
                <w:sz w:val="20"/>
                <w:szCs w:val="20"/>
                <w:lang w:val="en-US" w:eastAsia="pt-BR"/>
              </w:rPr>
              <w:t xml:space="preserve"> is also some evidence suggesting that ADMG appear as the soft tissue substitute that may </w:t>
            </w:r>
            <w:r w:rsidRPr="005C470C">
              <w:rPr>
                <w:rFonts w:ascii="Times New Roman" w:eastAsia="Times New Roman" w:hAnsi="Times New Roman" w:cs="Times New Roman"/>
                <w:color w:val="000000"/>
                <w:sz w:val="20"/>
                <w:szCs w:val="20"/>
                <w:lang w:val="en-US" w:eastAsia="pt-BR"/>
              </w:rPr>
              <w:lastRenderedPageBreak/>
              <w:t>provide the most similar outcomes to those achieved by SCTG</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E870F64"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Y</w:t>
            </w:r>
          </w:p>
        </w:tc>
      </w:tr>
      <w:tr w:rsidR="002914BB" w:rsidRPr="00114AF5" w14:paraId="0D2A0021" w14:textId="77777777" w:rsidTr="00114AF5">
        <w:trPr>
          <w:trHeight w:val="20"/>
        </w:trPr>
        <w:tc>
          <w:tcPr>
            <w:tcW w:w="1135" w:type="dxa"/>
            <w:shd w:val="clear" w:color="auto" w:fill="auto"/>
            <w:vAlign w:val="center"/>
            <w:hideMark/>
          </w:tcPr>
          <w:p w14:paraId="2F6BDFAE"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Chaves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&lt;EndNote&gt;&lt;Cite&gt;&lt;Author&gt;Chaves&lt;/Author&gt;&lt;Year&gt;2020&lt;/Year&gt;&lt;RecNum&gt;20872&lt;/RecNum&gt;&lt;DisplayText&gt;&lt;style face="superscript"&gt;18&lt;/style&gt;&lt;/DisplayText&gt;&lt;record&gt;&lt;rec-number&gt;20872&lt;/rec-number&gt;&lt;foreign-keys&gt;&lt;key app="EN" db-id="f5fv5a2shx52dqesxzmpffeqzt5ffxae2vev" timestamp="1607902533"&gt;20872&lt;/key&gt;&lt;/foreign-keys&gt;&lt;ref-type name="Journal Article"&gt;17&lt;/ref-type&gt;&lt;contributors&gt;&lt;authors&gt;&lt;author&gt;Chaves, João Daniel Paganella&lt;/author&gt;&lt;author&gt;Figueredo, Taize Franciele Massignani&lt;/author&gt;&lt;author&gt;Warnavin, Stephanie Von Stein Cubas&lt;/author&gt;&lt;author&gt;Pannuti, Cláudio Mendes&lt;/author&gt;&lt;author&gt;Steffens, João Paulo&lt;/author&gt;&lt;/authors&gt;&lt;/contributors&gt;&lt;titles&gt;&lt;title&gt;Sex hormone replacement therapy in periodontology—A systematic review&lt;/title&gt;&lt;secondary-title&gt;Oral diseases&lt;/secondary-title&gt;&lt;/titles&gt;&lt;periodical&gt;&lt;full-title&gt;Oral Dis&lt;/full-title&gt;&lt;abbr-1&gt;Oral diseases&lt;/abbr-1&gt;&lt;/periodical&gt;&lt;pages&gt;270-284&lt;/pages&gt;&lt;volume&gt;26&lt;/volume&gt;&lt;number&gt;2&lt;/number&gt;&lt;dates&gt;&lt;year&gt;2020&lt;/year&gt;&lt;/dates&gt;&lt;isbn&gt;1354-523X&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18</w:t>
            </w:r>
            <w:r w:rsidR="0008652B" w:rsidRPr="005C470C">
              <w:rPr>
                <w:rFonts w:ascii="Times New Roman" w:eastAsia="Times New Roman" w:hAnsi="Times New Roman" w:cs="Times New Roman"/>
                <w:sz w:val="20"/>
                <w:szCs w:val="20"/>
                <w:lang w:eastAsia="pt-BR"/>
              </w:rPr>
              <w:fldChar w:fldCharType="end"/>
            </w:r>
          </w:p>
          <w:p w14:paraId="047C4F06" w14:textId="5870D72C"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26D1EA2E" w14:textId="7777777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Oral diseases</w:t>
            </w:r>
          </w:p>
          <w:p w14:paraId="2FF03C53" w14:textId="5E119B89" w:rsidR="006226A8"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(2.613)</w:t>
            </w:r>
          </w:p>
        </w:tc>
        <w:tc>
          <w:tcPr>
            <w:tcW w:w="1418" w:type="dxa"/>
            <w:shd w:val="clear" w:color="auto" w:fill="auto"/>
            <w:vAlign w:val="center"/>
            <w:hideMark/>
          </w:tcPr>
          <w:p w14:paraId="2E46F6E6"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737A989D" w14:textId="58C4524C"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“What are the effects</w:t>
            </w:r>
            <w:r w:rsidRPr="005C470C">
              <w:rPr>
                <w:rFonts w:ascii="Times New Roman" w:eastAsia="Times New Roman" w:hAnsi="Times New Roman" w:cs="Times New Roman"/>
                <w:sz w:val="20"/>
                <w:szCs w:val="20"/>
                <w:lang w:val="en-US" w:eastAsia="pt-BR"/>
              </w:rPr>
              <w:br/>
              <w:t xml:space="preserve">of hormone replacement therapy (HRT) on periodontal clinical parameters </w:t>
            </w:r>
            <w:r w:rsidRPr="005C470C">
              <w:rPr>
                <w:rFonts w:ascii="Times New Roman" w:eastAsia="Times New Roman" w:hAnsi="Times New Roman" w:cs="Times New Roman"/>
                <w:sz w:val="20"/>
                <w:szCs w:val="20"/>
                <w:lang w:val="en-US" w:eastAsia="pt-BR"/>
              </w:rPr>
              <w:lastRenderedPageBreak/>
              <w:t>and osseointegration</w:t>
            </w:r>
            <w:r w:rsidR="002B33BC"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in humans?”</w:t>
            </w:r>
          </w:p>
        </w:tc>
        <w:tc>
          <w:tcPr>
            <w:tcW w:w="1134" w:type="dxa"/>
            <w:shd w:val="clear" w:color="auto" w:fill="auto"/>
            <w:vAlign w:val="center"/>
            <w:hideMark/>
          </w:tcPr>
          <w:p w14:paraId="413DAEAE"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Men or women who received HRT and their controls</w:t>
            </w:r>
          </w:p>
        </w:tc>
        <w:tc>
          <w:tcPr>
            <w:tcW w:w="1276" w:type="dxa"/>
            <w:shd w:val="clear" w:color="auto" w:fill="auto"/>
            <w:vAlign w:val="center"/>
            <w:hideMark/>
          </w:tcPr>
          <w:p w14:paraId="7663158F" w14:textId="5FF428D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HRT:</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 xml:space="preserve">oestrogen therapy alone or with other drugs; testosterone therapy alone or in combination </w:t>
            </w:r>
            <w:r w:rsidRPr="005C470C">
              <w:rPr>
                <w:rFonts w:ascii="Times New Roman" w:eastAsia="Times New Roman" w:hAnsi="Times New Roman" w:cs="Times New Roman"/>
                <w:color w:val="000000"/>
                <w:sz w:val="20"/>
                <w:szCs w:val="20"/>
                <w:lang w:val="en-US" w:eastAsia="pt-BR"/>
              </w:rPr>
              <w:lastRenderedPageBreak/>
              <w:t>with other drugs, independently of the diagnosis and clinical condition that motivated HRT prescription</w:t>
            </w:r>
          </w:p>
        </w:tc>
        <w:tc>
          <w:tcPr>
            <w:tcW w:w="1418" w:type="dxa"/>
            <w:shd w:val="clear" w:color="auto" w:fill="auto"/>
            <w:vAlign w:val="center"/>
            <w:hideMark/>
          </w:tcPr>
          <w:p w14:paraId="523F12AC" w14:textId="7BF68E9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Subjects who</w:t>
            </w:r>
            <w:r w:rsidRPr="005C470C">
              <w:rPr>
                <w:rFonts w:ascii="Times New Roman" w:eastAsia="Times New Roman" w:hAnsi="Times New Roman" w:cs="Times New Roman"/>
                <w:color w:val="000000"/>
                <w:sz w:val="20"/>
                <w:szCs w:val="20"/>
                <w:lang w:val="en-US" w:eastAsia="pt-BR"/>
              </w:rPr>
              <w:br/>
              <w:t>either did not receive HRT or received a placebo (HRT−) or were premenopausal</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women (PRM)</w:t>
            </w:r>
          </w:p>
        </w:tc>
        <w:tc>
          <w:tcPr>
            <w:tcW w:w="1275" w:type="dxa"/>
            <w:shd w:val="clear" w:color="auto" w:fill="auto"/>
            <w:vAlign w:val="center"/>
            <w:hideMark/>
          </w:tcPr>
          <w:p w14:paraId="58BC36E9" w14:textId="016F9C88"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Clinical </w:t>
            </w:r>
            <w:r w:rsidR="006226A8" w:rsidRPr="005C470C">
              <w:rPr>
                <w:rFonts w:ascii="Times New Roman" w:eastAsia="Times New Roman" w:hAnsi="Times New Roman" w:cs="Times New Roman"/>
                <w:color w:val="000000"/>
                <w:sz w:val="20"/>
                <w:szCs w:val="20"/>
                <w:lang w:val="en-US" w:eastAsia="pt-BR"/>
              </w:rPr>
              <w:t>attachment loss (CAL), probing pocket depth (PPD), bleeding on</w:t>
            </w:r>
            <w:r w:rsidR="006226A8" w:rsidRPr="005C470C">
              <w:rPr>
                <w:rFonts w:ascii="Times New Roman" w:eastAsia="Times New Roman" w:hAnsi="Times New Roman" w:cs="Times New Roman"/>
                <w:color w:val="000000"/>
                <w:sz w:val="20"/>
                <w:szCs w:val="20"/>
                <w:lang w:val="en-US" w:eastAsia="pt-BR"/>
              </w:rPr>
              <w:br/>
              <w:t xml:space="preserve">probing (BOP), </w:t>
            </w:r>
            <w:r w:rsidR="006226A8" w:rsidRPr="005C470C">
              <w:rPr>
                <w:rFonts w:ascii="Times New Roman" w:eastAsia="Times New Roman" w:hAnsi="Times New Roman" w:cs="Times New Roman"/>
                <w:color w:val="000000"/>
                <w:sz w:val="20"/>
                <w:szCs w:val="20"/>
                <w:lang w:val="en-US" w:eastAsia="pt-BR"/>
              </w:rPr>
              <w:lastRenderedPageBreak/>
              <w:t>radiographic bone loss (RBL) or osseointegration</w:t>
            </w:r>
          </w:p>
        </w:tc>
        <w:tc>
          <w:tcPr>
            <w:tcW w:w="1134" w:type="dxa"/>
            <w:shd w:val="clear" w:color="auto" w:fill="auto"/>
            <w:vAlign w:val="center"/>
            <w:hideMark/>
          </w:tcPr>
          <w:p w14:paraId="47936E19" w14:textId="5DB6164A" w:rsidR="006226A8" w:rsidRPr="005C470C" w:rsidRDefault="00726290"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C</w:t>
            </w:r>
            <w:r w:rsidR="006226A8" w:rsidRPr="005C470C">
              <w:rPr>
                <w:rFonts w:ascii="Times New Roman" w:eastAsia="Times New Roman" w:hAnsi="Times New Roman" w:cs="Times New Roman"/>
                <w:color w:val="000000"/>
                <w:sz w:val="20"/>
                <w:szCs w:val="20"/>
                <w:lang w:val="en-US" w:eastAsia="pt-BR"/>
              </w:rPr>
              <w:t xml:space="preserve">ross sectional (n=6), prospective study (n=4), retrospective study (n=3), RCT (n=1), and </w:t>
            </w:r>
            <w:r w:rsidR="006226A8" w:rsidRPr="005C470C">
              <w:rPr>
                <w:rFonts w:ascii="Times New Roman" w:eastAsia="Times New Roman" w:hAnsi="Times New Roman" w:cs="Times New Roman"/>
                <w:color w:val="000000"/>
                <w:sz w:val="20"/>
                <w:szCs w:val="20"/>
                <w:lang w:val="en-US" w:eastAsia="pt-BR"/>
              </w:rPr>
              <w:lastRenderedPageBreak/>
              <w:t>non-</w:t>
            </w:r>
            <w:r w:rsidRPr="005C470C">
              <w:rPr>
                <w:rFonts w:ascii="Times New Roman" w:eastAsia="Times New Roman" w:hAnsi="Times New Roman" w:cs="Times New Roman"/>
                <w:color w:val="000000"/>
                <w:sz w:val="20"/>
                <w:szCs w:val="20"/>
                <w:lang w:val="en-US" w:eastAsia="pt-BR"/>
              </w:rPr>
              <w:t>RCT</w:t>
            </w:r>
            <w:r w:rsidR="006226A8" w:rsidRPr="005C470C">
              <w:rPr>
                <w:rFonts w:ascii="Times New Roman" w:eastAsia="Times New Roman" w:hAnsi="Times New Roman" w:cs="Times New Roman"/>
                <w:color w:val="000000"/>
                <w:sz w:val="20"/>
                <w:szCs w:val="20"/>
                <w:lang w:val="en-US" w:eastAsia="pt-BR"/>
              </w:rPr>
              <w:t xml:space="preserve"> (n=1)</w:t>
            </w:r>
          </w:p>
        </w:tc>
        <w:tc>
          <w:tcPr>
            <w:tcW w:w="567" w:type="dxa"/>
            <w:shd w:val="clear" w:color="auto" w:fill="auto"/>
            <w:vAlign w:val="center"/>
            <w:hideMark/>
          </w:tcPr>
          <w:p w14:paraId="7DF38CAB"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Y</w:t>
            </w:r>
          </w:p>
        </w:tc>
        <w:tc>
          <w:tcPr>
            <w:tcW w:w="1701" w:type="dxa"/>
            <w:shd w:val="clear" w:color="auto" w:fill="auto"/>
            <w:vAlign w:val="center"/>
            <w:hideMark/>
          </w:tcPr>
          <w:p w14:paraId="0368894A" w14:textId="45BDB233"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Very </w:t>
            </w:r>
            <w:r w:rsidR="006226A8" w:rsidRPr="005C470C">
              <w:rPr>
                <w:rFonts w:ascii="Times New Roman" w:eastAsia="Times New Roman" w:hAnsi="Times New Roman" w:cs="Times New Roman"/>
                <w:color w:val="000000"/>
                <w:sz w:val="20"/>
                <w:szCs w:val="20"/>
                <w:lang w:val="en-US" w:eastAsia="pt-BR"/>
              </w:rPr>
              <w:t xml:space="preserve">low but consistent evidence supports a reduction in BOP and no impact on RBL in postmenopausal women receiving HRT; there are </w:t>
            </w:r>
            <w:r w:rsidR="006226A8" w:rsidRPr="005C470C">
              <w:rPr>
                <w:rFonts w:ascii="Times New Roman" w:eastAsia="Times New Roman" w:hAnsi="Times New Roman" w:cs="Times New Roman"/>
                <w:color w:val="000000"/>
                <w:sz w:val="20"/>
                <w:szCs w:val="20"/>
                <w:lang w:val="en-US" w:eastAsia="pt-BR"/>
              </w:rPr>
              <w:lastRenderedPageBreak/>
              <w:t>inconsistent reports that suggest that HRT in postmenopausal women either improves or does not impact PPD reduction and CAL gain; and inconsistent reports suggest that implant loss is either not affected or increased in postmenopausal women receiving HRT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C679773" w14:textId="4D52F50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Y - "very low but consistent evidence supports a reduction in BOP and no impact on RBL in postmenopausa</w:t>
            </w:r>
            <w:r w:rsidRPr="005C470C">
              <w:rPr>
                <w:rFonts w:ascii="Times New Roman" w:eastAsia="Times New Roman" w:hAnsi="Times New Roman" w:cs="Times New Roman"/>
                <w:color w:val="000000"/>
                <w:sz w:val="20"/>
                <w:szCs w:val="20"/>
                <w:lang w:val="en-US" w:eastAsia="pt-BR"/>
              </w:rPr>
              <w:lastRenderedPageBreak/>
              <w:t>l women receiving HRT"</w:t>
            </w:r>
            <w:r w:rsidR="00B0457E">
              <w:rPr>
                <w:rFonts w:ascii="Times New Roman" w:eastAsia="Times New Roman" w:hAnsi="Times New Roman" w:cs="Times New Roman"/>
                <w:color w:val="000000"/>
                <w:sz w:val="20"/>
                <w:szCs w:val="20"/>
                <w:lang w:val="en-US" w:eastAsia="pt-BR"/>
              </w:rPr>
              <w:t>.</w:t>
            </w:r>
          </w:p>
        </w:tc>
      </w:tr>
      <w:tr w:rsidR="002914BB" w:rsidRPr="00114AF5" w14:paraId="5268D0EB" w14:textId="77777777" w:rsidTr="00114AF5">
        <w:trPr>
          <w:trHeight w:val="20"/>
        </w:trPr>
        <w:tc>
          <w:tcPr>
            <w:tcW w:w="1135" w:type="dxa"/>
            <w:shd w:val="clear" w:color="auto" w:fill="auto"/>
            <w:vAlign w:val="center"/>
            <w:hideMark/>
          </w:tcPr>
          <w:p w14:paraId="7BAB109B"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Chen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&lt;EndNote&gt;&lt;Cite&gt;&lt;Author&gt;Chen&lt;/Author&gt;&lt;Year&gt;2020&lt;/Year&gt;&lt;RecNum&gt;20871&lt;/RecNum&gt;&lt;DisplayText&gt;&lt;style face="superscript"&gt;19&lt;/style&gt;&lt;/DisplayText&gt;&lt;record&gt;&lt;rec-number&gt;20871&lt;/rec-number&gt;&lt;foreign-keys&gt;&lt;key app="EN" db-id="f5fv5a2shx52dqesxzmpffeqzt5ffxae2vev" timestamp="1607902533"&gt;20871&lt;/key&gt;&lt;/foreign-keys&gt;&lt;ref-type name="Journal Article"&gt;17&lt;/ref-type&gt;&lt;contributors&gt;&lt;authors&gt;&lt;author&gt;Chen, Zhixing&lt;/author&gt;&lt;author&gt;Chen, Qun&lt;/author&gt;&lt;author&gt;Fan, Xuemin&lt;/author&gt;&lt;author&gt;Li, Yun&lt;/author&gt;&lt;author&gt;Mo, Shuixue&lt;/author&gt;&lt;/authors&gt;&lt;/contributors&gt;&lt;titles&gt;&lt;title&gt;Stepwise versus single-step mandibular advancement with functional appliance in treating class II patients: A meta-analysis&lt;/title&gt;&lt;secondary-title&gt;Journal of orofacial orthopedics= Fortschritte der Kieferorthopadie: Organ/official journal Deutsche Gesellschaft fur Kieferorthopadie&lt;/secondary-title&gt;&lt;/titles&gt;&lt;periodical&gt;&lt;full-title&gt;Journal of orofacial orthopedics= Fortschritte der Kieferorthopadie: Organ/official journal Deutsche Gesellschaft fur Kieferorthopadie&lt;/full-title&gt;&lt;/periodical&gt;&lt;dates&gt;&lt;year&gt;2020&lt;/year&gt;&lt;/dates&gt;&lt;isbn&gt;1434-5293&lt;/isbn&gt;&lt;urls&gt;&lt;/urls&gt;&lt;/record&gt;&lt;/Cite&gt;&lt;/EndNote&gt;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19</w:t>
            </w:r>
            <w:r w:rsidR="0008652B" w:rsidRPr="005C470C">
              <w:rPr>
                <w:rFonts w:ascii="Times New Roman" w:eastAsia="Times New Roman" w:hAnsi="Times New Roman" w:cs="Times New Roman"/>
                <w:sz w:val="20"/>
                <w:szCs w:val="20"/>
                <w:lang w:eastAsia="pt-BR"/>
              </w:rPr>
              <w:fldChar w:fldCharType="end"/>
            </w:r>
          </w:p>
          <w:p w14:paraId="1F53B44D" w14:textId="681E307B"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(China)</w:t>
            </w:r>
          </w:p>
        </w:tc>
        <w:tc>
          <w:tcPr>
            <w:tcW w:w="992" w:type="dxa"/>
            <w:shd w:val="clear" w:color="auto" w:fill="auto"/>
            <w:vAlign w:val="center"/>
            <w:hideMark/>
          </w:tcPr>
          <w:p w14:paraId="7DC1AFA1"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orofacial orthopedics</w:t>
            </w:r>
          </w:p>
          <w:p w14:paraId="6938BE4B" w14:textId="654A3A4F"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(1.286)</w:t>
            </w:r>
          </w:p>
        </w:tc>
        <w:tc>
          <w:tcPr>
            <w:tcW w:w="1418" w:type="dxa"/>
            <w:shd w:val="clear" w:color="auto" w:fill="auto"/>
            <w:vAlign w:val="center"/>
            <w:hideMark/>
          </w:tcPr>
          <w:p w14:paraId="40E938A9"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4E2F7712" w14:textId="34CFB7EB"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Identify </w:t>
            </w:r>
            <w:r w:rsidR="006226A8" w:rsidRPr="005C470C">
              <w:rPr>
                <w:rFonts w:ascii="Times New Roman" w:eastAsia="Times New Roman" w:hAnsi="Times New Roman" w:cs="Times New Roman"/>
                <w:sz w:val="20"/>
                <w:szCs w:val="20"/>
                <w:lang w:val="en-US" w:eastAsia="pt-BR"/>
              </w:rPr>
              <w:t xml:space="preserve">possible differences in skeletal (mainly mandibular growth) and dentoalveolar (mainly proclination of mandibular incisors) changes between the modes of SWA and SSA during the functional orthopedic </w:t>
            </w:r>
            <w:r w:rsidR="006226A8" w:rsidRPr="005C470C">
              <w:rPr>
                <w:rFonts w:ascii="Times New Roman" w:eastAsia="Times New Roman" w:hAnsi="Times New Roman" w:cs="Times New Roman"/>
                <w:sz w:val="20"/>
                <w:szCs w:val="20"/>
                <w:lang w:val="en-US" w:eastAsia="pt-BR"/>
              </w:rPr>
              <w:lastRenderedPageBreak/>
              <w:t>treatment of class II patients</w:t>
            </w:r>
          </w:p>
        </w:tc>
        <w:tc>
          <w:tcPr>
            <w:tcW w:w="1134" w:type="dxa"/>
            <w:shd w:val="clear" w:color="auto" w:fill="auto"/>
            <w:vAlign w:val="center"/>
            <w:hideMark/>
          </w:tcPr>
          <w:p w14:paraId="0DF7D8EA" w14:textId="441C03A0"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Children </w:t>
            </w:r>
            <w:r w:rsidR="006226A8" w:rsidRPr="005C470C">
              <w:rPr>
                <w:rFonts w:ascii="Times New Roman" w:eastAsia="Times New Roman" w:hAnsi="Times New Roman" w:cs="Times New Roman"/>
                <w:color w:val="000000"/>
                <w:sz w:val="20"/>
                <w:szCs w:val="20"/>
                <w:lang w:val="en-US" w:eastAsia="pt-BR"/>
              </w:rPr>
              <w:t>younger than</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16</w:t>
            </w:r>
            <w:r w:rsidR="00726290" w:rsidRPr="005C470C">
              <w:rPr>
                <w:rFonts w:ascii="Times New Roman" w:eastAsia="Times New Roman" w:hAnsi="Times New Roman" w:cs="Times New Roman"/>
                <w:color w:val="000000"/>
                <w:sz w:val="20"/>
                <w:szCs w:val="20"/>
                <w:lang w:val="en-US" w:eastAsia="pt-BR"/>
              </w:rPr>
              <w:t>y</w:t>
            </w:r>
            <w:r w:rsidR="006226A8" w:rsidRPr="005C470C">
              <w:rPr>
                <w:rFonts w:ascii="Times New Roman" w:eastAsia="Times New Roman" w:hAnsi="Times New Roman" w:cs="Times New Roman"/>
                <w:color w:val="000000"/>
                <w:sz w:val="20"/>
                <w:szCs w:val="20"/>
                <w:lang w:val="en-US" w:eastAsia="pt-BR"/>
              </w:rPr>
              <w:t xml:space="preserve"> old in functional</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orthopedic treatment of class II patients</w:t>
            </w:r>
          </w:p>
        </w:tc>
        <w:tc>
          <w:tcPr>
            <w:tcW w:w="1276" w:type="dxa"/>
            <w:shd w:val="clear" w:color="auto" w:fill="auto"/>
            <w:vAlign w:val="center"/>
            <w:hideMark/>
          </w:tcPr>
          <w:p w14:paraId="784947A5" w14:textId="45FF0D68"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Stepwise </w:t>
            </w:r>
            <w:r w:rsidR="006226A8" w:rsidRPr="005C470C">
              <w:rPr>
                <w:rFonts w:ascii="Times New Roman" w:eastAsia="Times New Roman" w:hAnsi="Times New Roman" w:cs="Times New Roman"/>
                <w:color w:val="000000"/>
                <w:sz w:val="20"/>
                <w:szCs w:val="20"/>
                <w:lang w:eastAsia="pt-BR"/>
              </w:rPr>
              <w:t>mandibular advancement (SWA)</w:t>
            </w:r>
          </w:p>
        </w:tc>
        <w:tc>
          <w:tcPr>
            <w:tcW w:w="1418" w:type="dxa"/>
            <w:shd w:val="clear" w:color="auto" w:fill="auto"/>
            <w:vAlign w:val="center"/>
            <w:hideMark/>
          </w:tcPr>
          <w:p w14:paraId="2E4E7F73" w14:textId="300E7D64"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Single</w:t>
            </w:r>
            <w:r w:rsidR="006226A8" w:rsidRPr="005C470C">
              <w:rPr>
                <w:rFonts w:ascii="Times New Roman" w:eastAsia="Times New Roman" w:hAnsi="Times New Roman" w:cs="Times New Roman"/>
                <w:color w:val="000000"/>
                <w:sz w:val="20"/>
                <w:szCs w:val="20"/>
                <w:lang w:val="en-US" w:eastAsia="pt-BR"/>
              </w:rPr>
              <w:t>-step mandibular advancement</w:t>
            </w:r>
            <w:r w:rsidR="006226A8" w:rsidRPr="005C470C">
              <w:rPr>
                <w:rFonts w:ascii="Times New Roman" w:eastAsia="Times New Roman" w:hAnsi="Times New Roman" w:cs="Times New Roman"/>
                <w:color w:val="000000"/>
                <w:sz w:val="20"/>
                <w:szCs w:val="20"/>
                <w:lang w:val="en-US" w:eastAsia="pt-BR"/>
              </w:rPr>
              <w:br/>
              <w:t>(SSA)</w:t>
            </w:r>
          </w:p>
        </w:tc>
        <w:tc>
          <w:tcPr>
            <w:tcW w:w="1275" w:type="dxa"/>
            <w:shd w:val="clear" w:color="auto" w:fill="auto"/>
            <w:vAlign w:val="center"/>
            <w:hideMark/>
          </w:tcPr>
          <w:p w14:paraId="147C3805" w14:textId="3F1E9BA1"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Mandibular </w:t>
            </w:r>
            <w:r w:rsidR="006226A8" w:rsidRPr="005C470C">
              <w:rPr>
                <w:rFonts w:ascii="Times New Roman" w:eastAsia="Times New Roman" w:hAnsi="Times New Roman" w:cs="Times New Roman"/>
                <w:color w:val="000000"/>
                <w:sz w:val="20"/>
                <w:szCs w:val="20"/>
                <w:lang w:val="en-US" w:eastAsia="pt-BR"/>
              </w:rPr>
              <w:t>length</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the sagittal displacement of point Pog, angle between the sella-nasion plane and the nasion-point B plane,</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angle between the nasion-point A plane and the nasionpoint B plane,</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axial inclination of </w:t>
            </w:r>
            <w:r w:rsidR="006226A8" w:rsidRPr="005C470C">
              <w:rPr>
                <w:rFonts w:ascii="Times New Roman" w:eastAsia="Times New Roman" w:hAnsi="Times New Roman" w:cs="Times New Roman"/>
                <w:color w:val="000000"/>
                <w:sz w:val="20"/>
                <w:szCs w:val="20"/>
                <w:lang w:val="en-US" w:eastAsia="pt-BR"/>
              </w:rPr>
              <w:lastRenderedPageBreak/>
              <w:t>the lower central incisor to the mandibular plane, overjet, and mandibular plane angle</w:t>
            </w:r>
          </w:p>
        </w:tc>
        <w:tc>
          <w:tcPr>
            <w:tcW w:w="1134" w:type="dxa"/>
            <w:shd w:val="clear" w:color="auto" w:fill="auto"/>
            <w:vAlign w:val="center"/>
            <w:hideMark/>
          </w:tcPr>
          <w:p w14:paraId="7C7DD81A" w14:textId="064398D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RCTs (n=3) and non-</w:t>
            </w:r>
            <w:r w:rsidR="00726290" w:rsidRPr="005C470C">
              <w:rPr>
                <w:rFonts w:ascii="Times New Roman" w:eastAsia="Times New Roman" w:hAnsi="Times New Roman" w:cs="Times New Roman"/>
                <w:color w:val="000000"/>
                <w:sz w:val="20"/>
                <w:szCs w:val="20"/>
                <w:lang w:val="en-US" w:eastAsia="pt-BR"/>
              </w:rPr>
              <w:t>RCTs</w:t>
            </w:r>
            <w:r w:rsidRPr="005C470C">
              <w:rPr>
                <w:rFonts w:ascii="Times New Roman" w:eastAsia="Times New Roman" w:hAnsi="Times New Roman" w:cs="Times New Roman"/>
                <w:color w:val="000000"/>
                <w:sz w:val="20"/>
                <w:szCs w:val="20"/>
                <w:lang w:val="en-US" w:eastAsia="pt-BR"/>
              </w:rPr>
              <w:t>/cohort studies (n=4)</w:t>
            </w:r>
          </w:p>
        </w:tc>
        <w:tc>
          <w:tcPr>
            <w:tcW w:w="567" w:type="dxa"/>
            <w:shd w:val="clear" w:color="auto" w:fill="auto"/>
            <w:vAlign w:val="center"/>
            <w:hideMark/>
          </w:tcPr>
          <w:p w14:paraId="02D857C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40AD4524" w14:textId="48EEDD7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Although the magnitude of differences in clinical practice was limited, stepwise mandibular advancement might be more appropriate to produce greater skeletal changes and less dental compensation than single-step mandibular advancement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2423E9C" w14:textId="028F279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26290" w:rsidRPr="005C470C">
              <w:rPr>
                <w:rFonts w:ascii="Times New Roman" w:eastAsia="Times New Roman" w:hAnsi="Times New Roman" w:cs="Times New Roman"/>
                <w:color w:val="000000"/>
                <w:sz w:val="20"/>
                <w:szCs w:val="20"/>
                <w:lang w:val="en-US" w:eastAsia="pt-BR"/>
              </w:rPr>
              <w:t xml:space="preserve"> - The current level of evidence is low, and the conclusions should be interpreted with caution. Additional high-quality randomized controlled trials are necessary to draw reliable conclusion</w:t>
            </w:r>
            <w:r w:rsidR="00B0457E">
              <w:rPr>
                <w:rFonts w:ascii="Times New Roman" w:eastAsia="Times New Roman" w:hAnsi="Times New Roman" w:cs="Times New Roman"/>
                <w:color w:val="000000"/>
                <w:sz w:val="20"/>
                <w:szCs w:val="20"/>
                <w:lang w:val="en-US" w:eastAsia="pt-BR"/>
              </w:rPr>
              <w:t>.</w:t>
            </w:r>
          </w:p>
        </w:tc>
      </w:tr>
      <w:tr w:rsidR="002914BB" w:rsidRPr="00114AF5" w14:paraId="19A2C827" w14:textId="77777777" w:rsidTr="00114AF5">
        <w:trPr>
          <w:trHeight w:val="20"/>
        </w:trPr>
        <w:tc>
          <w:tcPr>
            <w:tcW w:w="1135" w:type="dxa"/>
            <w:shd w:val="clear" w:color="auto" w:fill="auto"/>
            <w:vAlign w:val="center"/>
            <w:hideMark/>
          </w:tcPr>
          <w:p w14:paraId="58D8156B"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Chugh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&lt;EndNote&gt;&lt;Cite&gt;&lt;Author&gt;Chugh&lt;/Author&gt;&lt;Year&gt;2020&lt;/Year&gt;&lt;RecNum&gt;20870&lt;/RecNum&gt;&lt;DisplayText&gt;&lt;style face="superscript"&gt;20&lt;/style&gt;&lt;/DisplayText&gt;&lt;record&gt;&lt;rec-number&gt;20870&lt;/rec-number&gt;&lt;foreign-keys&gt;&lt;key app="EN" db-id="f5fv5a2shx52dqesxzmpffeqzt5ffxae2vev" timestamp="1607902533"&gt;20870&lt;/key&gt;&lt;/foreign-keys&gt;&lt;ref-type name="Journal Article"&gt;17&lt;/ref-type&gt;&lt;contributors&gt;&lt;authors&gt;&lt;author&gt;Chugh, Vinay K&lt;/author&gt;&lt;author&gt;Patnana, Arun K&lt;/author&gt;&lt;author&gt;Chugh, Ankita&lt;/author&gt;&lt;author&gt;Kumar, Pravin&lt;/author&gt;&lt;author&gt;Wadhwa, Puneet&lt;/author&gt;&lt;author&gt;Singh, Surjit&lt;/author&gt;&lt;/authors&gt;&lt;/contributors&gt;&lt;titles&gt;&lt;title&gt;Clinical differences of hand and rotary instrumentations during biomechanical preparation in primary teeth—A systematic review and meta‐analysis&lt;/title&gt;&lt;secondary-title&gt;International journal of paediatric dentistry&lt;/secondary-title&gt;&lt;/titles&gt;&lt;periodical&gt;&lt;full-title&gt;International journal of paediatric dentistry&lt;/full-title&gt;&lt;/periodical&gt;&lt;dates&gt;&lt;year&gt;2020&lt;/year&gt;&lt;/dates&gt;&lt;isbn&gt;0960-7439&lt;/isbn&gt;&lt;urls&gt;&lt;/urls&gt;&lt;/record&gt;&lt;/Cite&gt;&lt;/EndNote&gt;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20</w:t>
            </w:r>
            <w:r w:rsidR="0008652B" w:rsidRPr="005C470C">
              <w:rPr>
                <w:rFonts w:ascii="Times New Roman" w:eastAsia="Times New Roman" w:hAnsi="Times New Roman" w:cs="Times New Roman"/>
                <w:sz w:val="20"/>
                <w:szCs w:val="20"/>
                <w:lang w:eastAsia="pt-BR"/>
              </w:rPr>
              <w:fldChar w:fldCharType="end"/>
            </w:r>
          </w:p>
          <w:p w14:paraId="1A23B6F1" w14:textId="0404445C"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(India)</w:t>
            </w:r>
          </w:p>
        </w:tc>
        <w:tc>
          <w:tcPr>
            <w:tcW w:w="992" w:type="dxa"/>
            <w:shd w:val="clear" w:color="auto" w:fill="auto"/>
            <w:vAlign w:val="center"/>
            <w:hideMark/>
          </w:tcPr>
          <w:p w14:paraId="3C8EB350" w14:textId="77777777" w:rsidR="00C53143"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International journal of paediatric dentistry</w:t>
            </w:r>
          </w:p>
          <w:p w14:paraId="672E00C8" w14:textId="4981DC6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(1.993)</w:t>
            </w:r>
          </w:p>
        </w:tc>
        <w:tc>
          <w:tcPr>
            <w:tcW w:w="1418" w:type="dxa"/>
            <w:shd w:val="clear" w:color="auto" w:fill="auto"/>
            <w:vAlign w:val="center"/>
            <w:hideMark/>
          </w:tcPr>
          <w:p w14:paraId="6AE0F290"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Endodontics</w:t>
            </w:r>
          </w:p>
        </w:tc>
        <w:tc>
          <w:tcPr>
            <w:tcW w:w="1275" w:type="dxa"/>
            <w:shd w:val="clear" w:color="auto" w:fill="auto"/>
            <w:vAlign w:val="center"/>
            <w:hideMark/>
          </w:tcPr>
          <w:p w14:paraId="52C66C75" w14:textId="3F9F7E42"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Determine clinical differences of hand versus rotary canal instrumentation in primary teeth</w:t>
            </w:r>
          </w:p>
        </w:tc>
        <w:tc>
          <w:tcPr>
            <w:tcW w:w="1134" w:type="dxa"/>
            <w:shd w:val="clear" w:color="auto" w:fill="auto"/>
            <w:vAlign w:val="center"/>
            <w:hideMark/>
          </w:tcPr>
          <w:p w14:paraId="213B9EF2" w14:textId="52ACB36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Participants with a history of irreversible pulpitis, necrotic pulps in primary dentition and teeth with minimal</w:t>
            </w:r>
            <w:r w:rsidR="0072629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no resorption</w:t>
            </w:r>
          </w:p>
        </w:tc>
        <w:tc>
          <w:tcPr>
            <w:tcW w:w="1276" w:type="dxa"/>
            <w:shd w:val="clear" w:color="auto" w:fill="auto"/>
            <w:vAlign w:val="center"/>
            <w:hideMark/>
          </w:tcPr>
          <w:p w14:paraId="074D669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Rotatory instrumentation</w:t>
            </w:r>
          </w:p>
        </w:tc>
        <w:tc>
          <w:tcPr>
            <w:tcW w:w="1418" w:type="dxa"/>
            <w:shd w:val="clear" w:color="auto" w:fill="auto"/>
            <w:vAlign w:val="center"/>
            <w:hideMark/>
          </w:tcPr>
          <w:p w14:paraId="3F66271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Hand instrumentation</w:t>
            </w:r>
          </w:p>
        </w:tc>
        <w:tc>
          <w:tcPr>
            <w:tcW w:w="1275" w:type="dxa"/>
            <w:shd w:val="clear" w:color="auto" w:fill="auto"/>
            <w:vAlign w:val="center"/>
            <w:hideMark/>
          </w:tcPr>
          <w:p w14:paraId="4CF694F1" w14:textId="466C8FE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Instrumentation time, quality of obturation,</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obturation time, clinical and radiographic success</w:t>
            </w:r>
          </w:p>
        </w:tc>
        <w:tc>
          <w:tcPr>
            <w:tcW w:w="1134" w:type="dxa"/>
            <w:shd w:val="clear" w:color="auto" w:fill="auto"/>
            <w:vAlign w:val="center"/>
            <w:hideMark/>
          </w:tcPr>
          <w:p w14:paraId="2ABCB77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(n=11)</w:t>
            </w:r>
          </w:p>
        </w:tc>
        <w:tc>
          <w:tcPr>
            <w:tcW w:w="567" w:type="dxa"/>
            <w:shd w:val="clear" w:color="auto" w:fill="auto"/>
            <w:vAlign w:val="center"/>
            <w:hideMark/>
          </w:tcPr>
          <w:p w14:paraId="24D843BA"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7AB0014" w14:textId="0EB20F20" w:rsidR="006226A8" w:rsidRPr="005C470C" w:rsidRDefault="002B4A3F"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w:t>
            </w:r>
            <w:r w:rsidR="006226A8" w:rsidRPr="005C470C">
              <w:rPr>
                <w:rFonts w:ascii="Times New Roman" w:eastAsia="Times New Roman" w:hAnsi="Times New Roman" w:cs="Times New Roman"/>
                <w:color w:val="000000"/>
                <w:sz w:val="20"/>
                <w:szCs w:val="20"/>
                <w:lang w:val="en-US" w:eastAsia="pt-BR"/>
              </w:rPr>
              <w:t>ignificant reduction in instrumentation time (</w:t>
            </w:r>
            <w:r w:rsidR="00726290" w:rsidRPr="005C470C">
              <w:rPr>
                <w:rFonts w:ascii="Times New Roman" w:eastAsia="Times New Roman" w:hAnsi="Times New Roman" w:cs="Times New Roman"/>
                <w:color w:val="000000"/>
                <w:sz w:val="20"/>
                <w:szCs w:val="20"/>
                <w:lang w:val="en-US" w:eastAsia="pt-BR"/>
              </w:rPr>
              <w:t>5</w:t>
            </w:r>
            <w:r w:rsidR="006226A8" w:rsidRPr="005C470C">
              <w:rPr>
                <w:rFonts w:ascii="Times New Roman" w:eastAsia="Times New Roman" w:hAnsi="Times New Roman" w:cs="Times New Roman"/>
                <w:color w:val="000000"/>
                <w:sz w:val="20"/>
                <w:szCs w:val="20"/>
                <w:lang w:val="en-US" w:eastAsia="pt-BR"/>
              </w:rPr>
              <w:t xml:space="preserve"> minutes) with rotary instrumentation </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moderate quality of evidence</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Optimal fill quality of obturation in a significantly high number of individuals using rotary instrumentation </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moderate to high quality of evidence</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w:t>
            </w:r>
            <w:r w:rsidR="006163BD" w:rsidRPr="005C470C">
              <w:rPr>
                <w:rFonts w:ascii="Times New Roman" w:eastAsia="Times New Roman" w:hAnsi="Times New Roman" w:cs="Times New Roman"/>
                <w:color w:val="000000"/>
                <w:sz w:val="20"/>
                <w:szCs w:val="20"/>
                <w:lang w:val="en-US" w:eastAsia="pt-BR"/>
              </w:rPr>
              <w:t>Statistically</w:t>
            </w:r>
            <w:r w:rsidR="006226A8" w:rsidRPr="005C470C">
              <w:rPr>
                <w:rFonts w:ascii="Times New Roman" w:eastAsia="Times New Roman" w:hAnsi="Times New Roman" w:cs="Times New Roman"/>
                <w:color w:val="000000"/>
                <w:sz w:val="20"/>
                <w:szCs w:val="20"/>
                <w:lang w:val="en-US" w:eastAsia="pt-BR"/>
              </w:rPr>
              <w:t xml:space="preserve"> significant reduction in obturation time using rotary instrumentation, but this may not be of any clinical significance (around 43 seconds </w:t>
            </w:r>
            <w:r w:rsidR="006226A8" w:rsidRPr="005C470C">
              <w:rPr>
                <w:rFonts w:ascii="Times New Roman" w:eastAsia="Times New Roman" w:hAnsi="Times New Roman" w:cs="Times New Roman"/>
                <w:color w:val="000000"/>
                <w:sz w:val="20"/>
                <w:szCs w:val="20"/>
                <w:lang w:val="en-US" w:eastAsia="pt-BR"/>
              </w:rPr>
              <w:lastRenderedPageBreak/>
              <w:t>less in rotary vs. hand)</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low quality of evidence</w:t>
            </w:r>
            <w:r w:rsidR="00726290" w:rsidRPr="005C470C">
              <w:rPr>
                <w:rFonts w:ascii="Times New Roman" w:eastAsia="Times New Roman" w:hAnsi="Times New Roman" w:cs="Times New Roman"/>
                <w:color w:val="000000"/>
                <w:sz w:val="20"/>
                <w:szCs w:val="20"/>
                <w:lang w:val="en-US" w:eastAsia="pt-BR"/>
              </w:rPr>
              <w: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62EBA03" w14:textId="5FFAE54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726290" w:rsidRPr="005C470C">
              <w:rPr>
                <w:rFonts w:ascii="Times New Roman" w:eastAsia="Times New Roman" w:hAnsi="Times New Roman" w:cs="Times New Roman"/>
                <w:color w:val="000000"/>
                <w:sz w:val="20"/>
                <w:szCs w:val="20"/>
                <w:lang w:val="en-US" w:eastAsia="pt-BR"/>
              </w:rPr>
              <w:t xml:space="preserve"> - For pulpectomy success, there are insufficient studies to assess if rotary versus manual instrumentation affects clinical and radiological success</w:t>
            </w:r>
            <w:r w:rsidR="00B0457E">
              <w:rPr>
                <w:rFonts w:ascii="Times New Roman" w:eastAsia="Times New Roman" w:hAnsi="Times New Roman" w:cs="Times New Roman"/>
                <w:color w:val="000000"/>
                <w:sz w:val="20"/>
                <w:szCs w:val="20"/>
                <w:lang w:val="en-US" w:eastAsia="pt-BR"/>
              </w:rPr>
              <w:t>.</w:t>
            </w:r>
          </w:p>
        </w:tc>
      </w:tr>
      <w:tr w:rsidR="002914BB" w:rsidRPr="005C470C" w14:paraId="3ED2B672" w14:textId="77777777" w:rsidTr="00114AF5">
        <w:trPr>
          <w:trHeight w:val="20"/>
        </w:trPr>
        <w:tc>
          <w:tcPr>
            <w:tcW w:w="1135" w:type="dxa"/>
            <w:shd w:val="clear" w:color="auto" w:fill="auto"/>
            <w:vAlign w:val="center"/>
            <w:hideMark/>
          </w:tcPr>
          <w:p w14:paraId="62780C6E"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Clark-Perry and Levin, 2020</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&lt;EndNote&gt;&lt;Cite&gt;&lt;Author&gt;Clark-Perry&lt;/Author&gt;&lt;Year&gt;2020&lt;/Year&gt;&lt;RecNum&gt;20869&lt;/RecNum&gt;&lt;DisplayText&gt;&lt;style face="superscript"&gt;21&lt;/style&gt;&lt;/DisplayText&gt;&lt;record&gt;&lt;rec-number&gt;20869&lt;/rec-number&gt;&lt;foreign-keys&gt;&lt;key app="EN" db-id="f5fv5a2shx52dqesxzmpffeqzt5ffxae2vev" timestamp="1607902533"&gt;20869&lt;/key&gt;&lt;/foreign-keys&gt;&lt;ref-type name="Journal Article"&gt;17&lt;/ref-type&gt;&lt;contributors&gt;&lt;authors&gt;&lt;author&gt;Clark-Perry, Danielle&lt;/author&gt;&lt;author&gt;Levin, Liran&lt;/author&gt;&lt;/authors&gt;&lt;/contributors&gt;&lt;titles&gt;&lt;title&gt;Comparison of new formulas of stannous fluoride toothpastes with other commercially available fluoridated toothpastes: A systematic review and meta-analysis of randomised controlled trials&lt;/title&gt;&lt;secondary-title&gt;International Dental Journal&lt;/secondary-title&gt;&lt;/titles&gt;&lt;periodical&gt;&lt;full-title&gt;International dental journal&lt;/full-title&gt;&lt;/periodical&gt;&lt;pages&gt;418-426&lt;/pages&gt;&lt;volume&gt;70&lt;/volume&gt;&lt;number&gt;6&lt;/number&gt;&lt;dates&gt;&lt;year&gt;2020&lt;/year&gt;&lt;/dates&gt;&lt;isbn&gt;0020-6539&lt;/isbn&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21</w:t>
            </w:r>
            <w:r w:rsidR="0008652B" w:rsidRPr="005C470C">
              <w:rPr>
                <w:rFonts w:ascii="Times New Roman" w:eastAsia="Times New Roman" w:hAnsi="Times New Roman" w:cs="Times New Roman"/>
                <w:sz w:val="20"/>
                <w:szCs w:val="20"/>
                <w:lang w:val="en-US" w:eastAsia="pt-BR"/>
              </w:rPr>
              <w:fldChar w:fldCharType="end"/>
            </w:r>
          </w:p>
          <w:p w14:paraId="14E54973" w14:textId="57C7F7BC" w:rsidR="00C53143" w:rsidRPr="005C470C" w:rsidRDefault="00C53143" w:rsidP="006226A8">
            <w:pP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(Canada)</w:t>
            </w:r>
          </w:p>
        </w:tc>
        <w:tc>
          <w:tcPr>
            <w:tcW w:w="992" w:type="dxa"/>
            <w:shd w:val="clear" w:color="auto" w:fill="auto"/>
            <w:vAlign w:val="center"/>
            <w:hideMark/>
          </w:tcPr>
          <w:p w14:paraId="5D10D9F5"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International Dental Journal</w:t>
            </w:r>
          </w:p>
          <w:p w14:paraId="3B3F8CFB" w14:textId="0DC59E57"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(2.038)</w:t>
            </w:r>
          </w:p>
        </w:tc>
        <w:tc>
          <w:tcPr>
            <w:tcW w:w="1418" w:type="dxa"/>
            <w:shd w:val="clear" w:color="auto" w:fill="auto"/>
            <w:vAlign w:val="center"/>
            <w:hideMark/>
          </w:tcPr>
          <w:p w14:paraId="1010489C"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5BBE50D4" w14:textId="6A06912A"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Investigate the efficacy of stannous fluoridated toothpastes compared with other </w:t>
            </w:r>
            <w:r w:rsidR="006226A8" w:rsidRPr="005C470C">
              <w:rPr>
                <w:rFonts w:ascii="Times New Roman" w:eastAsia="Times New Roman" w:hAnsi="Times New Roman" w:cs="Times New Roman"/>
                <w:sz w:val="20"/>
                <w:szCs w:val="20"/>
                <w:lang w:val="en-US" w:eastAsia="pt-BR"/>
              </w:rPr>
              <w:t>fluoridated toothpastes without stannous fluoride</w:t>
            </w:r>
          </w:p>
        </w:tc>
        <w:tc>
          <w:tcPr>
            <w:tcW w:w="1134" w:type="dxa"/>
            <w:shd w:val="clear" w:color="auto" w:fill="auto"/>
            <w:vAlign w:val="center"/>
            <w:hideMark/>
          </w:tcPr>
          <w:p w14:paraId="2F2FABC9" w14:textId="11C8C2F6"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General population</w:t>
            </w:r>
          </w:p>
        </w:tc>
        <w:tc>
          <w:tcPr>
            <w:tcW w:w="1276" w:type="dxa"/>
            <w:shd w:val="clear" w:color="auto" w:fill="auto"/>
            <w:vAlign w:val="center"/>
            <w:hideMark/>
          </w:tcPr>
          <w:p w14:paraId="52DDFE88" w14:textId="44B08366"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Stannous fluoride toothpaste formulations</w:t>
            </w:r>
          </w:p>
        </w:tc>
        <w:tc>
          <w:tcPr>
            <w:tcW w:w="1418" w:type="dxa"/>
            <w:shd w:val="clear" w:color="auto" w:fill="auto"/>
            <w:vAlign w:val="center"/>
            <w:hideMark/>
          </w:tcPr>
          <w:p w14:paraId="297A904F" w14:textId="1C45E8F0"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Other fluoridated toothpastes without stannous</w:t>
            </w:r>
          </w:p>
        </w:tc>
        <w:tc>
          <w:tcPr>
            <w:tcW w:w="1275" w:type="dxa"/>
            <w:shd w:val="clear" w:color="auto" w:fill="auto"/>
            <w:vAlign w:val="center"/>
            <w:hideMark/>
          </w:tcPr>
          <w:p w14:paraId="5DFEE590" w14:textId="1D326A4F"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Effects on any periodontal and caries parameters</w:t>
            </w:r>
          </w:p>
        </w:tc>
        <w:tc>
          <w:tcPr>
            <w:tcW w:w="1134" w:type="dxa"/>
            <w:shd w:val="clear" w:color="auto" w:fill="auto"/>
            <w:vAlign w:val="center"/>
            <w:hideMark/>
          </w:tcPr>
          <w:p w14:paraId="16B9AE5D"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(n=16)</w:t>
            </w:r>
          </w:p>
        </w:tc>
        <w:tc>
          <w:tcPr>
            <w:tcW w:w="567" w:type="dxa"/>
            <w:shd w:val="clear" w:color="auto" w:fill="auto"/>
            <w:vAlign w:val="center"/>
            <w:hideMark/>
          </w:tcPr>
          <w:p w14:paraId="6C62F296"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2B01454D" w14:textId="4DD95DF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There is some evidence to suggest that stannous fluoride toothpaste formulations may have more </w:t>
            </w:r>
            <w:r w:rsidR="006163BD" w:rsidRPr="005C470C">
              <w:rPr>
                <w:rFonts w:ascii="Times New Roman" w:eastAsia="Times New Roman" w:hAnsi="Times New Roman" w:cs="Times New Roman"/>
                <w:color w:val="000000"/>
                <w:sz w:val="20"/>
                <w:szCs w:val="20"/>
                <w:lang w:val="en-US" w:eastAsia="pt-BR"/>
              </w:rPr>
              <w:t>favorable</w:t>
            </w:r>
            <w:r w:rsidRPr="005C470C">
              <w:rPr>
                <w:rFonts w:ascii="Times New Roman" w:eastAsia="Times New Roman" w:hAnsi="Times New Roman" w:cs="Times New Roman"/>
                <w:color w:val="000000"/>
                <w:sz w:val="20"/>
                <w:szCs w:val="20"/>
                <w:lang w:val="en-US" w:eastAsia="pt-BR"/>
              </w:rPr>
              <w:t xml:space="preserve"> oral health outcomes than toothpastes without stannous fluoride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ACC6885"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114AF5" w14:paraId="3C827E00" w14:textId="77777777" w:rsidTr="00114AF5">
        <w:trPr>
          <w:trHeight w:val="20"/>
        </w:trPr>
        <w:tc>
          <w:tcPr>
            <w:tcW w:w="1135" w:type="dxa"/>
            <w:shd w:val="clear" w:color="auto" w:fill="auto"/>
            <w:vAlign w:val="center"/>
            <w:hideMark/>
          </w:tcPr>
          <w:p w14:paraId="20BD6D90"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Copello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&lt;EndNote&gt;&lt;Cite&gt;&lt;Author&gt;Copello&lt;/Author&gt;&lt;Year&gt;2020&lt;/Year&gt;&lt;RecNum&gt;20868&lt;/RecNum&gt;&lt;DisplayText&gt;&lt;style face="superscript"&gt;22&lt;/style&gt;&lt;/DisplayText&gt;&lt;record&gt;&lt;rec-number&gt;20868&lt;/rec-number&gt;&lt;foreign-keys&gt;&lt;key app="EN" db-id="f5fv5a2shx52dqesxzmpffeqzt5ffxae2vev" timestamp="1607902533"&gt;20868&lt;/key&gt;&lt;/foreign-keys&gt;&lt;ref-type name="Journal Article"&gt;17&lt;/ref-type&gt;&lt;contributors&gt;&lt;authors&gt;&lt;author&gt;Copello, Flávio Mendonça&lt;/author&gt;&lt;author&gt;Marañón‐Vásquez, Guido Artemio&lt;/author&gt;&lt;author&gt;Brunetto, Daniel Paludo&lt;/author&gt;&lt;author&gt;Caldas, Luciana Duarte&lt;/author&gt;&lt;author&gt;Masterson, Daniele&lt;/author&gt;&lt;author&gt;Maia, Lucianne Cople&lt;/author&gt;&lt;author&gt;Sant’Anna, Eduardo Franzotti&lt;/author&gt;&lt;/authors&gt;&lt;/contributors&gt;&lt;titles&gt;&lt;title&gt;Is the buccal alveolar bone less affected by mini‐implant assisted rapid palatal expansion than by conventional rapid palatal expansion?—A systematic review and meta‐analysis&lt;/title&gt;&lt;secondary-title&gt;Orthodontics &amp;amp; craniofacial research&lt;/secondary-title&gt;&lt;/titles&gt;&lt;periodical&gt;&lt;full-title&gt;Orthod Craniofac Res&lt;/full-title&gt;&lt;abbr-1&gt;Orthodontics &amp;amp; craniofacial research&lt;/abbr-1&gt;&lt;/periodical&gt;&lt;pages&gt;237-249&lt;/pages&gt;&lt;volume&gt;23&lt;/volume&gt;&lt;number&gt;3&lt;/number&gt;&lt;dates&gt;&lt;year&gt;2020&lt;/year&gt;&lt;/dates&gt;&lt;isbn&gt;1601-6335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22</w:t>
            </w:r>
            <w:r w:rsidR="0008652B" w:rsidRPr="005C470C">
              <w:rPr>
                <w:rFonts w:ascii="Times New Roman" w:eastAsia="Times New Roman" w:hAnsi="Times New Roman" w:cs="Times New Roman"/>
                <w:sz w:val="20"/>
                <w:szCs w:val="20"/>
                <w:lang w:eastAsia="pt-BR"/>
              </w:rPr>
              <w:fldChar w:fldCharType="end"/>
            </w:r>
          </w:p>
          <w:p w14:paraId="34ADFE45" w14:textId="51F64047"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(Brazil)</w:t>
            </w:r>
          </w:p>
        </w:tc>
        <w:tc>
          <w:tcPr>
            <w:tcW w:w="992" w:type="dxa"/>
            <w:shd w:val="clear" w:color="auto" w:fill="auto"/>
            <w:vAlign w:val="center"/>
            <w:hideMark/>
          </w:tcPr>
          <w:p w14:paraId="57013494"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Orthodontics &amp; craniofacial research</w:t>
            </w:r>
          </w:p>
          <w:p w14:paraId="12006227" w14:textId="5148C9FB"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(1.455)</w:t>
            </w:r>
          </w:p>
        </w:tc>
        <w:tc>
          <w:tcPr>
            <w:tcW w:w="1418" w:type="dxa"/>
            <w:shd w:val="clear" w:color="auto" w:fill="auto"/>
            <w:vAlign w:val="center"/>
            <w:hideMark/>
          </w:tcPr>
          <w:p w14:paraId="33C237C7"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3CE29D51"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In subjects with transverse maxillary deficiency, are the buccal alveolar bone thickness and marginal bone level less affected by MARPE</w:t>
            </w:r>
            <w:r w:rsidRPr="005C470C">
              <w:rPr>
                <w:rFonts w:ascii="Times New Roman" w:eastAsia="Times New Roman" w:hAnsi="Times New Roman" w:cs="Times New Roman"/>
                <w:sz w:val="20"/>
                <w:szCs w:val="20"/>
                <w:lang w:val="en-US" w:eastAsia="pt-BR"/>
              </w:rPr>
              <w:br/>
              <w:t>than by conventional RPE protocols?</w:t>
            </w:r>
          </w:p>
        </w:tc>
        <w:tc>
          <w:tcPr>
            <w:tcW w:w="1134" w:type="dxa"/>
            <w:shd w:val="clear" w:color="auto" w:fill="auto"/>
            <w:vAlign w:val="center"/>
            <w:hideMark/>
          </w:tcPr>
          <w:p w14:paraId="5CBA05F7" w14:textId="0E836B6D"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Subjects </w:t>
            </w:r>
            <w:r w:rsidR="006226A8" w:rsidRPr="005C470C">
              <w:rPr>
                <w:rFonts w:ascii="Times New Roman" w:eastAsia="Times New Roman" w:hAnsi="Times New Roman" w:cs="Times New Roman"/>
                <w:color w:val="000000"/>
                <w:sz w:val="20"/>
                <w:szCs w:val="20"/>
                <w:lang w:val="en-US" w:eastAsia="pt-BR"/>
              </w:rPr>
              <w:t>with transverse maxillary deficiency</w:t>
            </w:r>
          </w:p>
        </w:tc>
        <w:tc>
          <w:tcPr>
            <w:tcW w:w="1276" w:type="dxa"/>
            <w:shd w:val="clear" w:color="auto" w:fill="auto"/>
            <w:vAlign w:val="center"/>
            <w:hideMark/>
          </w:tcPr>
          <w:p w14:paraId="6783B0E4" w14:textId="03EF14C7"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Bone</w:t>
            </w:r>
            <w:r w:rsidR="006226A8" w:rsidRPr="005C470C">
              <w:rPr>
                <w:rFonts w:ascii="Times New Roman" w:eastAsia="Times New Roman" w:hAnsi="Times New Roman" w:cs="Times New Roman"/>
                <w:color w:val="000000"/>
                <w:sz w:val="20"/>
                <w:szCs w:val="20"/>
                <w:lang w:val="en-US" w:eastAsia="pt-BR"/>
              </w:rPr>
              <w:t>-borne or hybrid tooth-bone-borne RPE</w:t>
            </w:r>
            <w:r w:rsidR="006226A8" w:rsidRPr="005C470C">
              <w:rPr>
                <w:rFonts w:ascii="Times New Roman" w:eastAsia="Times New Roman" w:hAnsi="Times New Roman" w:cs="Times New Roman"/>
                <w:color w:val="000000"/>
                <w:sz w:val="20"/>
                <w:szCs w:val="20"/>
                <w:lang w:val="en-US" w:eastAsia="pt-BR"/>
              </w:rPr>
              <w:br/>
              <w:t>protocols using mini-implants (MARPE)</w:t>
            </w:r>
          </w:p>
        </w:tc>
        <w:tc>
          <w:tcPr>
            <w:tcW w:w="1418" w:type="dxa"/>
            <w:shd w:val="clear" w:color="auto" w:fill="auto"/>
            <w:vAlign w:val="center"/>
            <w:hideMark/>
          </w:tcPr>
          <w:p w14:paraId="422604B4" w14:textId="0FA5AF3B"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Conventional </w:t>
            </w:r>
            <w:r w:rsidR="006226A8" w:rsidRPr="005C470C">
              <w:rPr>
                <w:rFonts w:ascii="Times New Roman" w:eastAsia="Times New Roman" w:hAnsi="Times New Roman" w:cs="Times New Roman"/>
                <w:color w:val="000000"/>
                <w:sz w:val="20"/>
                <w:szCs w:val="20"/>
                <w:lang w:val="en-US" w:eastAsia="pt-BR"/>
              </w:rPr>
              <w:t>tooth-borne or tooth-tissue-borne</w:t>
            </w:r>
            <w:r w:rsidR="006226A8" w:rsidRPr="005C470C">
              <w:rPr>
                <w:rFonts w:ascii="Times New Roman" w:eastAsia="Times New Roman" w:hAnsi="Times New Roman" w:cs="Times New Roman"/>
                <w:color w:val="000000"/>
                <w:sz w:val="20"/>
                <w:szCs w:val="20"/>
                <w:lang w:val="en-US" w:eastAsia="pt-BR"/>
              </w:rPr>
              <w:br/>
              <w:t>RPE protocols no using mini-implants</w:t>
            </w:r>
          </w:p>
        </w:tc>
        <w:tc>
          <w:tcPr>
            <w:tcW w:w="1275" w:type="dxa"/>
            <w:shd w:val="clear" w:color="auto" w:fill="auto"/>
            <w:vAlign w:val="center"/>
            <w:hideMark/>
          </w:tcPr>
          <w:p w14:paraId="478F3A1E" w14:textId="5299F05D"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Changes </w:t>
            </w:r>
            <w:r w:rsidR="006226A8" w:rsidRPr="005C470C">
              <w:rPr>
                <w:rFonts w:ascii="Times New Roman" w:eastAsia="Times New Roman" w:hAnsi="Times New Roman" w:cs="Times New Roman"/>
                <w:color w:val="000000"/>
                <w:sz w:val="20"/>
                <w:szCs w:val="20"/>
                <w:lang w:val="en-US" w:eastAsia="pt-BR"/>
              </w:rPr>
              <w:t>in the buccal alveolar bone thickness</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and/or marginal bone level (bone dehiscence), assessed by three-dimensional methods</w:t>
            </w:r>
          </w:p>
        </w:tc>
        <w:tc>
          <w:tcPr>
            <w:tcW w:w="1134" w:type="dxa"/>
            <w:shd w:val="clear" w:color="auto" w:fill="auto"/>
            <w:vAlign w:val="center"/>
            <w:hideMark/>
          </w:tcPr>
          <w:p w14:paraId="5CB56AB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(n=3) and retrospective study (n=1)</w:t>
            </w:r>
          </w:p>
        </w:tc>
        <w:tc>
          <w:tcPr>
            <w:tcW w:w="567" w:type="dxa"/>
            <w:shd w:val="clear" w:color="auto" w:fill="auto"/>
            <w:vAlign w:val="center"/>
            <w:hideMark/>
          </w:tcPr>
          <w:p w14:paraId="36CCA655"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415E444" w14:textId="26F5DC4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literature suggests that MARPE could produce less loss of the buccal alveolar bone thickness and marginal bone level in the region of first premolars than the conventional RPE. However, the low and very low quality of evidence, respectively, make these statements not conclusive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6E2F94B" w14:textId="410FDDE4" w:rsidR="006226A8" w:rsidRPr="005C470C" w:rsidRDefault="006226A8" w:rsidP="00726290">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26290" w:rsidRPr="005C470C">
              <w:rPr>
                <w:rFonts w:ascii="Times New Roman" w:eastAsia="Times New Roman" w:hAnsi="Times New Roman" w:cs="Times New Roman"/>
                <w:color w:val="000000"/>
                <w:sz w:val="20"/>
                <w:szCs w:val="20"/>
                <w:lang w:val="en-US" w:eastAsia="pt-BR"/>
              </w:rPr>
              <w:t xml:space="preserve"> - These results should be evaluated with caution because the evidence is scarce, heterogeneous and methodologically poor. There is need of new studies, preferably RCTs using powerful samples, and longitudinal designs with longer follow-up time to </w:t>
            </w:r>
            <w:r w:rsidR="00726290" w:rsidRPr="005C470C">
              <w:rPr>
                <w:rFonts w:ascii="Times New Roman" w:eastAsia="Times New Roman" w:hAnsi="Times New Roman" w:cs="Times New Roman"/>
                <w:color w:val="000000"/>
                <w:sz w:val="20"/>
                <w:szCs w:val="20"/>
                <w:lang w:val="en-US" w:eastAsia="pt-BR"/>
              </w:rPr>
              <w:lastRenderedPageBreak/>
              <w:t>identify what the long-term changes are</w:t>
            </w:r>
            <w:r w:rsidR="00B0457E">
              <w:rPr>
                <w:rFonts w:ascii="Times New Roman" w:eastAsia="Times New Roman" w:hAnsi="Times New Roman" w:cs="Times New Roman"/>
                <w:color w:val="000000"/>
                <w:sz w:val="20"/>
                <w:szCs w:val="20"/>
                <w:lang w:val="en-US" w:eastAsia="pt-BR"/>
              </w:rPr>
              <w:t>.</w:t>
            </w:r>
          </w:p>
        </w:tc>
      </w:tr>
      <w:tr w:rsidR="002914BB" w:rsidRPr="00114AF5" w14:paraId="556D3812" w14:textId="77777777" w:rsidTr="00114AF5">
        <w:trPr>
          <w:trHeight w:val="4532"/>
        </w:trPr>
        <w:tc>
          <w:tcPr>
            <w:tcW w:w="1135" w:type="dxa"/>
            <w:shd w:val="clear" w:color="auto" w:fill="auto"/>
            <w:vAlign w:val="center"/>
            <w:hideMark/>
          </w:tcPr>
          <w:p w14:paraId="16421DCE"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Correia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&lt;EndNote&gt;&lt;Cite&gt;&lt;Author&gt;Correia&lt;/Author&gt;&lt;Year&gt;2020&lt;/Year&gt;&lt;RecNum&gt;20867&lt;/RecNum&gt;&lt;DisplayText&gt;&lt;style face="superscript"&gt;23&lt;/style&gt;&lt;/DisplayText&gt;&lt;record&gt;&lt;rec-number&gt;20867&lt;/rec-number&gt;&lt;foreign-keys&gt;&lt;key app="EN" db-id="f5fv5a2shx52dqesxzmpffeqzt5ffxae2vev" timestamp="1607902533"&gt;20867&lt;/key&gt;&lt;/foreign-keys&gt;&lt;ref-type name="Journal Article"&gt;17&lt;/ref-type&gt;&lt;contributors&gt;&lt;authors&gt;&lt;author&gt;Correia, AMO&lt;/author&gt;&lt;author&gt;Bresciani, E&lt;/author&gt;&lt;author&gt;Borges, AB&lt;/author&gt;&lt;author&gt;Pereira, DM&lt;/author&gt;&lt;author&gt;Maia, LC&lt;/author&gt;&lt;author&gt;Caneppele, TMF&lt;/author&gt;&lt;/authors&gt;&lt;/contributors&gt;&lt;titles&gt;&lt;title&gt;Do Tooth-and Cavity-related Aspects of Noncarious Cervical Lesions Affect the Retention of Resin Composite Restorations in Adults? A Systematic Review and Meta-analysis&lt;/title&gt;&lt;secondary-title&gt;Operative Dentistry&lt;/secondary-title&gt;&lt;/titles&gt;&lt;periodical&gt;&lt;full-title&gt;Oper Dent&lt;/full-title&gt;&lt;abbr-1&gt;Operative dentistry&lt;/abbr-1&gt;&lt;/periodical&gt;&lt;pages&gt;E124-E140&lt;/pages&gt;&lt;volume&gt;45&lt;/volume&gt;&lt;number&gt;3&lt;/number&gt;&lt;dates&gt;&lt;year&gt;2020&lt;/year&gt;&lt;/dates&gt;&lt;isbn&gt;1559-2863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23</w:t>
            </w:r>
            <w:r w:rsidR="0008652B" w:rsidRPr="005C470C">
              <w:rPr>
                <w:rFonts w:ascii="Times New Roman" w:eastAsia="Times New Roman" w:hAnsi="Times New Roman" w:cs="Times New Roman"/>
                <w:sz w:val="20"/>
                <w:szCs w:val="20"/>
                <w:lang w:eastAsia="pt-BR"/>
              </w:rPr>
              <w:fldChar w:fldCharType="end"/>
            </w:r>
          </w:p>
          <w:p w14:paraId="752891F9" w14:textId="05020386"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29A6058C"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Operative dentistry</w:t>
            </w:r>
          </w:p>
          <w:p w14:paraId="307504B4" w14:textId="2721F29B"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(2.213)</w:t>
            </w:r>
          </w:p>
        </w:tc>
        <w:tc>
          <w:tcPr>
            <w:tcW w:w="1418" w:type="dxa"/>
            <w:shd w:val="clear" w:color="auto" w:fill="auto"/>
            <w:vAlign w:val="center"/>
            <w:hideMark/>
          </w:tcPr>
          <w:p w14:paraId="144241F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4CEA3D28"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Do tooth- and cavity-related aspects of Noncarious cervical lesions (NCCLs) affect the retention of resin composite restorations in adults?</w:t>
            </w:r>
          </w:p>
        </w:tc>
        <w:tc>
          <w:tcPr>
            <w:tcW w:w="1134" w:type="dxa"/>
            <w:shd w:val="clear" w:color="auto" w:fill="auto"/>
            <w:vAlign w:val="center"/>
            <w:hideMark/>
          </w:tcPr>
          <w:p w14:paraId="513914DA" w14:textId="57829845"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Participants </w:t>
            </w:r>
            <w:r w:rsidR="006226A8" w:rsidRPr="005C470C">
              <w:rPr>
                <w:rFonts w:ascii="Times New Roman" w:eastAsia="Times New Roman" w:hAnsi="Times New Roman" w:cs="Times New Roman"/>
                <w:color w:val="000000"/>
                <w:sz w:val="20"/>
                <w:szCs w:val="20"/>
                <w:lang w:eastAsia="pt-BR"/>
              </w:rPr>
              <w:t>with NCCLs</w:t>
            </w:r>
          </w:p>
        </w:tc>
        <w:tc>
          <w:tcPr>
            <w:tcW w:w="1276" w:type="dxa"/>
            <w:shd w:val="clear" w:color="auto" w:fill="auto"/>
            <w:vAlign w:val="center"/>
            <w:hideMark/>
          </w:tcPr>
          <w:p w14:paraId="15E1C990" w14:textId="6E9F59DE" w:rsidR="006226A8" w:rsidRPr="005C470C" w:rsidRDefault="00C0146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Resin composite restorations</w:t>
            </w:r>
          </w:p>
        </w:tc>
        <w:tc>
          <w:tcPr>
            <w:tcW w:w="1418" w:type="dxa"/>
            <w:shd w:val="clear" w:color="auto" w:fill="auto"/>
            <w:vAlign w:val="center"/>
            <w:hideMark/>
          </w:tcPr>
          <w:p w14:paraId="11FE4F0A" w14:textId="305C5544" w:rsidR="006226A8" w:rsidRPr="005C470C" w:rsidRDefault="00C0146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Comparison of their</w:t>
            </w:r>
            <w:r w:rsidR="00726290" w:rsidRPr="005C470C">
              <w:rPr>
                <w:rFonts w:ascii="Times New Roman" w:eastAsia="Times New Roman" w:hAnsi="Times New Roman" w:cs="Times New Roman"/>
                <w:sz w:val="20"/>
                <w:szCs w:val="20"/>
                <w:lang w:eastAsia="pt-BR"/>
              </w:rPr>
              <w:t xml:space="preserve"> </w:t>
            </w:r>
            <w:r w:rsidRPr="005C470C">
              <w:rPr>
                <w:rFonts w:ascii="Times New Roman" w:eastAsia="Times New Roman" w:hAnsi="Times New Roman" w:cs="Times New Roman"/>
                <w:sz w:val="20"/>
                <w:szCs w:val="20"/>
                <w:lang w:eastAsia="pt-BR"/>
              </w:rPr>
              <w:t>characteristics</w:t>
            </w:r>
          </w:p>
        </w:tc>
        <w:tc>
          <w:tcPr>
            <w:tcW w:w="1275" w:type="dxa"/>
            <w:shd w:val="clear" w:color="auto" w:fill="auto"/>
            <w:vAlign w:val="center"/>
            <w:hideMark/>
          </w:tcPr>
          <w:p w14:paraId="642AEF2C" w14:textId="63D87952"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Retention ra</w:t>
            </w:r>
            <w:r w:rsidR="006226A8" w:rsidRPr="005C470C">
              <w:rPr>
                <w:rFonts w:ascii="Times New Roman" w:eastAsia="Times New Roman" w:hAnsi="Times New Roman" w:cs="Times New Roman"/>
                <w:color w:val="000000"/>
                <w:sz w:val="20"/>
                <w:szCs w:val="20"/>
                <w:lang w:val="en-US" w:eastAsia="pt-BR"/>
              </w:rPr>
              <w:t>te (follow-up period</w:t>
            </w:r>
            <w:r w:rsidR="006226A8" w:rsidRPr="005C470C">
              <w:rPr>
                <w:rFonts w:ascii="Times New Roman" w:eastAsia="Times New Roman" w:hAnsi="Times New Roman" w:cs="Times New Roman"/>
                <w:color w:val="000000"/>
                <w:sz w:val="20"/>
                <w:szCs w:val="20"/>
                <w:lang w:val="en-US" w:eastAsia="pt-BR"/>
              </w:rPr>
              <w:br/>
              <w:t xml:space="preserve">of at least </w:t>
            </w:r>
            <w:r w:rsidR="00726290" w:rsidRPr="005C470C">
              <w:rPr>
                <w:rFonts w:ascii="Times New Roman" w:eastAsia="Times New Roman" w:hAnsi="Times New Roman" w:cs="Times New Roman"/>
                <w:color w:val="000000"/>
                <w:sz w:val="20"/>
                <w:szCs w:val="20"/>
                <w:lang w:val="en-US" w:eastAsia="pt-BR"/>
              </w:rPr>
              <w:t>2y</w:t>
            </w:r>
            <w:r w:rsidR="006226A8"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5E266232"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(n=24)</w:t>
            </w:r>
          </w:p>
        </w:tc>
        <w:tc>
          <w:tcPr>
            <w:tcW w:w="567" w:type="dxa"/>
            <w:shd w:val="clear" w:color="auto" w:fill="auto"/>
            <w:vAlign w:val="center"/>
            <w:hideMark/>
          </w:tcPr>
          <w:p w14:paraId="0191F1A2"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56EF82AE"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results suggest that NCCLs restored in anterior teeth are more likely to succeed than in posterior teeth. The presence of wear facets can reduce the retention rate of resin restoration in NCCLs. Arch distribution, dentin sclerosis, shape, size, depth, occluso-gingival distance, and margin location did not affect the restorative success of resin restorations. However, the quality of evidence of the outcomes ranged from moderate to very low.</w:t>
            </w:r>
          </w:p>
        </w:tc>
        <w:tc>
          <w:tcPr>
            <w:tcW w:w="1418" w:type="dxa"/>
            <w:shd w:val="clear" w:color="auto" w:fill="auto"/>
            <w:vAlign w:val="center"/>
            <w:hideMark/>
          </w:tcPr>
          <w:p w14:paraId="3D753B35" w14:textId="18C04EB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 - The tooth location and the presence</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of wear facets can affect the retention of</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composite resins in NCCLs</w:t>
            </w:r>
            <w:r w:rsidR="00B0457E">
              <w:rPr>
                <w:rFonts w:ascii="Times New Roman" w:eastAsia="Times New Roman" w:hAnsi="Times New Roman" w:cs="Times New Roman"/>
                <w:color w:val="000000"/>
                <w:sz w:val="20"/>
                <w:szCs w:val="20"/>
                <w:lang w:val="en-US" w:eastAsia="pt-BR"/>
              </w:rPr>
              <w:t>.</w:t>
            </w:r>
          </w:p>
        </w:tc>
      </w:tr>
      <w:tr w:rsidR="002914BB" w:rsidRPr="00114AF5" w14:paraId="3A6C5019" w14:textId="77777777" w:rsidTr="00114AF5">
        <w:trPr>
          <w:trHeight w:val="3248"/>
        </w:trPr>
        <w:tc>
          <w:tcPr>
            <w:tcW w:w="1135" w:type="dxa"/>
            <w:shd w:val="clear" w:color="auto" w:fill="auto"/>
            <w:vAlign w:val="center"/>
            <w:hideMark/>
          </w:tcPr>
          <w:p w14:paraId="7C290B2E"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Costacurta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&lt;EndNote&gt;&lt;Cite&gt;&lt;Author&gt;Costacurta&lt;/Author&gt;&lt;Year&gt;2020&lt;/Year&gt;&lt;RecNum&gt;20866&lt;/RecNum&gt;&lt;DisplayText&gt;&lt;style face="superscript"&gt;24&lt;/style&gt;&lt;/DisplayText&gt;&lt;record&gt;&lt;rec-number&gt;20866&lt;/rec-number&gt;&lt;foreign-keys&gt;&lt;key app="EN" db-id="f5fv5a2shx52dqesxzmpffeqzt5ffxae2vev" timestamp="1607902533"&gt;20866&lt;/key&gt;&lt;/foreign-keys&gt;&lt;ref-type name="Journal Article"&gt;17&lt;/ref-type&gt;&lt;contributors&gt;&lt;authors&gt;&lt;author&gt;Costacurta, Adriana Osten&lt;/author&gt;&lt;author&gt;Kunz, Patrícia Valéria Manozzo&lt;/author&gt;&lt;author&gt;Silva, Rafael Coutinho&lt;/author&gt;&lt;author&gt;Wambier, Letícia Maíra&lt;/author&gt;&lt;author&gt;da Cunha, Leonardo Fernandes&lt;/author&gt;&lt;author&gt;Correr, Gisele Maria&lt;/author&gt;&lt;author&gt;Gonzaga, Carla Castiglia&lt;/author&gt;&lt;/authors&gt;&lt;/contributors&gt;&lt;titles&gt;&lt;title&gt;Does the addition of potassium nitrate to carbamide peroxide gel reduce sensitivity during at‐home bleaching?&lt;/title&gt;&lt;secondary-title&gt;Australian Dental Journal&lt;/secondary-title&gt;&lt;/titles&gt;&lt;periodical&gt;&lt;full-title&gt;Aust Dent J&lt;/full-title&gt;&lt;abbr-1&gt;Australian dental journal&lt;/abbr-1&gt;&lt;/periodical&gt;&lt;pages&gt;70-82&lt;/pages&gt;&lt;volume&gt;65&lt;/volume&gt;&lt;number&gt;1&lt;/number&gt;&lt;dates&gt;&lt;year&gt;2020&lt;/year&gt;&lt;/dates&gt;&lt;isbn&gt;0045-0421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24</w:t>
            </w:r>
            <w:r w:rsidR="0008652B" w:rsidRPr="005C470C">
              <w:rPr>
                <w:rFonts w:ascii="Times New Roman" w:eastAsia="Times New Roman" w:hAnsi="Times New Roman" w:cs="Times New Roman"/>
                <w:sz w:val="20"/>
                <w:szCs w:val="20"/>
                <w:lang w:eastAsia="pt-BR"/>
              </w:rPr>
              <w:fldChar w:fldCharType="end"/>
            </w:r>
          </w:p>
          <w:p w14:paraId="5A0CDFE2" w14:textId="11A79F1B"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12E5E024"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Australian dental journal</w:t>
            </w:r>
          </w:p>
          <w:p w14:paraId="3AF5B6AC" w14:textId="0391E14C"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(1.401)</w:t>
            </w:r>
          </w:p>
        </w:tc>
        <w:tc>
          <w:tcPr>
            <w:tcW w:w="1418" w:type="dxa"/>
            <w:shd w:val="clear" w:color="auto" w:fill="auto"/>
            <w:vAlign w:val="center"/>
            <w:hideMark/>
          </w:tcPr>
          <w:p w14:paraId="7F6DA897"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2CE9AD55" w14:textId="23A64D57"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Effect </w:t>
            </w:r>
            <w:r w:rsidR="006226A8" w:rsidRPr="005C470C">
              <w:rPr>
                <w:rFonts w:ascii="Times New Roman" w:eastAsia="Times New Roman" w:hAnsi="Times New Roman" w:cs="Times New Roman"/>
                <w:sz w:val="20"/>
                <w:szCs w:val="20"/>
                <w:lang w:val="en-US" w:eastAsia="pt-BR"/>
              </w:rPr>
              <w:t>of adding potassium nitrate to carbamide peroxide gels on bleaching efficacy and on reducing the risk and intensity of tooth sensitivity</w:t>
            </w:r>
          </w:p>
        </w:tc>
        <w:tc>
          <w:tcPr>
            <w:tcW w:w="1134" w:type="dxa"/>
            <w:shd w:val="clear" w:color="auto" w:fill="auto"/>
            <w:vAlign w:val="center"/>
            <w:hideMark/>
          </w:tcPr>
          <w:p w14:paraId="1BAB4EC1" w14:textId="3DF1B748"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subjected to at-home tooth bleaching</w:t>
            </w:r>
          </w:p>
        </w:tc>
        <w:tc>
          <w:tcPr>
            <w:tcW w:w="1276" w:type="dxa"/>
            <w:shd w:val="clear" w:color="auto" w:fill="auto"/>
            <w:vAlign w:val="center"/>
            <w:hideMark/>
          </w:tcPr>
          <w:p w14:paraId="15F8F06C" w14:textId="7D11133A"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Carbamide peroxide gel with potassium nitrate</w:t>
            </w:r>
          </w:p>
        </w:tc>
        <w:tc>
          <w:tcPr>
            <w:tcW w:w="1418" w:type="dxa"/>
            <w:shd w:val="clear" w:color="auto" w:fill="auto"/>
            <w:vAlign w:val="center"/>
            <w:hideMark/>
          </w:tcPr>
          <w:p w14:paraId="0A2C1C74" w14:textId="131BA29E"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Carbamide peroxide gel without potassium nitrate</w:t>
            </w:r>
          </w:p>
        </w:tc>
        <w:tc>
          <w:tcPr>
            <w:tcW w:w="1275" w:type="dxa"/>
            <w:shd w:val="clear" w:color="auto" w:fill="auto"/>
            <w:vAlign w:val="center"/>
            <w:hideMark/>
          </w:tcPr>
          <w:p w14:paraId="594C50FA" w14:textId="263A3555"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Risk and intensity of tooth </w:t>
            </w:r>
            <w:r w:rsidR="006226A8" w:rsidRPr="005C470C">
              <w:rPr>
                <w:rFonts w:ascii="Times New Roman" w:eastAsia="Times New Roman" w:hAnsi="Times New Roman" w:cs="Times New Roman"/>
                <w:color w:val="000000"/>
                <w:sz w:val="20"/>
                <w:szCs w:val="20"/>
                <w:lang w:val="en-US" w:eastAsia="pt-BR"/>
              </w:rPr>
              <w:t>sensitivity; bleaching efficacy</w:t>
            </w:r>
          </w:p>
        </w:tc>
        <w:tc>
          <w:tcPr>
            <w:tcW w:w="1134" w:type="dxa"/>
            <w:shd w:val="clear" w:color="auto" w:fill="auto"/>
            <w:vAlign w:val="center"/>
            <w:hideMark/>
          </w:tcPr>
          <w:p w14:paraId="5FCB618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(n=6)</w:t>
            </w:r>
          </w:p>
        </w:tc>
        <w:tc>
          <w:tcPr>
            <w:tcW w:w="567" w:type="dxa"/>
            <w:shd w:val="clear" w:color="auto" w:fill="auto"/>
            <w:vAlign w:val="center"/>
            <w:hideMark/>
          </w:tcPr>
          <w:p w14:paraId="186A8384"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49442D41" w14:textId="243F4B79" w:rsidR="006226A8" w:rsidRPr="005C470C" w:rsidRDefault="00C444A0"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w:t>
            </w:r>
            <w:r w:rsidR="006226A8" w:rsidRPr="005C470C">
              <w:rPr>
                <w:rFonts w:ascii="Times New Roman" w:eastAsia="Times New Roman" w:hAnsi="Times New Roman" w:cs="Times New Roman"/>
                <w:color w:val="000000"/>
                <w:sz w:val="20"/>
                <w:szCs w:val="20"/>
                <w:lang w:val="en-US" w:eastAsia="pt-BR"/>
              </w:rPr>
              <w:t>dding potassium nitrate to carbamide peroxide gel did not reduce the risk and intensity of tooth sensitivity during at-home bleaching. Bleaching efficacy, with respect to color change, was not influenced by the addition of potassium nitrate to the gel</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788E955" w14:textId="2B3F190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26290" w:rsidRPr="005C470C">
              <w:rPr>
                <w:rFonts w:ascii="Times New Roman" w:eastAsia="Times New Roman" w:hAnsi="Times New Roman" w:cs="Times New Roman"/>
                <w:color w:val="000000"/>
                <w:sz w:val="20"/>
                <w:szCs w:val="20"/>
                <w:lang w:val="en-US" w:eastAsia="pt-BR"/>
              </w:rPr>
              <w:t xml:space="preserve"> - These conclusions should be interpreted conservatively, because the number of studies included in some </w:t>
            </w:r>
            <w:r w:rsidR="00434FEC" w:rsidRPr="005C470C">
              <w:rPr>
                <w:rFonts w:ascii="Times New Roman" w:eastAsia="Times New Roman" w:hAnsi="Times New Roman" w:cs="Times New Roman"/>
                <w:color w:val="000000"/>
                <w:sz w:val="20"/>
                <w:szCs w:val="20"/>
                <w:lang w:val="en-US" w:eastAsia="pt-BR"/>
              </w:rPr>
              <w:t>MA</w:t>
            </w:r>
            <w:r w:rsidR="00726290" w:rsidRPr="005C470C">
              <w:rPr>
                <w:rFonts w:ascii="Times New Roman" w:eastAsia="Times New Roman" w:hAnsi="Times New Roman" w:cs="Times New Roman"/>
                <w:color w:val="000000"/>
                <w:sz w:val="20"/>
                <w:szCs w:val="20"/>
                <w:lang w:val="en-US" w:eastAsia="pt-BR"/>
              </w:rPr>
              <w:t xml:space="preserve"> was too small to support strong evidence</w:t>
            </w:r>
            <w:r w:rsidR="00B0457E">
              <w:rPr>
                <w:rFonts w:ascii="Times New Roman" w:eastAsia="Times New Roman" w:hAnsi="Times New Roman" w:cs="Times New Roman"/>
                <w:color w:val="000000"/>
                <w:sz w:val="20"/>
                <w:szCs w:val="20"/>
                <w:lang w:val="en-US" w:eastAsia="pt-BR"/>
              </w:rPr>
              <w:t>.</w:t>
            </w:r>
          </w:p>
        </w:tc>
      </w:tr>
      <w:tr w:rsidR="002914BB" w:rsidRPr="005C470C" w14:paraId="09528121" w14:textId="77777777" w:rsidTr="00114AF5">
        <w:trPr>
          <w:trHeight w:val="20"/>
        </w:trPr>
        <w:tc>
          <w:tcPr>
            <w:tcW w:w="1135" w:type="dxa"/>
            <w:shd w:val="clear" w:color="auto" w:fill="auto"/>
            <w:vAlign w:val="center"/>
            <w:hideMark/>
          </w:tcPr>
          <w:p w14:paraId="46C17B47" w14:textId="77777777" w:rsidR="006226A8" w:rsidRPr="00C53143" w:rsidRDefault="006226A8"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Cross et al, 2020</w:t>
            </w:r>
            <w:r w:rsidR="0008652B" w:rsidRPr="005C470C">
              <w:rPr>
                <w:rFonts w:ascii="Times New Roman" w:eastAsia="Times New Roman" w:hAnsi="Times New Roman" w:cs="Times New Roman"/>
                <w:sz w:val="20"/>
                <w:szCs w:val="20"/>
                <w:lang w:eastAsia="pt-BR"/>
              </w:rPr>
              <w:fldChar w:fldCharType="begin"/>
            </w:r>
            <w:r w:rsidR="0008652B" w:rsidRPr="00C53143">
              <w:rPr>
                <w:rFonts w:ascii="Times New Roman" w:eastAsia="Times New Roman" w:hAnsi="Times New Roman" w:cs="Times New Roman"/>
                <w:sz w:val="20"/>
                <w:szCs w:val="20"/>
                <w:lang w:val="en-US" w:eastAsia="pt-BR"/>
              </w:rPr>
              <w:instrText xml:space="preserve"> ADDIN EN.CITE &lt;EndNote&gt;&lt;Cite&gt;&lt;Author&gt;Cross&lt;/Author&gt;&lt;Year&gt;2020&lt;/Year&gt;&lt;RecNum&gt;20865&lt;/RecNum&gt;&lt;DisplayText&gt;&lt;style face="superscript"&gt;25&lt;/style&gt;&lt;/DisplayText&gt;&lt;record&gt;&lt;rec-number&gt;20865&lt;/rec-number&gt;&lt;foreign-keys&gt;&lt;key app="EN" db-id="f5fv5a2shx52dqesxzmpffeqzt5ffxae2vev" timestamp="1607902533"&gt;20865&lt;/key&gt;&lt;/foreign-keys&gt;&lt;ref-type name="Journal Article"&gt;17&lt;/ref-type&gt;&lt;contributors&gt;&lt;authors&gt;&lt;author&gt;Cross, ELA&lt;/author&gt;&lt;author&gt;Jordan, H&lt;/author&gt;&lt;author&gt;Godfrey, R&lt;/author&gt;&lt;author&gt;Onakpoya, IJ&lt;/author&gt;&lt;author&gt;Shears, A&lt;/author&gt;&lt;author&gt;Fidler, K&lt;/author&gt;&lt;author&gt;Peto, TEA&lt;/author&gt;&lt;author&gt;Walker, AS&lt;/author&gt;&lt;author&gt;Llewelyn, MJ&lt;/author&gt;&lt;/authors&gt;&lt;/contributors&gt;&lt;titles&gt;&lt;title&gt;Route and duration of antibiotic therapy in acute cellulitis: A systematic review and meta-analyses considering the effectiveness and harms of antibiotic treatment&lt;/title&gt;&lt;secondary-title&gt;Journal of Infection&lt;/secondary-title&gt;&lt;/titles&gt;&lt;periodical&gt;&lt;full-title&gt;Journal of Infection&lt;/full-title&gt;&lt;/periodical&gt;&lt;dates&gt;&lt;year&gt;2020&lt;/year&gt;&lt;/dates&gt;&lt;isbn&gt;0163-4453&lt;/isbn&gt;&lt;urls&gt;&lt;/urls&gt;&lt;/record&gt;&lt;/Cite&gt;&lt;/EndNote&gt;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C53143">
              <w:rPr>
                <w:rFonts w:ascii="Times New Roman" w:eastAsia="Times New Roman" w:hAnsi="Times New Roman" w:cs="Times New Roman"/>
                <w:noProof/>
                <w:sz w:val="20"/>
                <w:szCs w:val="20"/>
                <w:vertAlign w:val="superscript"/>
                <w:lang w:val="en-US" w:eastAsia="pt-BR"/>
              </w:rPr>
              <w:t>25</w:t>
            </w:r>
            <w:r w:rsidR="0008652B" w:rsidRPr="005C470C">
              <w:rPr>
                <w:rFonts w:ascii="Times New Roman" w:eastAsia="Times New Roman" w:hAnsi="Times New Roman" w:cs="Times New Roman"/>
                <w:sz w:val="20"/>
                <w:szCs w:val="20"/>
                <w:lang w:eastAsia="pt-BR"/>
              </w:rPr>
              <w:fldChar w:fldCharType="end"/>
            </w:r>
          </w:p>
          <w:p w14:paraId="6849B056" w14:textId="4366DAC0" w:rsidR="00C53143" w:rsidRPr="00C53143" w:rsidRDefault="00C53143"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(United Kingdom)</w:t>
            </w:r>
          </w:p>
        </w:tc>
        <w:tc>
          <w:tcPr>
            <w:tcW w:w="992" w:type="dxa"/>
            <w:shd w:val="clear" w:color="auto" w:fill="auto"/>
            <w:vAlign w:val="center"/>
            <w:hideMark/>
          </w:tcPr>
          <w:p w14:paraId="45098CB3"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Infection</w:t>
            </w:r>
          </w:p>
          <w:p w14:paraId="6DFECA9A" w14:textId="54261687"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(4.842)</w:t>
            </w:r>
          </w:p>
        </w:tc>
        <w:tc>
          <w:tcPr>
            <w:tcW w:w="1418" w:type="dxa"/>
            <w:shd w:val="clear" w:color="auto" w:fill="auto"/>
            <w:vAlign w:val="center"/>
            <w:hideMark/>
          </w:tcPr>
          <w:p w14:paraId="62AF5D58"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7C9CEC48" w14:textId="4D3F3CCF"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review on decisions about initial treatment with intravenous (IV) versus oral therapy, timing of IV-to</w:t>
            </w:r>
            <w:r w:rsidR="00726290" w:rsidRPr="005C470C">
              <w:rPr>
                <w:rFonts w:ascii="Times New Roman" w:eastAsia="Times New Roman" w:hAnsi="Times New Roman" w:cs="Times New Roman"/>
                <w:sz w:val="20"/>
                <w:szCs w:val="20"/>
                <w:lang w:val="en-US" w:eastAsia="pt-BR"/>
              </w:rPr>
              <w:t>-</w:t>
            </w:r>
            <w:r w:rsidRPr="005C470C">
              <w:rPr>
                <w:rFonts w:ascii="Times New Roman" w:eastAsia="Times New Roman" w:hAnsi="Times New Roman" w:cs="Times New Roman"/>
                <w:sz w:val="20"/>
                <w:szCs w:val="20"/>
                <w:lang w:val="en-US" w:eastAsia="pt-BR"/>
              </w:rPr>
              <w:t>oral switch and duration of therapy in cellulitis, considering both effectiveness and harms of antibiotic treatment</w:t>
            </w:r>
          </w:p>
        </w:tc>
        <w:tc>
          <w:tcPr>
            <w:tcW w:w="1134" w:type="dxa"/>
            <w:shd w:val="clear" w:color="auto" w:fill="auto"/>
            <w:vAlign w:val="center"/>
            <w:hideMark/>
          </w:tcPr>
          <w:p w14:paraId="2B2174E7" w14:textId="4E942A4F"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Humans </w:t>
            </w:r>
            <w:r w:rsidR="006226A8" w:rsidRPr="005C470C">
              <w:rPr>
                <w:rFonts w:ascii="Times New Roman" w:eastAsia="Times New Roman" w:hAnsi="Times New Roman" w:cs="Times New Roman"/>
                <w:color w:val="000000"/>
                <w:sz w:val="20"/>
                <w:szCs w:val="20"/>
                <w:lang w:eastAsia="pt-BR"/>
              </w:rPr>
              <w:t xml:space="preserve">(adults or children) </w:t>
            </w:r>
          </w:p>
        </w:tc>
        <w:tc>
          <w:tcPr>
            <w:tcW w:w="1276" w:type="dxa"/>
            <w:shd w:val="clear" w:color="auto" w:fill="auto"/>
            <w:vAlign w:val="center"/>
            <w:hideMark/>
          </w:tcPr>
          <w:p w14:paraId="3D8E8761" w14:textId="0C0B81B8"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Treated </w:t>
            </w:r>
            <w:r w:rsidR="006226A8" w:rsidRPr="005C470C">
              <w:rPr>
                <w:rFonts w:ascii="Times New Roman" w:eastAsia="Times New Roman" w:hAnsi="Times New Roman" w:cs="Times New Roman"/>
                <w:color w:val="000000"/>
                <w:sz w:val="20"/>
                <w:szCs w:val="20"/>
                <w:lang w:val="en-US" w:eastAsia="pt-BR"/>
              </w:rPr>
              <w:t>with oral or IV antibiotics for cellulitis</w:t>
            </w:r>
          </w:p>
        </w:tc>
        <w:tc>
          <w:tcPr>
            <w:tcW w:w="1418" w:type="dxa"/>
            <w:shd w:val="clear" w:color="auto" w:fill="auto"/>
            <w:vAlign w:val="center"/>
            <w:hideMark/>
          </w:tcPr>
          <w:p w14:paraId="1FEC5654" w14:textId="0947028B"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Trçeated </w:t>
            </w:r>
            <w:r w:rsidR="006226A8" w:rsidRPr="005C470C">
              <w:rPr>
                <w:rFonts w:ascii="Times New Roman" w:eastAsia="Times New Roman" w:hAnsi="Times New Roman" w:cs="Times New Roman"/>
                <w:color w:val="000000"/>
                <w:sz w:val="20"/>
                <w:szCs w:val="20"/>
                <w:lang w:val="en-US" w:eastAsia="pt-BR"/>
              </w:rPr>
              <w:t>with oral or IV antibiotics for cellulitis</w:t>
            </w:r>
          </w:p>
        </w:tc>
        <w:tc>
          <w:tcPr>
            <w:tcW w:w="1275" w:type="dxa"/>
            <w:shd w:val="clear" w:color="auto" w:fill="auto"/>
            <w:vAlign w:val="center"/>
            <w:hideMark/>
          </w:tcPr>
          <w:p w14:paraId="48B88FEF" w14:textId="151FE848" w:rsidR="006226A8" w:rsidRPr="005C470C" w:rsidRDefault="00C01468" w:rsidP="00726290">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Clinical </w:t>
            </w:r>
            <w:r w:rsidR="006226A8" w:rsidRPr="005C470C">
              <w:rPr>
                <w:rFonts w:ascii="Times New Roman" w:eastAsia="Times New Roman" w:hAnsi="Times New Roman" w:cs="Times New Roman"/>
                <w:color w:val="000000"/>
                <w:sz w:val="20"/>
                <w:szCs w:val="20"/>
                <w:lang w:val="en-US" w:eastAsia="pt-BR"/>
              </w:rPr>
              <w:t>response</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effectiveness </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clinical/therapeutic failure, recurrence, microbiological cure/bacteriological response, mortality, biochemical response and patient-focused outcomes</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balancing outcomes </w:t>
            </w:r>
            <w:r w:rsidR="002B4A3F"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length of </w:t>
            </w:r>
            <w:r w:rsidR="006226A8" w:rsidRPr="005C470C">
              <w:rPr>
                <w:rFonts w:ascii="Times New Roman" w:eastAsia="Times New Roman" w:hAnsi="Times New Roman" w:cs="Times New Roman"/>
                <w:color w:val="000000"/>
                <w:sz w:val="20"/>
                <w:szCs w:val="20"/>
                <w:lang w:val="en-US" w:eastAsia="pt-BR"/>
              </w:rPr>
              <w:lastRenderedPageBreak/>
              <w:t>stay, adverse events and development of antibiotic resistance</w:t>
            </w:r>
            <w:r w:rsidR="002B4A3F"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6B769F3C" w14:textId="2432372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RCTs (including one quasi-RCT) (n=16), non-randomi</w:t>
            </w:r>
            <w:r w:rsidR="006163BD" w:rsidRPr="005C470C">
              <w:rPr>
                <w:rFonts w:ascii="Times New Roman" w:eastAsia="Times New Roman" w:hAnsi="Times New Roman" w:cs="Times New Roman"/>
                <w:color w:val="000000"/>
                <w:sz w:val="20"/>
                <w:szCs w:val="20"/>
                <w:lang w:val="en-US" w:eastAsia="pt-BR"/>
              </w:rPr>
              <w:t>z</w:t>
            </w:r>
            <w:r w:rsidRPr="005C470C">
              <w:rPr>
                <w:rFonts w:ascii="Times New Roman" w:eastAsia="Times New Roman" w:hAnsi="Times New Roman" w:cs="Times New Roman"/>
                <w:color w:val="000000"/>
                <w:sz w:val="20"/>
                <w:szCs w:val="20"/>
                <w:lang w:val="en-US" w:eastAsia="pt-BR"/>
              </w:rPr>
              <w:t>ed interventional studies (n=2) and observational studies (n=30)</w:t>
            </w:r>
          </w:p>
        </w:tc>
        <w:tc>
          <w:tcPr>
            <w:tcW w:w="567" w:type="dxa"/>
            <w:shd w:val="clear" w:color="auto" w:fill="auto"/>
            <w:vAlign w:val="center"/>
            <w:hideMark/>
          </w:tcPr>
          <w:p w14:paraId="40C7B1B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47F98921" w14:textId="2EAF101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evidence base for antibiotic treatment decisions in cellulitis is flawed by biased comparisons, short follow-up and lack of data around harms of antibiotic overuse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B0E940D"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p>
        </w:tc>
      </w:tr>
      <w:tr w:rsidR="002914BB" w:rsidRPr="005C470C" w14:paraId="58517FE6" w14:textId="77777777" w:rsidTr="00114AF5">
        <w:trPr>
          <w:trHeight w:val="20"/>
        </w:trPr>
        <w:tc>
          <w:tcPr>
            <w:tcW w:w="1135" w:type="dxa"/>
            <w:shd w:val="clear" w:color="auto" w:fill="auto"/>
            <w:vAlign w:val="center"/>
            <w:hideMark/>
          </w:tcPr>
          <w:p w14:paraId="450DEC9B"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Dawson, Dawson and Emberg, 2020</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&lt;EndNote&gt;&lt;Cite&gt;&lt;Author&gt;Dawson&lt;/Author&gt;&lt;Year&gt;2020&lt;/Year&gt;&lt;RecNum&gt;20864&lt;/RecNum&gt;&lt;DisplayText&gt;&lt;style face="superscript"&gt;26&lt;/style&gt;&lt;/DisplayText&gt;&lt;record&gt;&lt;rec-number&gt;20864&lt;/rec-number&gt;&lt;foreign-keys&gt;&lt;key app="EN" db-id="f5fv5a2shx52dqesxzmpffeqzt5ffxae2vev" timestamp="1607902533"&gt;20864&lt;/key&gt;&lt;/foreign-keys&gt;&lt;ref-type name="Journal Article"&gt;17&lt;/ref-type&gt;&lt;contributors&gt;&lt;authors&gt;&lt;author&gt;Dawson, Andreas&lt;/author&gt;&lt;author&gt;Dawson, Jenny&lt;/author&gt;&lt;author&gt;Ernberg, Malin&lt;/author&gt;&lt;/authors&gt;&lt;/contributors&gt;&lt;titles&gt;&lt;title&gt;The effect of botulinum toxin A on patients with persistent idiopathic dentoalveolar pain—A systematic review&lt;/title&gt;&lt;secondary-title&gt;Journal of Oral Rehabilitation&lt;/secondary-title&gt;&lt;/titles&gt;&lt;periodical&gt;&lt;full-title&gt;J Oral Rehabil&lt;/full-title&gt;&lt;abbr-1&gt;Journal of oral rehabilitation&lt;/abbr-1&gt;&lt;/periodical&gt;&lt;pages&gt;1184-1191&lt;/pages&gt;&lt;volume&gt;47&lt;/volume&gt;&lt;number&gt;9&lt;/number&gt;&lt;dates&gt;&lt;year&gt;2020&lt;/year&gt;&lt;/dates&gt;&lt;isbn&gt;0305-182X&lt;/isbn&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26</w:t>
            </w:r>
            <w:r w:rsidR="0008652B" w:rsidRPr="005C470C">
              <w:rPr>
                <w:rFonts w:ascii="Times New Roman" w:eastAsia="Times New Roman" w:hAnsi="Times New Roman" w:cs="Times New Roman"/>
                <w:sz w:val="20"/>
                <w:szCs w:val="20"/>
                <w:lang w:val="en-US" w:eastAsia="pt-BR"/>
              </w:rPr>
              <w:fldChar w:fldCharType="end"/>
            </w:r>
          </w:p>
          <w:p w14:paraId="3D3090A0" w14:textId="3274A822" w:rsidR="00C53143" w:rsidRPr="005C470C" w:rsidRDefault="00C53143" w:rsidP="006226A8">
            <w:pP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t>
            </w:r>
            <w:r w:rsidRPr="00C53143">
              <w:rPr>
                <w:rFonts w:ascii="Times New Roman" w:eastAsia="Times New Roman" w:hAnsi="Times New Roman" w:cs="Times New Roman"/>
                <w:sz w:val="20"/>
                <w:szCs w:val="20"/>
                <w:lang w:val="en-US" w:eastAsia="pt-BR"/>
              </w:rPr>
              <w:t>Sweden)</w:t>
            </w:r>
          </w:p>
        </w:tc>
        <w:tc>
          <w:tcPr>
            <w:tcW w:w="992" w:type="dxa"/>
            <w:shd w:val="clear" w:color="auto" w:fill="auto"/>
            <w:vAlign w:val="center"/>
            <w:hideMark/>
          </w:tcPr>
          <w:p w14:paraId="745844FC"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oral rehabilitation</w:t>
            </w:r>
          </w:p>
          <w:p w14:paraId="0B292877" w14:textId="184CC25B"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(2.304)</w:t>
            </w:r>
          </w:p>
        </w:tc>
        <w:tc>
          <w:tcPr>
            <w:tcW w:w="1418" w:type="dxa"/>
            <w:shd w:val="clear" w:color="auto" w:fill="auto"/>
            <w:vAlign w:val="center"/>
            <w:hideMark/>
          </w:tcPr>
          <w:p w14:paraId="450204A5"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Orofacial Pain</w:t>
            </w:r>
          </w:p>
        </w:tc>
        <w:tc>
          <w:tcPr>
            <w:tcW w:w="1275" w:type="dxa"/>
            <w:shd w:val="clear" w:color="auto" w:fill="auto"/>
            <w:vAlign w:val="center"/>
            <w:hideMark/>
          </w:tcPr>
          <w:p w14:paraId="7978F63E" w14:textId="70EE7FC0"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Pain</w:t>
            </w:r>
            <w:r w:rsidR="006226A8" w:rsidRPr="005C470C">
              <w:rPr>
                <w:rFonts w:ascii="Times New Roman" w:eastAsia="Times New Roman" w:hAnsi="Times New Roman" w:cs="Times New Roman"/>
                <w:sz w:val="20"/>
                <w:szCs w:val="20"/>
                <w:lang w:val="en-US" w:eastAsia="pt-BR"/>
              </w:rPr>
              <w:t>-relieving effects of botulinum toxin A (BONT-A) in patients with persistent idiopathic dentoalveolar</w:t>
            </w:r>
            <w:r w:rsidR="006226A8" w:rsidRPr="005C470C">
              <w:rPr>
                <w:rFonts w:ascii="Times New Roman" w:eastAsia="Times New Roman" w:hAnsi="Times New Roman" w:cs="Times New Roman"/>
                <w:sz w:val="20"/>
                <w:szCs w:val="20"/>
                <w:lang w:val="en-US" w:eastAsia="pt-BR"/>
              </w:rPr>
              <w:br/>
              <w:t>pain (PIDP)</w:t>
            </w:r>
          </w:p>
        </w:tc>
        <w:tc>
          <w:tcPr>
            <w:tcW w:w="1134" w:type="dxa"/>
            <w:shd w:val="clear" w:color="auto" w:fill="auto"/>
            <w:vAlign w:val="center"/>
            <w:hideMark/>
          </w:tcPr>
          <w:p w14:paraId="308BB397" w14:textId="2EF94CB1"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Adult </w:t>
            </w:r>
            <w:r w:rsidR="006226A8" w:rsidRPr="005C470C">
              <w:rPr>
                <w:rFonts w:ascii="Times New Roman" w:eastAsia="Times New Roman" w:hAnsi="Times New Roman" w:cs="Times New Roman"/>
                <w:color w:val="000000"/>
                <w:sz w:val="20"/>
                <w:szCs w:val="20"/>
                <w:lang w:eastAsia="pt-BR"/>
              </w:rPr>
              <w:t>patients with</w:t>
            </w:r>
            <w:r w:rsidR="006226A8" w:rsidRPr="005C470C">
              <w:rPr>
                <w:rFonts w:ascii="Times New Roman" w:eastAsia="Times New Roman" w:hAnsi="Times New Roman" w:cs="Times New Roman"/>
                <w:color w:val="000000"/>
                <w:sz w:val="20"/>
                <w:szCs w:val="20"/>
                <w:lang w:eastAsia="pt-BR"/>
              </w:rPr>
              <w:br/>
              <w:t>PIDP</w:t>
            </w:r>
          </w:p>
        </w:tc>
        <w:tc>
          <w:tcPr>
            <w:tcW w:w="1276" w:type="dxa"/>
            <w:shd w:val="clear" w:color="auto" w:fill="auto"/>
            <w:vAlign w:val="center"/>
            <w:hideMark/>
          </w:tcPr>
          <w:p w14:paraId="7A75867D" w14:textId="3EB85403"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Injections </w:t>
            </w:r>
            <w:r w:rsidR="006226A8" w:rsidRPr="005C470C">
              <w:rPr>
                <w:rFonts w:ascii="Times New Roman" w:eastAsia="Times New Roman" w:hAnsi="Times New Roman" w:cs="Times New Roman"/>
                <w:color w:val="000000"/>
                <w:sz w:val="20"/>
                <w:szCs w:val="20"/>
                <w:lang w:val="en-US" w:eastAsia="pt-BR"/>
              </w:rPr>
              <w:t xml:space="preserve">with </w:t>
            </w:r>
            <w:r w:rsidR="00726290" w:rsidRPr="005C470C">
              <w:rPr>
                <w:rFonts w:ascii="Times New Roman" w:eastAsia="Times New Roman" w:hAnsi="Times New Roman" w:cs="Times New Roman"/>
                <w:sz w:val="20"/>
                <w:szCs w:val="20"/>
                <w:lang w:val="en-US" w:eastAsia="pt-BR"/>
              </w:rPr>
              <w:t>BONT-A</w:t>
            </w:r>
          </w:p>
        </w:tc>
        <w:tc>
          <w:tcPr>
            <w:tcW w:w="1418" w:type="dxa"/>
            <w:shd w:val="clear" w:color="auto" w:fill="auto"/>
            <w:vAlign w:val="center"/>
            <w:hideMark/>
          </w:tcPr>
          <w:p w14:paraId="09B55310" w14:textId="62EC7410"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Any other interventions or no intervention</w:t>
            </w:r>
          </w:p>
        </w:tc>
        <w:tc>
          <w:tcPr>
            <w:tcW w:w="1275" w:type="dxa"/>
            <w:shd w:val="clear" w:color="auto" w:fill="auto"/>
            <w:vAlign w:val="center"/>
            <w:hideMark/>
          </w:tcPr>
          <w:p w14:paraId="0C4044CA" w14:textId="7F31CE5C"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Pain reducing</w:t>
            </w:r>
            <w:r w:rsidRPr="005C470C">
              <w:rPr>
                <w:rFonts w:ascii="Times New Roman" w:eastAsia="Times New Roman" w:hAnsi="Times New Roman" w:cs="Times New Roman"/>
                <w:color w:val="000000"/>
                <w:sz w:val="20"/>
                <w:szCs w:val="20"/>
                <w:lang w:eastAsia="pt-BR"/>
              </w:rPr>
              <w:br/>
              <w:t>effect</w:t>
            </w:r>
          </w:p>
        </w:tc>
        <w:tc>
          <w:tcPr>
            <w:tcW w:w="1134" w:type="dxa"/>
            <w:shd w:val="clear" w:color="auto" w:fill="auto"/>
            <w:vAlign w:val="center"/>
            <w:hideMark/>
          </w:tcPr>
          <w:p w14:paraId="189BA0CC" w14:textId="40938991"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Uncontrolled observational studies (n=3)</w:t>
            </w:r>
          </w:p>
        </w:tc>
        <w:tc>
          <w:tcPr>
            <w:tcW w:w="567" w:type="dxa"/>
            <w:shd w:val="clear" w:color="auto" w:fill="auto"/>
            <w:vAlign w:val="center"/>
            <w:hideMark/>
          </w:tcPr>
          <w:p w14:paraId="25747A6B"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00891937" w14:textId="0D09C65C" w:rsidR="006226A8" w:rsidRPr="005C470C" w:rsidRDefault="006226A8" w:rsidP="00726290">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BONT-A seem to be a promising treatment option for patients with PIDP that is safe and associated with few adverse events. However, the quality of the evidence is currently insufficient</w:t>
            </w:r>
            <w:r w:rsidR="0072629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w:t>
            </w:r>
            <w:r w:rsidR="00726290" w:rsidRPr="005C470C">
              <w:rPr>
                <w:rFonts w:ascii="Times New Roman" w:eastAsia="Times New Roman" w:hAnsi="Times New Roman" w:cs="Times New Roman"/>
                <w:color w:val="000000"/>
                <w:sz w:val="20"/>
                <w:szCs w:val="20"/>
                <w:lang w:val="en-US" w:eastAsia="pt-BR"/>
              </w:rPr>
              <w:t>S</w:t>
            </w:r>
            <w:r w:rsidRPr="005C470C">
              <w:rPr>
                <w:rFonts w:ascii="Times New Roman" w:eastAsia="Times New Roman" w:hAnsi="Times New Roman" w:cs="Times New Roman"/>
                <w:color w:val="000000"/>
                <w:sz w:val="20"/>
                <w:szCs w:val="20"/>
                <w:lang w:val="en-US" w:eastAsia="pt-BR"/>
              </w:rPr>
              <w:t>everal concerns regarding the treatment strategy</w:t>
            </w:r>
            <w:r w:rsidR="0072629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optimal dose per injection sites and number of injections in the painful area, and the time-interval between injections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6990B4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p>
        </w:tc>
      </w:tr>
      <w:tr w:rsidR="00925DE6" w:rsidRPr="005C470C" w14:paraId="1894BBC1" w14:textId="77777777" w:rsidTr="00114AF5">
        <w:trPr>
          <w:trHeight w:val="20"/>
        </w:trPr>
        <w:tc>
          <w:tcPr>
            <w:tcW w:w="1135" w:type="dxa"/>
            <w:shd w:val="clear" w:color="auto" w:fill="auto"/>
            <w:vAlign w:val="center"/>
            <w:hideMark/>
          </w:tcPr>
          <w:p w14:paraId="48333286" w14:textId="77777777" w:rsidR="00925DE6" w:rsidRDefault="00925DE6" w:rsidP="002F6AEF">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De Felice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&lt;EndNote&gt;&lt;Cite&gt;&lt;Author&gt;De Felice&lt;/Author&gt;&lt;Year&gt;2020&lt;/Year&gt;&lt;RecNum&gt;20891&lt;/RecNum&gt;&lt;DisplayText&gt;&lt;style face="superscript"&gt;27&lt;/style&gt;&lt;/DisplayText&gt;&lt;record&gt;&lt;rec-number&gt;20891&lt;/rec-number&gt;&lt;foreign-keys&gt;&lt;key app="EN" db-id="f5fv5a2shx52dqesxzmpffeqzt5ffxae2vev" timestamp="1607902544"&gt;20891&lt;/key&gt;&lt;/foreign-keys&gt;&lt;ref-type name="Journal Article"&gt;17&lt;/ref-type&gt;&lt;contributors&gt;&lt;authors&gt;&lt;author&gt;De Felice, Francesca&lt;/author&gt;&lt;author&gt;Pranno, Nicola&lt;/author&gt;&lt;author&gt;Papi, Piero&lt;/author&gt;&lt;author&gt;Brugnoletti, Orlando&lt;/author&gt;&lt;author&gt;Tombolini, Vincenzo&lt;/author&gt;&lt;author&gt;Polimeni, Antonella&lt;/author&gt;&lt;/authors&gt;&lt;/contributors&gt;&lt;titles&gt;&lt;title&gt;Xerostomia and Clinical Outcomes in Definitive Intensity Modulated Radiotherapy (IMRT) Versus Three-dimensional Conformal Radiotherapy (3D-CRT) for Head and Neck Squamous Cell Carcinoma: A Meta-analysis&lt;/title&gt;&lt;secondary-title&gt;in vivo&lt;/secondary-title&gt;&lt;/titles&gt;&lt;periodical&gt;&lt;full-title&gt;in vivo&lt;/full-title&gt;&lt;/periodical&gt;&lt;pages&gt;623-629&lt;/pages&gt;&lt;volume&gt;34&lt;/volume&gt;&lt;number&gt;2&lt;/number&gt;&lt;dates&gt;&lt;year&gt;2020&lt;/year&gt;&lt;/dates&gt;&lt;isbn&gt;0258-851X&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27</w:t>
            </w:r>
            <w:r w:rsidR="0008652B" w:rsidRPr="005C470C">
              <w:rPr>
                <w:rFonts w:ascii="Times New Roman" w:eastAsia="Times New Roman" w:hAnsi="Times New Roman" w:cs="Times New Roman"/>
                <w:sz w:val="20"/>
                <w:szCs w:val="20"/>
                <w:lang w:eastAsia="pt-BR"/>
              </w:rPr>
              <w:fldChar w:fldCharType="end"/>
            </w:r>
          </w:p>
          <w:p w14:paraId="1D2291F8" w14:textId="1D4B376C" w:rsidR="00C53143" w:rsidRPr="005C470C" w:rsidRDefault="00C53143" w:rsidP="002F6AEF">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Italy</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52469B94" w14:textId="7E077CCF" w:rsidR="00925DE6" w:rsidRPr="005C470C" w:rsidRDefault="00C53143" w:rsidP="00C53143">
            <w:pPr>
              <w:jc w:val="cente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In vivo (1.541)</w:t>
            </w:r>
          </w:p>
        </w:tc>
        <w:tc>
          <w:tcPr>
            <w:tcW w:w="1418" w:type="dxa"/>
            <w:shd w:val="clear" w:color="auto" w:fill="auto"/>
            <w:vAlign w:val="center"/>
            <w:hideMark/>
          </w:tcPr>
          <w:p w14:paraId="79CB575A" w14:textId="77777777" w:rsidR="00925DE6" w:rsidRPr="005C470C" w:rsidRDefault="00925DE6"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Pathology</w:t>
            </w:r>
          </w:p>
        </w:tc>
        <w:tc>
          <w:tcPr>
            <w:tcW w:w="1275" w:type="dxa"/>
            <w:shd w:val="clear" w:color="auto" w:fill="auto"/>
            <w:vAlign w:val="center"/>
            <w:hideMark/>
          </w:tcPr>
          <w:p w14:paraId="08E308B1" w14:textId="77777777" w:rsidR="00925DE6" w:rsidRPr="005C470C" w:rsidRDefault="00925DE6" w:rsidP="002F6AEF">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compare radiotherapy-induced xerostomia and clinical outcomes in HNSCC patients treated with </w:t>
            </w:r>
            <w:r w:rsidRPr="005C470C">
              <w:rPr>
                <w:rFonts w:ascii="Times New Roman" w:eastAsia="Times New Roman" w:hAnsi="Times New Roman" w:cs="Times New Roman"/>
                <w:sz w:val="20"/>
                <w:szCs w:val="20"/>
                <w:lang w:val="en-US" w:eastAsia="pt-BR"/>
              </w:rPr>
              <w:lastRenderedPageBreak/>
              <w:t>IMRT or 3D-CRT</w:t>
            </w:r>
          </w:p>
        </w:tc>
        <w:tc>
          <w:tcPr>
            <w:tcW w:w="1134" w:type="dxa"/>
            <w:shd w:val="clear" w:color="auto" w:fill="auto"/>
            <w:vAlign w:val="center"/>
            <w:hideMark/>
          </w:tcPr>
          <w:p w14:paraId="08D11E7C" w14:textId="77777777"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sz w:val="20"/>
                <w:szCs w:val="20"/>
                <w:lang w:val="en-US" w:eastAsia="pt-BR"/>
              </w:rPr>
              <w:lastRenderedPageBreak/>
              <w:t>Head and neck squamous cell carcinoma (</w:t>
            </w:r>
            <w:r w:rsidRPr="005C470C">
              <w:rPr>
                <w:rFonts w:ascii="Times New Roman" w:eastAsia="Times New Roman" w:hAnsi="Times New Roman" w:cs="Times New Roman"/>
                <w:color w:val="000000"/>
                <w:sz w:val="20"/>
                <w:szCs w:val="20"/>
                <w:lang w:val="en-US" w:eastAsia="pt-BR"/>
              </w:rPr>
              <w:t>HNSCC) patients</w:t>
            </w:r>
          </w:p>
        </w:tc>
        <w:tc>
          <w:tcPr>
            <w:tcW w:w="1276" w:type="dxa"/>
            <w:shd w:val="clear" w:color="auto" w:fill="auto"/>
            <w:vAlign w:val="center"/>
            <w:hideMark/>
          </w:tcPr>
          <w:p w14:paraId="598B26A7" w14:textId="77777777" w:rsidR="00925DE6" w:rsidRPr="005C470C" w:rsidRDefault="00925DE6" w:rsidP="002F6AEF">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sz w:val="20"/>
                <w:szCs w:val="20"/>
                <w:lang w:val="en-US" w:eastAsia="pt-BR"/>
              </w:rPr>
              <w:t>Intensity modulated radiotherapy (IMRT)</w:t>
            </w:r>
          </w:p>
        </w:tc>
        <w:tc>
          <w:tcPr>
            <w:tcW w:w="1418" w:type="dxa"/>
            <w:shd w:val="clear" w:color="auto" w:fill="auto"/>
            <w:vAlign w:val="center"/>
            <w:hideMark/>
          </w:tcPr>
          <w:p w14:paraId="4A56C9EE" w14:textId="77777777"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sz w:val="20"/>
                <w:szCs w:val="20"/>
                <w:lang w:val="en-US" w:eastAsia="pt-BR"/>
              </w:rPr>
              <w:t>Three-dimensional conformal radiation therapy (</w:t>
            </w:r>
            <w:r w:rsidRPr="005C470C">
              <w:rPr>
                <w:rFonts w:ascii="Times New Roman" w:eastAsia="Times New Roman" w:hAnsi="Times New Roman" w:cs="Times New Roman"/>
                <w:color w:val="000000"/>
                <w:sz w:val="20"/>
                <w:szCs w:val="20"/>
                <w:lang w:val="en-US" w:eastAsia="pt-BR"/>
              </w:rPr>
              <w:t>3D-CRT)</w:t>
            </w:r>
          </w:p>
        </w:tc>
        <w:tc>
          <w:tcPr>
            <w:tcW w:w="1275" w:type="dxa"/>
            <w:shd w:val="clear" w:color="auto" w:fill="auto"/>
            <w:vAlign w:val="center"/>
            <w:hideMark/>
          </w:tcPr>
          <w:p w14:paraId="7E8D9390" w14:textId="77777777"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Risk of acute and late xerostomia and improve loco-regional control and overall survival</w:t>
            </w:r>
          </w:p>
        </w:tc>
        <w:tc>
          <w:tcPr>
            <w:tcW w:w="1134" w:type="dxa"/>
            <w:shd w:val="clear" w:color="auto" w:fill="auto"/>
            <w:vAlign w:val="center"/>
            <w:hideMark/>
          </w:tcPr>
          <w:p w14:paraId="1862EEEE" w14:textId="77777777" w:rsidR="00925DE6" w:rsidRPr="005C470C" w:rsidRDefault="00925DE6" w:rsidP="002F6AEF">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(n=3)</w:t>
            </w:r>
          </w:p>
        </w:tc>
        <w:tc>
          <w:tcPr>
            <w:tcW w:w="567" w:type="dxa"/>
            <w:shd w:val="clear" w:color="auto" w:fill="auto"/>
            <w:vAlign w:val="center"/>
            <w:hideMark/>
          </w:tcPr>
          <w:p w14:paraId="2674DE6E" w14:textId="77777777" w:rsidR="00925DE6" w:rsidRPr="005C470C" w:rsidRDefault="00925DE6" w:rsidP="002F6AEF">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C85DDC0" w14:textId="4B0B7623"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This MA confirmed the efficacy of IMRT to reduce moderate to severe xerostomia onset but cannot determine meaningful </w:t>
            </w:r>
            <w:r w:rsidRPr="005C470C">
              <w:rPr>
                <w:rFonts w:ascii="Times New Roman" w:eastAsia="Times New Roman" w:hAnsi="Times New Roman" w:cs="Times New Roman"/>
                <w:color w:val="000000"/>
                <w:sz w:val="20"/>
                <w:szCs w:val="20"/>
                <w:lang w:val="en-US" w:eastAsia="pt-BR"/>
              </w:rPr>
              <w:lastRenderedPageBreak/>
              <w:t>survival advantages in HNSCC</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6990D01" w14:textId="77777777" w:rsidR="00925DE6" w:rsidRPr="005C470C" w:rsidRDefault="00925DE6" w:rsidP="002F6AEF">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11F4847C" w14:textId="77777777" w:rsidTr="00114AF5">
        <w:trPr>
          <w:trHeight w:val="20"/>
        </w:trPr>
        <w:tc>
          <w:tcPr>
            <w:tcW w:w="1135" w:type="dxa"/>
            <w:shd w:val="clear" w:color="auto" w:fill="auto"/>
            <w:vAlign w:val="center"/>
            <w:hideMark/>
          </w:tcPr>
          <w:p w14:paraId="02DF3503"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de Meneses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&lt;EndNote&gt;&lt;Cite&gt;&lt;Author&gt;de Menêses&lt;/Author&gt;&lt;Year&gt;2020&lt;/Year&gt;&lt;RecNum&gt;20890&lt;/RecNum&gt;&lt;DisplayText&gt;&lt;style face="superscript"&gt;28&lt;/style&gt;&lt;/DisplayText&gt;&lt;record&gt;&lt;rec-number&gt;20890&lt;/rec-number&gt;&lt;foreign-keys&gt;&lt;key app="EN" db-id="f5fv5a2shx52dqesxzmpffeqzt5ffxae2vev" timestamp="1607902544"&gt;20890&lt;/key&gt;&lt;/foreign-keys&gt;&lt;ref-type name="Journal Article"&gt;17&lt;/ref-type&gt;&lt;contributors&gt;&lt;authors&gt;&lt;author&gt;de Menêses, Amanda Gomes&lt;/author&gt;&lt;author&gt;Normando, Ana Gabriela Costa&lt;/author&gt;&lt;author&gt;Porto de Toledo, Isabela&lt;/author&gt;&lt;author&gt;Reis, Paula Elaine Diniz&lt;/author&gt;&lt;author&gt;Guerra, Eliete Neves Silva&lt;/author&gt;&lt;/authors&gt;&lt;/contributors&gt;&lt;titles&gt;&lt;title&gt;Effects of oral supplementation in the management of oral mucositis in cancer patients: A meta‐analysis of randomized clinical trials&lt;/title&gt;&lt;secondary-title&gt;Journal of Oral Pathology &amp;amp; Medicine&lt;/secondary-title&gt;&lt;/titles&gt;&lt;periodical&gt;&lt;full-title&gt;Journal of Oral Pathology &amp;amp; Medicine&lt;/full-title&gt;&lt;/periodical&gt;&lt;pages&gt;117-125&lt;/pages&gt;&lt;volume&gt;49&lt;/volume&gt;&lt;number&gt;2&lt;/number&gt;&lt;dates&gt;&lt;year&gt;2020&lt;/year&gt;&lt;/dates&gt;&lt;isbn&gt;0904-2512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28</w:t>
            </w:r>
            <w:r w:rsidR="0008652B" w:rsidRPr="005C470C">
              <w:rPr>
                <w:rFonts w:ascii="Times New Roman" w:eastAsia="Times New Roman" w:hAnsi="Times New Roman" w:cs="Times New Roman"/>
                <w:sz w:val="20"/>
                <w:szCs w:val="20"/>
                <w:lang w:eastAsia="pt-BR"/>
              </w:rPr>
              <w:fldChar w:fldCharType="end"/>
            </w:r>
          </w:p>
          <w:p w14:paraId="49A4843E" w14:textId="04F75A38"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6C1BC400"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Journal of Oral Pathology &amp; Medicine</w:t>
            </w:r>
          </w:p>
          <w:p w14:paraId="47720D0C" w14:textId="24963C00" w:rsidR="00C53143"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(2.495)</w:t>
            </w:r>
          </w:p>
        </w:tc>
        <w:tc>
          <w:tcPr>
            <w:tcW w:w="1418" w:type="dxa"/>
            <w:shd w:val="clear" w:color="auto" w:fill="auto"/>
            <w:vAlign w:val="center"/>
            <w:hideMark/>
          </w:tcPr>
          <w:p w14:paraId="7D6B6CFB"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Pathology</w:t>
            </w:r>
          </w:p>
        </w:tc>
        <w:tc>
          <w:tcPr>
            <w:tcW w:w="1275" w:type="dxa"/>
            <w:shd w:val="clear" w:color="auto" w:fill="auto"/>
            <w:vAlign w:val="center"/>
            <w:hideMark/>
          </w:tcPr>
          <w:p w14:paraId="1D40E168"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effects of oral supplementation on the management of oral mucositis (OM) in patients with cancer undergoing chemo (CH) and/or radiation therapy (RT)</w:t>
            </w:r>
          </w:p>
        </w:tc>
        <w:tc>
          <w:tcPr>
            <w:tcW w:w="1134" w:type="dxa"/>
            <w:shd w:val="clear" w:color="auto" w:fill="auto"/>
            <w:vAlign w:val="center"/>
            <w:hideMark/>
          </w:tcPr>
          <w:p w14:paraId="5D140EF2" w14:textId="2A8A0272"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Patients </w:t>
            </w:r>
            <w:r w:rsidR="006226A8" w:rsidRPr="005C470C">
              <w:rPr>
                <w:rFonts w:ascii="Times New Roman" w:eastAsia="Times New Roman" w:hAnsi="Times New Roman" w:cs="Times New Roman"/>
                <w:color w:val="000000"/>
                <w:sz w:val="20"/>
                <w:szCs w:val="20"/>
                <w:lang w:val="en-US" w:eastAsia="pt-BR"/>
              </w:rPr>
              <w:t>with cancer undergoing CH and/or RT</w:t>
            </w:r>
          </w:p>
        </w:tc>
        <w:tc>
          <w:tcPr>
            <w:tcW w:w="1276" w:type="dxa"/>
            <w:shd w:val="clear" w:color="auto" w:fill="auto"/>
            <w:vAlign w:val="center"/>
            <w:hideMark/>
          </w:tcPr>
          <w:p w14:paraId="658E54A5" w14:textId="29638C8B"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Oral supplementations</w:t>
            </w:r>
          </w:p>
        </w:tc>
        <w:tc>
          <w:tcPr>
            <w:tcW w:w="1418" w:type="dxa"/>
            <w:shd w:val="clear" w:color="auto" w:fill="auto"/>
            <w:vAlign w:val="center"/>
            <w:hideMark/>
          </w:tcPr>
          <w:p w14:paraId="20522C03" w14:textId="660E09AA"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Other interventions or no interventions</w:t>
            </w:r>
          </w:p>
        </w:tc>
        <w:tc>
          <w:tcPr>
            <w:tcW w:w="1275" w:type="dxa"/>
            <w:shd w:val="clear" w:color="auto" w:fill="auto"/>
            <w:vAlign w:val="center"/>
            <w:hideMark/>
          </w:tcPr>
          <w:p w14:paraId="0B6F426A" w14:textId="604D91BF"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Prevention </w:t>
            </w:r>
            <w:r w:rsidR="006226A8" w:rsidRPr="005C470C">
              <w:rPr>
                <w:rFonts w:ascii="Times New Roman" w:eastAsia="Times New Roman" w:hAnsi="Times New Roman" w:cs="Times New Roman"/>
                <w:color w:val="000000"/>
                <w:sz w:val="20"/>
                <w:szCs w:val="20"/>
                <w:lang w:val="en-US" w:eastAsia="pt-BR"/>
              </w:rPr>
              <w:t>and/or treatment of OM</w:t>
            </w:r>
          </w:p>
        </w:tc>
        <w:tc>
          <w:tcPr>
            <w:tcW w:w="1134" w:type="dxa"/>
            <w:shd w:val="clear" w:color="auto" w:fill="auto"/>
            <w:vAlign w:val="center"/>
            <w:hideMark/>
          </w:tcPr>
          <w:p w14:paraId="46538F62"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(n=12)</w:t>
            </w:r>
          </w:p>
        </w:tc>
        <w:tc>
          <w:tcPr>
            <w:tcW w:w="567" w:type="dxa"/>
            <w:shd w:val="clear" w:color="auto" w:fill="auto"/>
            <w:vAlign w:val="center"/>
            <w:hideMark/>
          </w:tcPr>
          <w:p w14:paraId="0EB08942"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258E569C" w14:textId="11BFF7D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Zinc as an oral supplement has a statistically significant effect to be used in the management of OM. Glutamine and Elental as oral supplementation had no strong evidence for the prevention and/or treatment of OM in patients with cancer</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09D69E6" w14:textId="0C93551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26290" w:rsidRPr="005C470C">
              <w:rPr>
                <w:rFonts w:ascii="Times New Roman" w:eastAsia="Times New Roman" w:hAnsi="Times New Roman" w:cs="Times New Roman"/>
                <w:color w:val="000000"/>
                <w:sz w:val="20"/>
                <w:szCs w:val="20"/>
                <w:lang w:val="en-US" w:eastAsia="pt-BR"/>
              </w:rPr>
              <w:t xml:space="preserve"> - Further RCTs with well‐designed and larger sample size are necessary to provide evidence</w:t>
            </w:r>
            <w:r w:rsidR="00B0457E">
              <w:rPr>
                <w:rFonts w:ascii="Times New Roman" w:eastAsia="Times New Roman" w:hAnsi="Times New Roman" w:cs="Times New Roman"/>
                <w:color w:val="000000"/>
                <w:sz w:val="20"/>
                <w:szCs w:val="20"/>
                <w:lang w:val="en-US" w:eastAsia="pt-BR"/>
              </w:rPr>
              <w:t>.</w:t>
            </w:r>
          </w:p>
        </w:tc>
      </w:tr>
      <w:tr w:rsidR="002914BB" w:rsidRPr="00114AF5" w14:paraId="7F36AEAD" w14:textId="77777777" w:rsidTr="00114AF5">
        <w:trPr>
          <w:trHeight w:val="20"/>
        </w:trPr>
        <w:tc>
          <w:tcPr>
            <w:tcW w:w="1135" w:type="dxa"/>
            <w:shd w:val="clear" w:color="auto" w:fill="auto"/>
            <w:vAlign w:val="center"/>
            <w:hideMark/>
          </w:tcPr>
          <w:p w14:paraId="3E79BCDB"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Devila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&lt;EndNote&gt;&lt;Cite&gt;&lt;Author&gt;Devila&lt;/Author&gt;&lt;Year&gt;2020&lt;/Year&gt;&lt;RecNum&gt;20889&lt;/RecNum&gt;&lt;DisplayText&gt;&lt;style face="superscript"&gt;29&lt;/style&gt;&lt;/DisplayText&gt;&lt;record&gt;&lt;rec-number&gt;20889&lt;/rec-number&gt;&lt;foreign-keys&gt;&lt;key app="EN" db-id="f5fv5a2shx52dqesxzmpffeqzt5ffxae2vev" timestamp="1607902544"&gt;20889&lt;/key&gt;&lt;/foreign-keys&gt;&lt;ref-type name="Journal Article"&gt;17&lt;/ref-type&gt;&lt;contributors&gt;&lt;authors&gt;&lt;author&gt;Devila, A&lt;/author&gt;&lt;author&gt;Lasta, R&lt;/author&gt;&lt;author&gt;Zanella, L&lt;/author&gt;&lt;author&gt;Agnol, MA Dall&lt;/author&gt;&lt;author&gt;Rodrigues-Junior, SA&lt;/author&gt;&lt;/authors&gt;&lt;/contributors&gt;&lt;titles&gt;&lt;title&gt;Efficacy and Adverse Effects of Whitening Dentifrices Compared With Other Products: A Systematic Review and Meta-analysis&lt;/title&gt;&lt;secondary-title&gt;Operative Dentistry&lt;/secondary-title&gt;&lt;/titles&gt;&lt;periodical&gt;&lt;full-title&gt;Oper Dent&lt;/full-title&gt;&lt;abbr-1&gt;Operative dentistry&lt;/abbr-1&gt;&lt;/periodical&gt;&lt;pages&gt;E77-E90&lt;/pages&gt;&lt;volume&gt;45&lt;/volume&gt;&lt;number&gt;2&lt;/number&gt;&lt;dates&gt;&lt;year&gt;2020&lt;/year&gt;&lt;/dates&gt;&lt;isbn&gt;1559-2863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29</w:t>
            </w:r>
            <w:r w:rsidR="0008652B" w:rsidRPr="005C470C">
              <w:rPr>
                <w:rFonts w:ascii="Times New Roman" w:eastAsia="Times New Roman" w:hAnsi="Times New Roman" w:cs="Times New Roman"/>
                <w:sz w:val="20"/>
                <w:szCs w:val="20"/>
                <w:lang w:eastAsia="pt-BR"/>
              </w:rPr>
              <w:fldChar w:fldCharType="end"/>
            </w:r>
          </w:p>
          <w:p w14:paraId="6C8B3A0C" w14:textId="576E58CD"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609D9BF1"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Operative dentistry</w:t>
            </w:r>
          </w:p>
          <w:p w14:paraId="343ED69F" w14:textId="2830A5DA"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(2.213)</w:t>
            </w:r>
          </w:p>
        </w:tc>
        <w:tc>
          <w:tcPr>
            <w:tcW w:w="1418" w:type="dxa"/>
            <w:shd w:val="clear" w:color="auto" w:fill="auto"/>
            <w:vAlign w:val="center"/>
            <w:hideMark/>
          </w:tcPr>
          <w:p w14:paraId="69BC59C4"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79CCA365" w14:textId="7620599B" w:rsidR="006226A8" w:rsidRPr="005C470C" w:rsidRDefault="00726290"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w:t>
            </w:r>
            <w:r w:rsidR="006226A8" w:rsidRPr="005C470C">
              <w:rPr>
                <w:rFonts w:ascii="Times New Roman" w:eastAsia="Times New Roman" w:hAnsi="Times New Roman" w:cs="Times New Roman"/>
                <w:sz w:val="20"/>
                <w:szCs w:val="20"/>
                <w:lang w:val="en-US" w:eastAsia="pt-BR"/>
              </w:rPr>
              <w:t xml:space="preserve">o verify whether WDs are as effective and safe as </w:t>
            </w:r>
            <w:r w:rsidRPr="005C470C">
              <w:rPr>
                <w:rFonts w:ascii="Times New Roman" w:eastAsia="Times New Roman" w:hAnsi="Times New Roman" w:cs="Times New Roman"/>
                <w:color w:val="000000"/>
                <w:sz w:val="20"/>
                <w:szCs w:val="20"/>
                <w:lang w:val="en-US" w:eastAsia="pt-BR"/>
              </w:rPr>
              <w:t>Regular dentifrices (</w:t>
            </w:r>
            <w:r w:rsidR="006226A8" w:rsidRPr="005C470C">
              <w:rPr>
                <w:rFonts w:ascii="Times New Roman" w:eastAsia="Times New Roman" w:hAnsi="Times New Roman" w:cs="Times New Roman"/>
                <w:sz w:val="20"/>
                <w:szCs w:val="20"/>
                <w:lang w:val="en-US" w:eastAsia="pt-BR"/>
              </w:rPr>
              <w:t>RDs</w:t>
            </w:r>
            <w:r w:rsidRPr="005C470C">
              <w:rPr>
                <w:rFonts w:ascii="Times New Roman" w:eastAsia="Times New Roman" w:hAnsi="Times New Roman" w:cs="Times New Roman"/>
                <w:sz w:val="20"/>
                <w:szCs w:val="20"/>
                <w:lang w:val="en-US" w:eastAsia="pt-BR"/>
              </w:rPr>
              <w:t>)</w:t>
            </w:r>
            <w:r w:rsidR="006226A8" w:rsidRPr="005C470C">
              <w:rPr>
                <w:rFonts w:ascii="Times New Roman" w:eastAsia="Times New Roman" w:hAnsi="Times New Roman" w:cs="Times New Roman"/>
                <w:sz w:val="20"/>
                <w:szCs w:val="20"/>
                <w:lang w:val="en-US" w:eastAsia="pt-BR"/>
              </w:rPr>
              <w:t xml:space="preserve"> and as other home-based tooth whitening products and to verify the effect of application time on </w:t>
            </w:r>
            <w:r w:rsidR="006226A8" w:rsidRPr="005C470C">
              <w:rPr>
                <w:rFonts w:ascii="Times New Roman" w:eastAsia="Times New Roman" w:hAnsi="Times New Roman" w:cs="Times New Roman"/>
                <w:sz w:val="20"/>
                <w:szCs w:val="20"/>
                <w:lang w:val="en-US" w:eastAsia="pt-BR"/>
              </w:rPr>
              <w:lastRenderedPageBreak/>
              <w:t>whitening efficacy</w:t>
            </w:r>
          </w:p>
        </w:tc>
        <w:tc>
          <w:tcPr>
            <w:tcW w:w="1134" w:type="dxa"/>
            <w:shd w:val="clear" w:color="auto" w:fill="auto"/>
            <w:vAlign w:val="center"/>
            <w:hideMark/>
          </w:tcPr>
          <w:p w14:paraId="3AA548D0" w14:textId="35DE9964"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 xml:space="preserve">Tooth </w:t>
            </w:r>
            <w:r w:rsidR="006226A8" w:rsidRPr="005C470C">
              <w:rPr>
                <w:rFonts w:ascii="Times New Roman" w:eastAsia="Times New Roman" w:hAnsi="Times New Roman" w:cs="Times New Roman"/>
                <w:color w:val="000000"/>
                <w:sz w:val="20"/>
                <w:szCs w:val="20"/>
                <w:lang w:eastAsia="pt-BR"/>
              </w:rPr>
              <w:t>whitening</w:t>
            </w:r>
          </w:p>
        </w:tc>
        <w:tc>
          <w:tcPr>
            <w:tcW w:w="1276" w:type="dxa"/>
            <w:shd w:val="clear" w:color="auto" w:fill="auto"/>
            <w:vAlign w:val="center"/>
            <w:hideMark/>
          </w:tcPr>
          <w:p w14:paraId="71E7156C" w14:textId="0FBD9F15"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Whitening dentifrices</w:t>
            </w:r>
            <w:r w:rsidR="00726290" w:rsidRPr="005C470C">
              <w:rPr>
                <w:rFonts w:ascii="Times New Roman" w:eastAsia="Times New Roman" w:hAnsi="Times New Roman" w:cs="Times New Roman"/>
                <w:color w:val="000000"/>
                <w:sz w:val="20"/>
                <w:szCs w:val="20"/>
                <w:lang w:eastAsia="pt-BR"/>
              </w:rPr>
              <w:t xml:space="preserve"> (WD)</w:t>
            </w:r>
          </w:p>
        </w:tc>
        <w:tc>
          <w:tcPr>
            <w:tcW w:w="1418" w:type="dxa"/>
            <w:shd w:val="clear" w:color="auto" w:fill="auto"/>
            <w:vAlign w:val="center"/>
            <w:hideMark/>
          </w:tcPr>
          <w:p w14:paraId="492DC379" w14:textId="788C9BBA" w:rsidR="006226A8" w:rsidRPr="005C470C" w:rsidRDefault="00726290"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RD</w:t>
            </w:r>
            <w:r w:rsidR="006226A8" w:rsidRPr="005C470C">
              <w:rPr>
                <w:rFonts w:ascii="Times New Roman" w:eastAsia="Times New Roman" w:hAnsi="Times New Roman" w:cs="Times New Roman"/>
                <w:color w:val="000000"/>
                <w:sz w:val="20"/>
                <w:szCs w:val="20"/>
                <w:lang w:val="en-US" w:eastAsia="pt-BR"/>
              </w:rPr>
              <w:t xml:space="preserve"> or other home-based whitening methods</w:t>
            </w:r>
          </w:p>
        </w:tc>
        <w:tc>
          <w:tcPr>
            <w:tcW w:w="1275" w:type="dxa"/>
            <w:shd w:val="clear" w:color="auto" w:fill="auto"/>
            <w:vAlign w:val="center"/>
            <w:hideMark/>
          </w:tcPr>
          <w:p w14:paraId="7BB0E0E1" w14:textId="321B10FF"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Extrinsic </w:t>
            </w:r>
            <w:r w:rsidR="006226A8" w:rsidRPr="005C470C">
              <w:rPr>
                <w:rFonts w:ascii="Times New Roman" w:eastAsia="Times New Roman" w:hAnsi="Times New Roman" w:cs="Times New Roman"/>
                <w:color w:val="000000"/>
                <w:sz w:val="20"/>
                <w:szCs w:val="20"/>
                <w:lang w:val="en-US" w:eastAsia="pt-BR"/>
              </w:rPr>
              <w:t>stain removal (ESR), color change, and adverse effects</w:t>
            </w:r>
          </w:p>
        </w:tc>
        <w:tc>
          <w:tcPr>
            <w:tcW w:w="1134" w:type="dxa"/>
            <w:shd w:val="clear" w:color="auto" w:fill="auto"/>
            <w:vAlign w:val="center"/>
            <w:hideMark/>
          </w:tcPr>
          <w:p w14:paraId="4BB0157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(n=40)</w:t>
            </w:r>
          </w:p>
        </w:tc>
        <w:tc>
          <w:tcPr>
            <w:tcW w:w="567" w:type="dxa"/>
            <w:shd w:val="clear" w:color="auto" w:fill="auto"/>
            <w:vAlign w:val="center"/>
            <w:hideMark/>
          </w:tcPr>
          <w:p w14:paraId="3D346EA4"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F855F73" w14:textId="0B330083" w:rsidR="006226A8" w:rsidRPr="005C470C" w:rsidRDefault="00726290"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WDs</w:t>
            </w:r>
            <w:r w:rsidR="006226A8" w:rsidRPr="005C470C">
              <w:rPr>
                <w:rFonts w:ascii="Times New Roman" w:eastAsia="Times New Roman" w:hAnsi="Times New Roman" w:cs="Times New Roman"/>
                <w:color w:val="000000"/>
                <w:sz w:val="20"/>
                <w:szCs w:val="20"/>
                <w:lang w:val="en-US" w:eastAsia="pt-BR"/>
              </w:rPr>
              <w:t xml:space="preserve"> are more effective in reducing extrinsic stain and producing a whitening-like effect in teeth than </w:t>
            </w:r>
            <w:r w:rsidRPr="005C470C">
              <w:rPr>
                <w:rFonts w:ascii="Times New Roman" w:eastAsia="Times New Roman" w:hAnsi="Times New Roman" w:cs="Times New Roman"/>
                <w:color w:val="000000"/>
                <w:sz w:val="20"/>
                <w:szCs w:val="20"/>
                <w:lang w:val="en-US" w:eastAsia="pt-BR"/>
              </w:rPr>
              <w:t>RD</w:t>
            </w:r>
            <w:r w:rsidR="006226A8" w:rsidRPr="005C470C">
              <w:rPr>
                <w:rFonts w:ascii="Times New Roman" w:eastAsia="Times New Roman" w:hAnsi="Times New Roman" w:cs="Times New Roman"/>
                <w:color w:val="000000"/>
                <w:sz w:val="20"/>
                <w:szCs w:val="20"/>
                <w:lang w:val="en-US" w:eastAsia="pt-BR"/>
              </w:rPr>
              <w:t xml:space="preserve">. Also, they do produce more adverse effects. The efficacy of the </w:t>
            </w:r>
            <w:r w:rsidRPr="005C470C">
              <w:rPr>
                <w:rFonts w:ascii="Times New Roman" w:eastAsia="Times New Roman" w:hAnsi="Times New Roman" w:cs="Times New Roman"/>
                <w:color w:val="000000"/>
                <w:sz w:val="20"/>
                <w:szCs w:val="20"/>
                <w:lang w:val="en-US" w:eastAsia="pt-BR"/>
              </w:rPr>
              <w:t>WD</w:t>
            </w:r>
            <w:r w:rsidR="006226A8" w:rsidRPr="005C470C">
              <w:rPr>
                <w:rFonts w:ascii="Times New Roman" w:eastAsia="Times New Roman" w:hAnsi="Times New Roman" w:cs="Times New Roman"/>
                <w:color w:val="000000"/>
                <w:sz w:val="20"/>
                <w:szCs w:val="20"/>
                <w:lang w:val="en-US" w:eastAsia="pt-BR"/>
              </w:rPr>
              <w:t xml:space="preserve"> does not seem to rely on application time. Both, whitening efficacy and production of </w:t>
            </w:r>
            <w:r w:rsidR="006226A8" w:rsidRPr="005C470C">
              <w:rPr>
                <w:rFonts w:ascii="Times New Roman" w:eastAsia="Times New Roman" w:hAnsi="Times New Roman" w:cs="Times New Roman"/>
                <w:color w:val="000000"/>
                <w:sz w:val="20"/>
                <w:szCs w:val="20"/>
                <w:lang w:val="en-US" w:eastAsia="pt-BR"/>
              </w:rPr>
              <w:lastRenderedPageBreak/>
              <w:t xml:space="preserve">adverse effects of </w:t>
            </w:r>
            <w:r w:rsidRPr="005C470C">
              <w:rPr>
                <w:rFonts w:ascii="Times New Roman" w:eastAsia="Times New Roman" w:hAnsi="Times New Roman" w:cs="Times New Roman"/>
                <w:color w:val="000000"/>
                <w:sz w:val="20"/>
                <w:szCs w:val="20"/>
                <w:lang w:val="en-US" w:eastAsia="pt-BR"/>
              </w:rPr>
              <w:t>WDs</w:t>
            </w:r>
            <w:r w:rsidR="006226A8" w:rsidRPr="005C470C">
              <w:rPr>
                <w:rFonts w:ascii="Times New Roman" w:eastAsia="Times New Roman" w:hAnsi="Times New Roman" w:cs="Times New Roman"/>
                <w:color w:val="000000"/>
                <w:sz w:val="20"/>
                <w:szCs w:val="20"/>
                <w:lang w:val="en-US" w:eastAsia="pt-BR"/>
              </w:rPr>
              <w:t xml:space="preserve"> are similar to most of the other whitening products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AAB7865" w14:textId="3EA74FD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726290" w:rsidRPr="005C470C">
              <w:rPr>
                <w:rFonts w:ascii="Times New Roman" w:eastAsia="Times New Roman" w:hAnsi="Times New Roman" w:cs="Times New Roman"/>
                <w:color w:val="000000"/>
                <w:sz w:val="20"/>
                <w:szCs w:val="20"/>
                <w:lang w:val="en-US" w:eastAsia="pt-BR"/>
              </w:rPr>
              <w:t xml:space="preserve"> - Caution is recommended </w:t>
            </w:r>
            <w:r w:rsidR="005216B8" w:rsidRPr="005C470C">
              <w:rPr>
                <w:rFonts w:ascii="Times New Roman" w:eastAsia="Times New Roman" w:hAnsi="Times New Roman" w:cs="Times New Roman"/>
                <w:color w:val="000000"/>
                <w:sz w:val="20"/>
                <w:szCs w:val="20"/>
                <w:lang w:val="en-US" w:eastAsia="pt-BR"/>
              </w:rPr>
              <w:t>to</w:t>
            </w:r>
            <w:r w:rsidR="00726290" w:rsidRPr="005C470C">
              <w:rPr>
                <w:rFonts w:ascii="Times New Roman" w:eastAsia="Times New Roman" w:hAnsi="Times New Roman" w:cs="Times New Roman"/>
                <w:color w:val="000000"/>
                <w:sz w:val="20"/>
                <w:szCs w:val="20"/>
                <w:lang w:val="en-US" w:eastAsia="pt-BR"/>
              </w:rPr>
              <w:t xml:space="preserve"> interpret </w:t>
            </w:r>
            <w:r w:rsidR="005216B8" w:rsidRPr="005C470C">
              <w:rPr>
                <w:rFonts w:ascii="Times New Roman" w:eastAsia="Times New Roman" w:hAnsi="Times New Roman" w:cs="Times New Roman"/>
                <w:color w:val="000000"/>
                <w:sz w:val="20"/>
                <w:szCs w:val="20"/>
                <w:lang w:val="en-US" w:eastAsia="pt-BR"/>
              </w:rPr>
              <w:t>the</w:t>
            </w:r>
            <w:r w:rsidR="00726290" w:rsidRPr="005C470C">
              <w:rPr>
                <w:rFonts w:ascii="Times New Roman" w:eastAsia="Times New Roman" w:hAnsi="Times New Roman" w:cs="Times New Roman"/>
                <w:color w:val="000000"/>
                <w:sz w:val="20"/>
                <w:szCs w:val="20"/>
                <w:lang w:val="en-US" w:eastAsia="pt-BR"/>
              </w:rPr>
              <w:t xml:space="preserve"> conclusions, </w:t>
            </w:r>
            <w:r w:rsidR="005216B8" w:rsidRPr="005C470C">
              <w:rPr>
                <w:rFonts w:ascii="Times New Roman" w:eastAsia="Times New Roman" w:hAnsi="Times New Roman" w:cs="Times New Roman"/>
                <w:color w:val="000000"/>
                <w:sz w:val="20"/>
                <w:szCs w:val="20"/>
                <w:lang w:val="en-US" w:eastAsia="pt-BR"/>
              </w:rPr>
              <w:t>once</w:t>
            </w:r>
            <w:r w:rsidR="00726290" w:rsidRPr="005C470C">
              <w:rPr>
                <w:rFonts w:ascii="Times New Roman" w:eastAsia="Times New Roman" w:hAnsi="Times New Roman" w:cs="Times New Roman"/>
                <w:color w:val="000000"/>
                <w:sz w:val="20"/>
                <w:szCs w:val="20"/>
                <w:lang w:val="en-US" w:eastAsia="pt-BR"/>
              </w:rPr>
              <w:t xml:space="preserve"> they are impacted by the low quality of the primary studies, most of which are sponsored by industry</w:t>
            </w:r>
            <w:r w:rsidR="00B0457E">
              <w:rPr>
                <w:rFonts w:ascii="Times New Roman" w:eastAsia="Times New Roman" w:hAnsi="Times New Roman" w:cs="Times New Roman"/>
                <w:color w:val="000000"/>
                <w:sz w:val="20"/>
                <w:szCs w:val="20"/>
                <w:lang w:val="en-US" w:eastAsia="pt-BR"/>
              </w:rPr>
              <w:t>.</w:t>
            </w:r>
          </w:p>
        </w:tc>
      </w:tr>
      <w:tr w:rsidR="002914BB" w:rsidRPr="005C470C" w14:paraId="694305D9" w14:textId="77777777" w:rsidTr="00114AF5">
        <w:trPr>
          <w:trHeight w:val="20"/>
        </w:trPr>
        <w:tc>
          <w:tcPr>
            <w:tcW w:w="1135" w:type="dxa"/>
            <w:shd w:val="clear" w:color="auto" w:fill="auto"/>
            <w:vAlign w:val="center"/>
            <w:hideMark/>
          </w:tcPr>
          <w:p w14:paraId="79CC3A23" w14:textId="77777777" w:rsidR="006226A8" w:rsidRPr="00C53143" w:rsidRDefault="006226A8"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Díaz-Sánchez et al, 2019</w:t>
            </w:r>
            <w:r w:rsidR="0008652B" w:rsidRPr="005C470C">
              <w:rPr>
                <w:rFonts w:ascii="Times New Roman" w:eastAsia="Times New Roman" w:hAnsi="Times New Roman" w:cs="Times New Roman"/>
                <w:sz w:val="20"/>
                <w:szCs w:val="20"/>
                <w:lang w:eastAsia="pt-BR"/>
              </w:rPr>
              <w:fldChar w:fldCharType="begin"/>
            </w:r>
            <w:r w:rsidR="0008652B" w:rsidRPr="00C53143">
              <w:rPr>
                <w:rFonts w:ascii="Times New Roman" w:eastAsia="Times New Roman" w:hAnsi="Times New Roman" w:cs="Times New Roman"/>
                <w:sz w:val="20"/>
                <w:szCs w:val="20"/>
                <w:lang w:val="en-US" w:eastAsia="pt-BR"/>
              </w:rPr>
              <w:instrText xml:space="preserve"> ADDIN EN.CITE &lt;EndNote&gt;&lt;Cite&gt;&lt;Author&gt;Díaz‐Sánchez&lt;/Author&gt;&lt;Year&gt;2019&lt;/Year&gt;&lt;RecNum&gt;20892&lt;/RecNum&gt;&lt;DisplayText&gt;&lt;style face="superscript"&gt;30&lt;/style&gt;&lt;/DisplayText&gt;&lt;record&gt;&lt;rec-number&gt;20892&lt;/rec-number&gt;&lt;foreign-keys&gt;&lt;key app="EN" db-id="f5fv5a2shx52dqesxzmpffeqzt5ffxae2vev" timestamp="1607902544"&gt;20892&lt;/key&gt;&lt;/foreign-keys&gt;&lt;ref-type name="Journal Article"&gt;17&lt;/ref-type&gt;&lt;contributors&gt;&lt;authors&gt;&lt;author&gt;Díaz‐Sánchez, María&lt;/author&gt;&lt;author&gt;Soto‐Peñaloza, David&lt;/author&gt;&lt;author&gt;Peñarrocha‐Oltra, David&lt;/author&gt;&lt;author&gt;Peñarrocha‐Diago, María&lt;/author&gt;&lt;/authors&gt;&lt;/contributors&gt;&lt;titles&gt;&lt;title&gt;Influence of supracrestal tissue attachment thickness on radiographic bone level around dental implants: A systematic review and meta‐analysis&lt;/title&gt;&lt;secondary-title&gt;Journal of periodontal research&lt;/secondary-title&gt;&lt;/titles&gt;&lt;periodical&gt;&lt;full-title&gt;J Periodontal Res&lt;/full-title&gt;&lt;abbr-1&gt;Journal of periodontal research&lt;/abbr-1&gt;&lt;/periodical&gt;&lt;pages&gt;573-588&lt;/pages&gt;&lt;volume&gt;54&lt;/volume&gt;&lt;number&gt;6&lt;/number&gt;&lt;dates&gt;&lt;year&gt;2019&lt;/year&gt;&lt;/dates&gt;&lt;isbn&gt;0022-3484&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C53143">
              <w:rPr>
                <w:rFonts w:ascii="Times New Roman" w:eastAsia="Times New Roman" w:hAnsi="Times New Roman" w:cs="Times New Roman"/>
                <w:noProof/>
                <w:sz w:val="20"/>
                <w:szCs w:val="20"/>
                <w:vertAlign w:val="superscript"/>
                <w:lang w:val="en-US" w:eastAsia="pt-BR"/>
              </w:rPr>
              <w:t>30</w:t>
            </w:r>
            <w:r w:rsidR="0008652B" w:rsidRPr="005C470C">
              <w:rPr>
                <w:rFonts w:ascii="Times New Roman" w:eastAsia="Times New Roman" w:hAnsi="Times New Roman" w:cs="Times New Roman"/>
                <w:sz w:val="20"/>
                <w:szCs w:val="20"/>
                <w:lang w:eastAsia="pt-BR"/>
              </w:rPr>
              <w:fldChar w:fldCharType="end"/>
            </w:r>
          </w:p>
          <w:p w14:paraId="6FD829F1" w14:textId="758E8232" w:rsidR="00C53143" w:rsidRPr="00C53143" w:rsidRDefault="00C53143" w:rsidP="00C53143">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(Spain)</w:t>
            </w:r>
          </w:p>
        </w:tc>
        <w:tc>
          <w:tcPr>
            <w:tcW w:w="992" w:type="dxa"/>
            <w:shd w:val="clear" w:color="auto" w:fill="auto"/>
            <w:vAlign w:val="center"/>
            <w:hideMark/>
          </w:tcPr>
          <w:p w14:paraId="2DCCA341"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periodontal research</w:t>
            </w:r>
          </w:p>
          <w:p w14:paraId="52CDEF92" w14:textId="37B69953"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(2.926)</w:t>
            </w:r>
          </w:p>
        </w:tc>
        <w:tc>
          <w:tcPr>
            <w:tcW w:w="1418" w:type="dxa"/>
            <w:shd w:val="clear" w:color="auto" w:fill="auto"/>
            <w:vAlign w:val="center"/>
            <w:hideMark/>
          </w:tcPr>
          <w:p w14:paraId="416C98F8"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7E352F44" w14:textId="72A0C7F5"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determine the extent to which supracrestal tissue attachment (STA) thickness affects marginal bone loss (MBL) around dental implants</w:t>
            </w:r>
          </w:p>
        </w:tc>
        <w:tc>
          <w:tcPr>
            <w:tcW w:w="1134" w:type="dxa"/>
            <w:shd w:val="clear" w:color="auto" w:fill="auto"/>
            <w:vAlign w:val="center"/>
            <w:hideMark/>
          </w:tcPr>
          <w:p w14:paraId="5963475A" w14:textId="4EDCEAE0"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Implants in the prosthetic phase in humans</w:t>
            </w:r>
          </w:p>
        </w:tc>
        <w:tc>
          <w:tcPr>
            <w:tcW w:w="1276" w:type="dxa"/>
            <w:shd w:val="clear" w:color="auto" w:fill="auto"/>
            <w:vAlign w:val="center"/>
            <w:hideMark/>
          </w:tcPr>
          <w:p w14:paraId="50B52714" w14:textId="7C738155"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Supracrestal tissue thin</w:t>
            </w:r>
          </w:p>
        </w:tc>
        <w:tc>
          <w:tcPr>
            <w:tcW w:w="1418" w:type="dxa"/>
            <w:shd w:val="clear" w:color="auto" w:fill="auto"/>
            <w:vAlign w:val="center"/>
            <w:hideMark/>
          </w:tcPr>
          <w:p w14:paraId="50A90CDF" w14:textId="034D9365"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Supracrestal tissue thick</w:t>
            </w:r>
          </w:p>
        </w:tc>
        <w:tc>
          <w:tcPr>
            <w:tcW w:w="1275" w:type="dxa"/>
            <w:shd w:val="clear" w:color="auto" w:fill="auto"/>
            <w:vAlign w:val="center"/>
            <w:hideMark/>
          </w:tcPr>
          <w:p w14:paraId="005FA25B" w14:textId="1FDF323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 </w:t>
            </w:r>
            <w:r w:rsidR="00C01468" w:rsidRPr="005C470C">
              <w:rPr>
                <w:rFonts w:ascii="Times New Roman" w:eastAsia="Times New Roman" w:hAnsi="Times New Roman" w:cs="Times New Roman"/>
                <w:color w:val="000000"/>
                <w:sz w:val="20"/>
                <w:szCs w:val="20"/>
                <w:lang w:val="en-US" w:eastAsia="pt-BR"/>
              </w:rPr>
              <w:t xml:space="preserve">Attachment </w:t>
            </w:r>
            <w:r w:rsidRPr="005C470C">
              <w:rPr>
                <w:rFonts w:ascii="Times New Roman" w:eastAsia="Times New Roman" w:hAnsi="Times New Roman" w:cs="Times New Roman"/>
                <w:color w:val="000000"/>
                <w:sz w:val="20"/>
                <w:szCs w:val="20"/>
                <w:lang w:val="en-US" w:eastAsia="pt-BR"/>
              </w:rPr>
              <w:t>at implant sites affect the radiographic MBL and peri‐implant outcomes</w:t>
            </w:r>
          </w:p>
        </w:tc>
        <w:tc>
          <w:tcPr>
            <w:tcW w:w="1134" w:type="dxa"/>
            <w:shd w:val="clear" w:color="auto" w:fill="auto"/>
            <w:vAlign w:val="center"/>
            <w:hideMark/>
          </w:tcPr>
          <w:p w14:paraId="6FE41A47" w14:textId="55E4546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and prospective non‐</w:t>
            </w:r>
            <w:r w:rsidR="00726290" w:rsidRPr="005C470C">
              <w:rPr>
                <w:rFonts w:ascii="Times New Roman" w:eastAsia="Times New Roman" w:hAnsi="Times New Roman" w:cs="Times New Roman"/>
                <w:color w:val="000000"/>
                <w:sz w:val="20"/>
                <w:szCs w:val="20"/>
                <w:lang w:val="en-US" w:eastAsia="pt-BR"/>
              </w:rPr>
              <w:t xml:space="preserve">RCTs </w:t>
            </w:r>
            <w:r w:rsidR="005216B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at least 12</w:t>
            </w:r>
            <w:r w:rsidR="005216B8" w:rsidRPr="005C470C">
              <w:rPr>
                <w:rFonts w:ascii="Times New Roman" w:eastAsia="Times New Roman" w:hAnsi="Times New Roman" w:cs="Times New Roman"/>
                <w:color w:val="000000"/>
                <w:sz w:val="20"/>
                <w:szCs w:val="20"/>
                <w:lang w:val="en-US" w:eastAsia="pt-BR"/>
              </w:rPr>
              <w:t>mo</w:t>
            </w:r>
            <w:r w:rsidRPr="005C470C">
              <w:rPr>
                <w:rFonts w:ascii="Times New Roman" w:eastAsia="Times New Roman" w:hAnsi="Times New Roman" w:cs="Times New Roman"/>
                <w:color w:val="000000"/>
                <w:sz w:val="20"/>
                <w:szCs w:val="20"/>
                <w:lang w:val="en-US" w:eastAsia="pt-BR"/>
              </w:rPr>
              <w:t xml:space="preserve"> of follow‐up after prosthesis installation (n=9)</w:t>
            </w:r>
          </w:p>
        </w:tc>
        <w:tc>
          <w:tcPr>
            <w:tcW w:w="567" w:type="dxa"/>
            <w:shd w:val="clear" w:color="auto" w:fill="auto"/>
            <w:vAlign w:val="center"/>
            <w:hideMark/>
          </w:tcPr>
          <w:p w14:paraId="1CD10FDB"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B5A0261" w14:textId="33AE07E7" w:rsidR="006226A8" w:rsidRPr="005C470C" w:rsidRDefault="00726290"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w:t>
            </w:r>
            <w:r w:rsidR="006226A8" w:rsidRPr="005C470C">
              <w:rPr>
                <w:rFonts w:ascii="Times New Roman" w:eastAsia="Times New Roman" w:hAnsi="Times New Roman" w:cs="Times New Roman"/>
                <w:color w:val="000000"/>
                <w:sz w:val="20"/>
                <w:szCs w:val="20"/>
                <w:lang w:val="en-US" w:eastAsia="pt-BR"/>
              </w:rPr>
              <w:t>mplants with thin STA result in greater MBL.</w:t>
            </w:r>
            <w:r w:rsidR="005216B8"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There is moderate certainty of the evidence for a large effect of MBL prevention in favor of a thick STA environment in crestal‐positioned implants and in the pooled analysis, but lesser certainty when only supracrestal‐positioned implants are considered</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719F11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114AF5" w14:paraId="05E8D497" w14:textId="77777777" w:rsidTr="00114AF5">
        <w:trPr>
          <w:trHeight w:val="4106"/>
        </w:trPr>
        <w:tc>
          <w:tcPr>
            <w:tcW w:w="1135" w:type="dxa"/>
            <w:shd w:val="clear" w:color="auto" w:fill="auto"/>
            <w:vAlign w:val="center"/>
            <w:hideMark/>
          </w:tcPr>
          <w:p w14:paraId="7951BB15"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Dos Santos et al, 2020</w:t>
            </w:r>
            <w:r w:rsidR="00925DE6" w:rsidRPr="005C470C">
              <w:rPr>
                <w:rFonts w:ascii="Times New Roman" w:eastAsia="Times New Roman" w:hAnsi="Times New Roman" w:cs="Times New Roman"/>
                <w:sz w:val="20"/>
                <w:szCs w:val="20"/>
                <w:lang w:eastAsia="pt-BR"/>
              </w:rPr>
              <w:t xml:space="preserve"> (A)</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&lt;EndNote&gt;&lt;Cite&gt;&lt;Author&gt;Dos Santos&lt;/Author&gt;&lt;Year&gt;2020&lt;/Year&gt;&lt;RecNum&gt;20888&lt;/RecNum&gt;&lt;DisplayText&gt;&lt;style face="superscript"&gt;31&lt;/style&gt;&lt;/DisplayText&gt;&lt;record&gt;&lt;rec-number&gt;20888&lt;/rec-number&gt;&lt;foreign-keys&gt;&lt;key app="EN" db-id="f5fv5a2shx52dqesxzmpffeqzt5ffxae2vev" timestamp="1607902544"&gt;20888&lt;/key&gt;&lt;/foreign-keys&gt;&lt;ref-type name="Journal Article"&gt;17&lt;/ref-type&gt;&lt;contributors&gt;&lt;authors&gt;&lt;author&gt;Dos Santos, Cibelle Cristina Oliveira&lt;/author&gt;&lt;author&gt;Mecenas, Paulo&lt;/author&gt;&lt;author&gt;de Castro Aragón, Mônica Lidia Santos&lt;/author&gt;&lt;author&gt;Normando, David&lt;/author&gt;&lt;/authors&gt;&lt;/contributors&gt;&lt;titles&gt;&lt;title&gt;Effects of micro-osteoperforations performed with Propel system on tooth movement, pain/quality of life, anchorage loss, and root resorption: a systematic review and meta-analysis&lt;/title&gt;&lt;secondary-title&gt;Progress in orthodontics&lt;/secondary-title&gt;&lt;/titles&gt;&lt;periodical&gt;&lt;full-title&gt;Progress in Orthodontics&lt;/full-title&gt;&lt;/periodical&gt;&lt;pages&gt;1-15&lt;/pages&gt;&lt;volume&gt;21&lt;/volume&gt;&lt;number&gt;1&lt;/number&gt;&lt;dates&gt;&lt;year&gt;2020&lt;/year&gt;&lt;/dates&gt;&lt;isbn&gt;2196-1042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31</w:t>
            </w:r>
            <w:r w:rsidR="0008652B" w:rsidRPr="005C470C">
              <w:rPr>
                <w:rFonts w:ascii="Times New Roman" w:eastAsia="Times New Roman" w:hAnsi="Times New Roman" w:cs="Times New Roman"/>
                <w:sz w:val="20"/>
                <w:szCs w:val="20"/>
                <w:lang w:eastAsia="pt-BR"/>
              </w:rPr>
              <w:fldChar w:fldCharType="end"/>
            </w:r>
          </w:p>
          <w:p w14:paraId="4B4457C2" w14:textId="773BC7B1"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5DE03154"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Progress in orthodontics</w:t>
            </w:r>
          </w:p>
          <w:p w14:paraId="17E785F8" w14:textId="28497559"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(1.822)</w:t>
            </w:r>
          </w:p>
        </w:tc>
        <w:tc>
          <w:tcPr>
            <w:tcW w:w="1418" w:type="dxa"/>
            <w:shd w:val="clear" w:color="auto" w:fill="auto"/>
            <w:vAlign w:val="center"/>
            <w:hideMark/>
          </w:tcPr>
          <w:p w14:paraId="280B426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53002670" w14:textId="0ECA525F"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evaluate the effect of micro-osteoperforations (MOPs) performed with Propel and other mini-screws on the rate of tooth movement, pain/discomfort, periodontal health, anchorage loss, and root resorption in patients undergoing orthodontic retraction compared to a control group</w:t>
            </w:r>
          </w:p>
        </w:tc>
        <w:tc>
          <w:tcPr>
            <w:tcW w:w="1134" w:type="dxa"/>
            <w:shd w:val="clear" w:color="auto" w:fill="auto"/>
            <w:vAlign w:val="center"/>
            <w:hideMark/>
          </w:tcPr>
          <w:p w14:paraId="47CF8488" w14:textId="1B87CD25"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Orthodontic </w:t>
            </w:r>
            <w:r w:rsidR="006226A8" w:rsidRPr="005C470C">
              <w:rPr>
                <w:rFonts w:ascii="Times New Roman" w:eastAsia="Times New Roman" w:hAnsi="Times New Roman" w:cs="Times New Roman"/>
                <w:color w:val="000000"/>
                <w:sz w:val="20"/>
                <w:szCs w:val="20"/>
                <w:lang w:val="en-US" w:eastAsia="pt-BR"/>
              </w:rPr>
              <w:t>patients with permanent</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dentition who underwent premolar extraction, and</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canine retraction or total anterior retraction</w:t>
            </w:r>
          </w:p>
        </w:tc>
        <w:tc>
          <w:tcPr>
            <w:tcW w:w="1276" w:type="dxa"/>
            <w:shd w:val="clear" w:color="auto" w:fill="auto"/>
            <w:vAlign w:val="center"/>
            <w:hideMark/>
          </w:tcPr>
          <w:p w14:paraId="7F1C3A2E"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MOPs during canine retraction or total anterior retraction</w:t>
            </w:r>
          </w:p>
        </w:tc>
        <w:tc>
          <w:tcPr>
            <w:tcW w:w="1418" w:type="dxa"/>
            <w:shd w:val="clear" w:color="auto" w:fill="auto"/>
            <w:vAlign w:val="center"/>
            <w:hideMark/>
          </w:tcPr>
          <w:p w14:paraId="78F102AD" w14:textId="30A07333"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Canine </w:t>
            </w:r>
            <w:r w:rsidR="006226A8" w:rsidRPr="005C470C">
              <w:rPr>
                <w:rFonts w:ascii="Times New Roman" w:eastAsia="Times New Roman" w:hAnsi="Times New Roman" w:cs="Times New Roman"/>
                <w:color w:val="000000"/>
                <w:sz w:val="20"/>
                <w:szCs w:val="20"/>
                <w:lang w:val="en-US" w:eastAsia="pt-BR"/>
              </w:rPr>
              <w:t>retraction or total anterior retraction without MOPs or other interventions</w:t>
            </w:r>
          </w:p>
        </w:tc>
        <w:tc>
          <w:tcPr>
            <w:tcW w:w="1275" w:type="dxa"/>
            <w:shd w:val="clear" w:color="auto" w:fill="auto"/>
            <w:vAlign w:val="center"/>
            <w:hideMark/>
          </w:tcPr>
          <w:p w14:paraId="51008C60" w14:textId="021236C1"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Rate </w:t>
            </w:r>
            <w:r w:rsidR="006226A8" w:rsidRPr="005C470C">
              <w:rPr>
                <w:rFonts w:ascii="Times New Roman" w:eastAsia="Times New Roman" w:hAnsi="Times New Roman" w:cs="Times New Roman"/>
                <w:color w:val="000000"/>
                <w:sz w:val="20"/>
                <w:szCs w:val="20"/>
                <w:lang w:val="en-US" w:eastAsia="pt-BR"/>
              </w:rPr>
              <w:t xml:space="preserve">of tooth movement measured by the amount of canine retraction or total anterior retraction; quality of life; impact on patient’s daily routine; and adverse effects </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pain/discomfort; root resorption, periodontal health; and anchorage loss</w:t>
            </w:r>
            <w:r w:rsidR="00726290"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1D161D8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(n=12)</w:t>
            </w:r>
          </w:p>
        </w:tc>
        <w:tc>
          <w:tcPr>
            <w:tcW w:w="567" w:type="dxa"/>
            <w:shd w:val="clear" w:color="auto" w:fill="auto"/>
            <w:vAlign w:val="center"/>
            <w:hideMark/>
          </w:tcPr>
          <w:p w14:paraId="7476EDD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1908890" w14:textId="3671EFE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MOPs seem to have no effect on root resorption, loss of anchorage, periodontal health, and pain/discomfort. They also produced more impact on quality of life immediately following the perforations and for 3</w:t>
            </w:r>
            <w:r w:rsidR="00434FEC" w:rsidRPr="005C470C">
              <w:rPr>
                <w:rFonts w:ascii="Times New Roman" w:eastAsia="Times New Roman" w:hAnsi="Times New Roman" w:cs="Times New Roman"/>
                <w:color w:val="000000"/>
                <w:sz w:val="20"/>
                <w:szCs w:val="20"/>
                <w:lang w:val="en-US" w:eastAsia="pt-BR"/>
              </w:rPr>
              <w:t>d</w:t>
            </w:r>
            <w:r w:rsidRPr="005C470C">
              <w:rPr>
                <w:rFonts w:ascii="Times New Roman" w:eastAsia="Times New Roman" w:hAnsi="Times New Roman" w:cs="Times New Roman"/>
                <w:color w:val="000000"/>
                <w:sz w:val="20"/>
                <w:szCs w:val="20"/>
                <w:lang w:val="en-US" w:eastAsia="pt-BR"/>
              </w:rPr>
              <w:t xml:space="preserve"> after</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0D3BC39" w14:textId="4C0C3EB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26290" w:rsidRPr="005C470C">
              <w:rPr>
                <w:rFonts w:ascii="Times New Roman" w:eastAsia="Times New Roman" w:hAnsi="Times New Roman" w:cs="Times New Roman"/>
                <w:color w:val="000000"/>
                <w:sz w:val="20"/>
                <w:szCs w:val="20"/>
                <w:lang w:val="en-US" w:eastAsia="pt-BR"/>
              </w:rPr>
              <w:t xml:space="preserve"> - A higher level of evidence can be generated with studies which follow the space closure until the end with less methodological heterogeneity</w:t>
            </w:r>
            <w:r w:rsidR="00B0457E">
              <w:rPr>
                <w:rFonts w:ascii="Times New Roman" w:eastAsia="Times New Roman" w:hAnsi="Times New Roman" w:cs="Times New Roman"/>
                <w:color w:val="000000"/>
                <w:sz w:val="20"/>
                <w:szCs w:val="20"/>
                <w:lang w:val="en-US" w:eastAsia="pt-BR"/>
              </w:rPr>
              <w:t>.</w:t>
            </w:r>
          </w:p>
        </w:tc>
      </w:tr>
      <w:tr w:rsidR="002914BB" w:rsidRPr="005C470C" w14:paraId="459530B3" w14:textId="77777777" w:rsidTr="00114AF5">
        <w:trPr>
          <w:trHeight w:val="3668"/>
        </w:trPr>
        <w:tc>
          <w:tcPr>
            <w:tcW w:w="1135" w:type="dxa"/>
            <w:shd w:val="clear" w:color="auto" w:fill="auto"/>
            <w:vAlign w:val="center"/>
            <w:hideMark/>
          </w:tcPr>
          <w:p w14:paraId="0CAD90E5"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Dos Santos et al, 2020</w:t>
            </w:r>
            <w:r w:rsidR="00925DE6" w:rsidRPr="005C470C">
              <w:rPr>
                <w:rFonts w:ascii="Times New Roman" w:eastAsia="Times New Roman" w:hAnsi="Times New Roman" w:cs="Times New Roman"/>
                <w:sz w:val="20"/>
                <w:szCs w:val="20"/>
                <w:lang w:eastAsia="pt-BR"/>
              </w:rPr>
              <w:t xml:space="preserve"> (B)</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&lt;EndNote&gt;&lt;Cite&gt;&lt;Author&gt;Dos Santos&lt;/Author&gt;&lt;Year&gt;2020&lt;/Year&gt;&lt;RecNum&gt;20887&lt;/RecNum&gt;&lt;DisplayText&gt;&lt;style face="superscript"&gt;32&lt;/style&gt;&lt;/DisplayText&gt;&lt;record&gt;&lt;rec-number&gt;20887&lt;/rec-number&gt;&lt;foreign-keys&gt;&lt;key app="EN" db-id="f5fv5a2shx52dqesxzmpffeqzt5ffxae2vev" timestamp="1607902544"&gt;20887&lt;/key&gt;&lt;/foreign-keys&gt;&lt;ref-type name="Journal Article"&gt;17&lt;/ref-type&gt;&lt;contributors&gt;&lt;authors&gt;&lt;author&gt;Dos Santos, Karoline Weber&lt;/author&gt;&lt;author&gt;Rech, Rafaela Soares&lt;/author&gt;&lt;author&gt;Wendland, Eliana Márcia Da Ros&lt;/author&gt;&lt;author&gt;Hilgert, Juliana Balbinot&lt;/author&gt;&lt;/authors&gt;&lt;/contributors&gt;&lt;titles&gt;&lt;title&gt;Rehabilitation strategies in maxillofacial trauma: systematic review and meta-analysis&lt;/title&gt;&lt;secondary-title&gt;Oral and maxillofacial surgery&lt;/secondary-title&gt;&lt;/titles&gt;&lt;periodical&gt;&lt;full-title&gt;Oral Maxillofac Surg&lt;/full-title&gt;&lt;abbr-1&gt;Oral and maxillofacial surgery&lt;/abbr-1&gt;&lt;/periodical&gt;&lt;pages&gt;1-10&lt;/pages&gt;&lt;volume&gt;24&lt;/volume&gt;&lt;number&gt;1&lt;/number&gt;&lt;dates&gt;&lt;year&gt;2020&lt;/year&gt;&lt;/dates&gt;&lt;isbn&gt;1865-1569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32</w:t>
            </w:r>
            <w:r w:rsidR="0008652B" w:rsidRPr="005C470C">
              <w:rPr>
                <w:rFonts w:ascii="Times New Roman" w:eastAsia="Times New Roman" w:hAnsi="Times New Roman" w:cs="Times New Roman"/>
                <w:sz w:val="20"/>
                <w:szCs w:val="20"/>
                <w:lang w:eastAsia="pt-BR"/>
              </w:rPr>
              <w:fldChar w:fldCharType="end"/>
            </w:r>
          </w:p>
          <w:p w14:paraId="50305E53" w14:textId="05334755"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1C8218D5"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Oral and maxillofacial surgery</w:t>
            </w:r>
          </w:p>
          <w:p w14:paraId="6A9F7C34" w14:textId="26013D89"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(1.642)</w:t>
            </w:r>
          </w:p>
        </w:tc>
        <w:tc>
          <w:tcPr>
            <w:tcW w:w="1418" w:type="dxa"/>
            <w:shd w:val="clear" w:color="auto" w:fill="auto"/>
            <w:vAlign w:val="center"/>
            <w:hideMark/>
          </w:tcPr>
          <w:p w14:paraId="036CBFD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7E096D7A" w14:textId="5C41D954"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investigate rehabilitation strategies to reduce trismus, pain, and edema in patients with maxillofacial trauma</w:t>
            </w:r>
          </w:p>
        </w:tc>
        <w:tc>
          <w:tcPr>
            <w:tcW w:w="1134" w:type="dxa"/>
            <w:shd w:val="clear" w:color="auto" w:fill="auto"/>
            <w:vAlign w:val="center"/>
            <w:hideMark/>
          </w:tcPr>
          <w:p w14:paraId="4AB9EC9D" w14:textId="6092011F"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Individuals with maxillofacial trauma without restricting the location of fracture, with only one or multiple </w:t>
            </w:r>
            <w:r w:rsidR="006226A8" w:rsidRPr="005C470C">
              <w:rPr>
                <w:rFonts w:ascii="Times New Roman" w:eastAsia="Times New Roman" w:hAnsi="Times New Roman" w:cs="Times New Roman"/>
                <w:color w:val="000000"/>
                <w:sz w:val="20"/>
                <w:szCs w:val="20"/>
                <w:lang w:val="en-US" w:eastAsia="pt-BR"/>
              </w:rPr>
              <w:t>fractures</w:t>
            </w:r>
          </w:p>
        </w:tc>
        <w:tc>
          <w:tcPr>
            <w:tcW w:w="1276" w:type="dxa"/>
            <w:shd w:val="clear" w:color="auto" w:fill="auto"/>
            <w:vAlign w:val="center"/>
            <w:hideMark/>
          </w:tcPr>
          <w:p w14:paraId="59B71049" w14:textId="74F38D91"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Therapies not based on medications that aim to reduce trismus, pain and edema after trauma or maxillofacial procedures</w:t>
            </w:r>
          </w:p>
        </w:tc>
        <w:tc>
          <w:tcPr>
            <w:tcW w:w="1418" w:type="dxa"/>
            <w:shd w:val="clear" w:color="auto" w:fill="auto"/>
            <w:vAlign w:val="center"/>
            <w:hideMark/>
          </w:tcPr>
          <w:p w14:paraId="5EF8A4C6" w14:textId="653B47E6"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Placebos of the main intervention, medications or no treatment</w:t>
            </w:r>
          </w:p>
        </w:tc>
        <w:tc>
          <w:tcPr>
            <w:tcW w:w="1275" w:type="dxa"/>
            <w:shd w:val="clear" w:color="auto" w:fill="auto"/>
            <w:vAlign w:val="center"/>
            <w:hideMark/>
          </w:tcPr>
          <w:p w14:paraId="03D61B1F" w14:textId="3D6B831F"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Mandibular range of motion measured by mouth opening </w:t>
            </w:r>
            <w:r w:rsidR="0072629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num</w:t>
            </w:r>
            <w:r w:rsidR="006226A8" w:rsidRPr="005C470C">
              <w:rPr>
                <w:rFonts w:ascii="Times New Roman" w:eastAsia="Times New Roman" w:hAnsi="Times New Roman" w:cs="Times New Roman"/>
                <w:color w:val="000000"/>
                <w:sz w:val="20"/>
                <w:szCs w:val="20"/>
                <w:lang w:val="en-US" w:eastAsia="pt-BR"/>
              </w:rPr>
              <w:t>erical scales</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pain</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numerical or visual analog scale</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and edema</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volumetric assessment or distance between facial points</w:t>
            </w:r>
            <w:r w:rsidR="00726290"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47DB29E9"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(n=7)</w:t>
            </w:r>
          </w:p>
        </w:tc>
        <w:tc>
          <w:tcPr>
            <w:tcW w:w="567" w:type="dxa"/>
            <w:shd w:val="clear" w:color="auto" w:fill="auto"/>
            <w:vAlign w:val="center"/>
            <w:hideMark/>
          </w:tcPr>
          <w:p w14:paraId="3DE3AB95"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23A4819" w14:textId="0CCFB4C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results obtained in this review are still insufficient to promote evidence that allow a clear definition of how to use non-drug rehabilitation techniques in patients with maxillofacial trauma since there are few studies with reasonable methodological quality, with a low quality of evidence according to GRADE assessment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0ECC02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5C470C" w14:paraId="75F954ED" w14:textId="77777777" w:rsidTr="00114AF5">
        <w:trPr>
          <w:trHeight w:val="20"/>
        </w:trPr>
        <w:tc>
          <w:tcPr>
            <w:tcW w:w="1135" w:type="dxa"/>
            <w:shd w:val="clear" w:color="auto" w:fill="auto"/>
            <w:vAlign w:val="center"/>
            <w:hideMark/>
          </w:tcPr>
          <w:p w14:paraId="2230348C"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Duarte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&lt;EndNote&gt;&lt;Cite&gt;&lt;Author&gt;Duarte&lt;/Author&gt;&lt;Year&gt;2020&lt;/Year&gt;&lt;RecNum&gt;20886&lt;/RecNum&gt;&lt;DisplayText&gt;&lt;style face="superscript"&gt;33&lt;/style&gt;&lt;/DisplayText&gt;&lt;record&gt;&lt;rec-number&gt;20886&lt;/rec-number&gt;&lt;foreign-keys&gt;&lt;key app="EN" db-id="f5fv5a2shx52dqesxzmpffeqzt5ffxae2vev" timestamp="1607902544"&gt;20886&lt;/key&gt;&lt;/foreign-keys&gt;&lt;ref-type name="Journal Article"&gt;17&lt;/ref-type&gt;&lt;contributors&gt;&lt;authors&gt;&lt;author&gt;Duarte, Maysa Lannes&lt;/author&gt;&lt;author&gt;Pires, Paula Maciel&lt;/author&gt;&lt;author&gt;Ferreira, Daniele Masterson&lt;/author&gt;&lt;author&gt;Pintor, Andréa Vaz Braga&lt;/author&gt;&lt;author&gt;de Almeida Neves, Aline&lt;/author&gt;&lt;author&gt;Maia, Lucianne Cople&lt;/author&gt;&lt;author&gt;Primo, Laura Guimarães&lt;/author&gt;&lt;/authors&gt;&lt;/contributors&gt;&lt;titles&gt;&lt;title&gt;Is there evidence for the use of lesion sterilization and tissue repair therapy in the endodontic treatment of primary teeth? A systematic review and meta-analyses&lt;/title&gt;&lt;secondary-title&gt;Clinical oral investigations&lt;/secondary-title&gt;&lt;/titles&gt;&lt;periodical&gt;&lt;full-title&gt;Clin Oral Investig&lt;/full-title&gt;&lt;abbr-1&gt;Clinical oral investigations&lt;/abbr-1&gt;&lt;/periodical&gt;&lt;pages&gt;2959-2972&lt;/pages&gt;&lt;volume&gt;24&lt;/volume&gt;&lt;number&gt;9&lt;/number&gt;&lt;dates&gt;&lt;year&gt;2020&lt;/year&gt;&lt;/dates&gt;&lt;isbn&gt;1436-3771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33</w:t>
            </w:r>
            <w:r w:rsidR="0008652B" w:rsidRPr="005C470C">
              <w:rPr>
                <w:rFonts w:ascii="Times New Roman" w:eastAsia="Times New Roman" w:hAnsi="Times New Roman" w:cs="Times New Roman"/>
                <w:sz w:val="20"/>
                <w:szCs w:val="20"/>
                <w:lang w:eastAsia="pt-BR"/>
              </w:rPr>
              <w:fldChar w:fldCharType="end"/>
            </w:r>
          </w:p>
          <w:p w14:paraId="077A1F45" w14:textId="1A1D0306"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5776E506" w14:textId="77777777" w:rsidR="006226A8"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Clinical oral investigations</w:t>
            </w:r>
          </w:p>
          <w:p w14:paraId="730E3E2E" w14:textId="321BD0E5" w:rsidR="00C53143" w:rsidRPr="005C470C"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(2.812)</w:t>
            </w:r>
          </w:p>
        </w:tc>
        <w:tc>
          <w:tcPr>
            <w:tcW w:w="1418" w:type="dxa"/>
            <w:shd w:val="clear" w:color="auto" w:fill="auto"/>
            <w:vAlign w:val="center"/>
            <w:hideMark/>
          </w:tcPr>
          <w:p w14:paraId="047459AF"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Endodontics/Pediatric Dentistry</w:t>
            </w:r>
          </w:p>
        </w:tc>
        <w:tc>
          <w:tcPr>
            <w:tcW w:w="1275" w:type="dxa"/>
            <w:shd w:val="clear" w:color="auto" w:fill="auto"/>
            <w:vAlign w:val="center"/>
            <w:hideMark/>
          </w:tcPr>
          <w:p w14:paraId="7EA1427F" w14:textId="0A9FA0CE"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assess whether lesion sterilization and tissue repair</w:t>
            </w:r>
            <w:r w:rsidR="00726290"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 xml:space="preserve">technique resulted in similar clinical and radiographic success outcomes as compared with </w:t>
            </w:r>
            <w:r w:rsidRPr="005C470C">
              <w:rPr>
                <w:rFonts w:ascii="Times New Roman" w:eastAsia="Times New Roman" w:hAnsi="Times New Roman" w:cs="Times New Roman"/>
                <w:sz w:val="20"/>
                <w:szCs w:val="20"/>
                <w:lang w:val="en-US" w:eastAsia="pt-BR"/>
              </w:rPr>
              <w:lastRenderedPageBreak/>
              <w:t>pulpectomy in primary teeth</w:t>
            </w:r>
          </w:p>
        </w:tc>
        <w:tc>
          <w:tcPr>
            <w:tcW w:w="1134" w:type="dxa"/>
            <w:shd w:val="clear" w:color="auto" w:fill="auto"/>
            <w:vAlign w:val="center"/>
            <w:hideMark/>
          </w:tcPr>
          <w:p w14:paraId="0B80FD9F" w14:textId="0961387F"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Primary teeth</w:t>
            </w:r>
          </w:p>
        </w:tc>
        <w:tc>
          <w:tcPr>
            <w:tcW w:w="1276" w:type="dxa"/>
            <w:shd w:val="clear" w:color="auto" w:fill="auto"/>
            <w:vAlign w:val="center"/>
            <w:hideMark/>
          </w:tcPr>
          <w:p w14:paraId="6E8E7D6C" w14:textId="194396D1"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Noninstrumental endodontic treatment</w:t>
            </w:r>
          </w:p>
        </w:tc>
        <w:tc>
          <w:tcPr>
            <w:tcW w:w="1418" w:type="dxa"/>
            <w:shd w:val="clear" w:color="auto" w:fill="auto"/>
            <w:vAlign w:val="center"/>
            <w:hideMark/>
          </w:tcPr>
          <w:p w14:paraId="6B6E8F11" w14:textId="2792E482"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Conventional pulpectomy</w:t>
            </w:r>
          </w:p>
        </w:tc>
        <w:tc>
          <w:tcPr>
            <w:tcW w:w="1275" w:type="dxa"/>
            <w:shd w:val="clear" w:color="auto" w:fill="auto"/>
            <w:vAlign w:val="center"/>
            <w:hideMark/>
          </w:tcPr>
          <w:p w14:paraId="0B7382AE" w14:textId="5F103125"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Clinical</w:t>
            </w:r>
            <w:r w:rsidR="006226A8" w:rsidRPr="005C470C">
              <w:rPr>
                <w:rFonts w:ascii="Times New Roman" w:eastAsia="Times New Roman" w:hAnsi="Times New Roman" w:cs="Times New Roman"/>
                <w:color w:val="000000"/>
                <w:sz w:val="20"/>
                <w:szCs w:val="20"/>
                <w:lang w:eastAsia="pt-BR"/>
              </w:rPr>
              <w:t xml:space="preserve"> and radiographic success</w:t>
            </w:r>
          </w:p>
        </w:tc>
        <w:tc>
          <w:tcPr>
            <w:tcW w:w="1134" w:type="dxa"/>
            <w:shd w:val="clear" w:color="auto" w:fill="auto"/>
            <w:vAlign w:val="center"/>
            <w:hideMark/>
          </w:tcPr>
          <w:p w14:paraId="6968F84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(n=6)</w:t>
            </w:r>
          </w:p>
        </w:tc>
        <w:tc>
          <w:tcPr>
            <w:tcW w:w="567" w:type="dxa"/>
            <w:shd w:val="clear" w:color="auto" w:fill="auto"/>
            <w:vAlign w:val="center"/>
            <w:hideMark/>
          </w:tcPr>
          <w:p w14:paraId="7B0A401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5349B34E" w14:textId="5C211E2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Considering the </w:t>
            </w:r>
            <w:r w:rsidR="00726290" w:rsidRPr="005C470C">
              <w:rPr>
                <w:rFonts w:ascii="Times New Roman" w:eastAsia="Times New Roman" w:hAnsi="Times New Roman" w:cs="Times New Roman"/>
                <w:color w:val="000000"/>
                <w:sz w:val="20"/>
                <w:szCs w:val="20"/>
                <w:lang w:val="en-US" w:eastAsia="pt-BR"/>
              </w:rPr>
              <w:t xml:space="preserve">included </w:t>
            </w:r>
            <w:r w:rsidRPr="005C470C">
              <w:rPr>
                <w:rFonts w:ascii="Times New Roman" w:eastAsia="Times New Roman" w:hAnsi="Times New Roman" w:cs="Times New Roman"/>
                <w:color w:val="000000"/>
                <w:sz w:val="20"/>
                <w:szCs w:val="20"/>
                <w:lang w:val="en-US" w:eastAsia="pt-BR"/>
              </w:rPr>
              <w:t xml:space="preserve">studies, </w:t>
            </w:r>
            <w:r w:rsidR="00726290" w:rsidRPr="005C470C">
              <w:rPr>
                <w:rFonts w:ascii="Times New Roman" w:eastAsia="Times New Roman" w:hAnsi="Times New Roman" w:cs="Times New Roman"/>
                <w:color w:val="000000"/>
                <w:sz w:val="20"/>
                <w:szCs w:val="20"/>
                <w:lang w:val="en-US" w:eastAsia="pt-BR"/>
              </w:rPr>
              <w:t>3</w:t>
            </w:r>
            <w:r w:rsidRPr="005C470C">
              <w:rPr>
                <w:rFonts w:ascii="Times New Roman" w:eastAsia="Times New Roman" w:hAnsi="Times New Roman" w:cs="Times New Roman"/>
                <w:color w:val="000000"/>
                <w:sz w:val="20"/>
                <w:szCs w:val="20"/>
                <w:lang w:val="en-US" w:eastAsia="pt-BR"/>
              </w:rPr>
              <w:t xml:space="preserve"> demonstrated that conventional endodontic treatment for primary teeth was statistically more favorable based on the radiographic criteria. However, through the </w:t>
            </w:r>
            <w:r w:rsidR="00726290" w:rsidRPr="005C470C">
              <w:rPr>
                <w:rFonts w:ascii="Times New Roman" w:eastAsia="Times New Roman" w:hAnsi="Times New Roman" w:cs="Times New Roman"/>
                <w:color w:val="000000"/>
                <w:sz w:val="20"/>
                <w:szCs w:val="20"/>
                <w:lang w:val="en-US" w:eastAsia="pt-BR"/>
              </w:rPr>
              <w:t>MA</w:t>
            </w:r>
            <w:r w:rsidRPr="005C470C">
              <w:rPr>
                <w:rFonts w:ascii="Times New Roman" w:eastAsia="Times New Roman" w:hAnsi="Times New Roman" w:cs="Times New Roman"/>
                <w:color w:val="000000"/>
                <w:sz w:val="20"/>
                <w:szCs w:val="20"/>
                <w:lang w:val="en-US" w:eastAsia="pt-BR"/>
              </w:rPr>
              <w:t xml:space="preserve">, it was not possible to disclose any difference between </w:t>
            </w:r>
            <w:r w:rsidRPr="005C470C">
              <w:rPr>
                <w:rFonts w:ascii="Times New Roman" w:eastAsia="Times New Roman" w:hAnsi="Times New Roman" w:cs="Times New Roman"/>
                <w:color w:val="000000"/>
                <w:sz w:val="20"/>
                <w:szCs w:val="20"/>
                <w:lang w:val="en-US" w:eastAsia="pt-BR"/>
              </w:rPr>
              <w:lastRenderedPageBreak/>
              <w:t>the treatments, regardless of follow-up (6, 12, or 18</w:t>
            </w:r>
            <w:r w:rsidR="00434FEC" w:rsidRPr="005C470C">
              <w:rPr>
                <w:rFonts w:ascii="Times New Roman" w:eastAsia="Times New Roman" w:hAnsi="Times New Roman" w:cs="Times New Roman"/>
                <w:color w:val="000000"/>
                <w:sz w:val="20"/>
                <w:szCs w:val="20"/>
                <w:lang w:val="en-US" w:eastAsia="pt-BR"/>
              </w:rPr>
              <w:t>mo</w:t>
            </w:r>
            <w:r w:rsidRPr="005C470C">
              <w:rPr>
                <w:rFonts w:ascii="Times New Roman" w:eastAsia="Times New Roman" w:hAnsi="Times New Roman" w:cs="Times New Roman"/>
                <w:color w:val="000000"/>
                <w:sz w:val="20"/>
                <w:szCs w:val="20"/>
                <w:lang w:val="en-US" w:eastAsia="pt-BR"/>
              </w:rPr>
              <w:t>) and type of evaluation (clinical or radiographical). GRADE indicated the quality of evidence was from moderate to very low</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D70A867"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40532167" w14:textId="77777777" w:rsidTr="00114AF5">
        <w:trPr>
          <w:trHeight w:val="20"/>
        </w:trPr>
        <w:tc>
          <w:tcPr>
            <w:tcW w:w="1135" w:type="dxa"/>
            <w:shd w:val="clear" w:color="auto" w:fill="auto"/>
            <w:vAlign w:val="center"/>
            <w:hideMark/>
          </w:tcPr>
          <w:p w14:paraId="2F1DCA4E" w14:textId="77777777" w:rsidR="006226A8" w:rsidRPr="00C53143" w:rsidRDefault="006226A8"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Elkerbout et al, 2020</w:t>
            </w:r>
            <w:r w:rsidR="0008652B" w:rsidRPr="005C470C">
              <w:rPr>
                <w:rFonts w:ascii="Times New Roman" w:eastAsia="Times New Roman" w:hAnsi="Times New Roman" w:cs="Times New Roman"/>
                <w:sz w:val="20"/>
                <w:szCs w:val="20"/>
                <w:lang w:eastAsia="pt-BR"/>
              </w:rPr>
              <w:fldChar w:fldCharType="begin"/>
            </w:r>
            <w:r w:rsidR="0008652B" w:rsidRPr="00C53143">
              <w:rPr>
                <w:rFonts w:ascii="Times New Roman" w:eastAsia="Times New Roman" w:hAnsi="Times New Roman" w:cs="Times New Roman"/>
                <w:sz w:val="20"/>
                <w:szCs w:val="20"/>
                <w:lang w:val="en-US" w:eastAsia="pt-BR"/>
              </w:rPr>
              <w:instrText xml:space="preserve"> ADDIN EN.CITE &lt;EndNote&gt;&lt;Cite&gt;&lt;Author&gt;Elkerbout&lt;/Author&gt;&lt;Year&gt;2020&lt;/Year&gt;&lt;RecNum&gt;20885&lt;/RecNum&gt;&lt;DisplayText&gt;&lt;style face="superscript"&gt;34&lt;/style&gt;&lt;/DisplayText&gt;&lt;record&gt;&lt;rec-number&gt;20885&lt;/rec-number&gt;&lt;foreign-keys&gt;&lt;key app="EN" db-id="f5fv5a2shx52dqesxzmpffeqzt5ffxae2vev" timestamp="1607902544"&gt;20885&lt;/key&gt;&lt;/foreign-keys&gt;&lt;ref-type name="Journal Article"&gt;17&lt;/ref-type&gt;&lt;contributors&gt;&lt;authors&gt;&lt;author&gt;Elkerbout, Therese A&lt;/author&gt;&lt;author&gt;Slot, Dagmar E&lt;/author&gt;&lt;author&gt;Rosema, NA Martijn&lt;/author&gt;&lt;author&gt;Van der Weijden, GA&lt;/author&gt;&lt;/authors&gt;&lt;/contributors&gt;&lt;titles&gt;&lt;title&gt;How effective is a powered toothbrush as compared to a manual toothbrush? A systematic review and meta‐analysis of single brushing exercises&lt;/title&gt;&lt;secondary-title&gt;International journal of dental hygiene&lt;/secondary-title&gt;&lt;/titles&gt;&lt;periodical&gt;&lt;full-title&gt;International journal of dental hygiene&lt;/full-title&gt;&lt;/periodical&gt;&lt;pages&gt;17-26&lt;/pages&gt;&lt;volume&gt;18&lt;/volume&gt;&lt;number&gt;1&lt;/number&gt;&lt;dates&gt;&lt;year&gt;2020&lt;/year&gt;&lt;/dates&gt;&lt;isbn&gt;1601-5029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C53143">
              <w:rPr>
                <w:rFonts w:ascii="Times New Roman" w:eastAsia="Times New Roman" w:hAnsi="Times New Roman" w:cs="Times New Roman"/>
                <w:noProof/>
                <w:sz w:val="20"/>
                <w:szCs w:val="20"/>
                <w:vertAlign w:val="superscript"/>
                <w:lang w:val="en-US" w:eastAsia="pt-BR"/>
              </w:rPr>
              <w:t>34</w:t>
            </w:r>
            <w:r w:rsidR="0008652B" w:rsidRPr="005C470C">
              <w:rPr>
                <w:rFonts w:ascii="Times New Roman" w:eastAsia="Times New Roman" w:hAnsi="Times New Roman" w:cs="Times New Roman"/>
                <w:sz w:val="20"/>
                <w:szCs w:val="20"/>
                <w:lang w:eastAsia="pt-BR"/>
              </w:rPr>
              <w:fldChar w:fldCharType="end"/>
            </w:r>
          </w:p>
          <w:p w14:paraId="793BFC4F" w14:textId="30D4581D" w:rsidR="00C53143" w:rsidRPr="00C53143" w:rsidRDefault="00C53143"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(The Netherlands)</w:t>
            </w:r>
          </w:p>
        </w:tc>
        <w:tc>
          <w:tcPr>
            <w:tcW w:w="992" w:type="dxa"/>
            <w:shd w:val="clear" w:color="auto" w:fill="auto"/>
            <w:vAlign w:val="center"/>
            <w:hideMark/>
          </w:tcPr>
          <w:p w14:paraId="29757CC9"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International journal of dental hygiene</w:t>
            </w:r>
          </w:p>
          <w:p w14:paraId="0D4B586A" w14:textId="4D618305" w:rsidR="00C53143"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(1.229)</w:t>
            </w:r>
          </w:p>
        </w:tc>
        <w:tc>
          <w:tcPr>
            <w:tcW w:w="1418" w:type="dxa"/>
            <w:shd w:val="clear" w:color="auto" w:fill="auto"/>
            <w:vAlign w:val="center"/>
            <w:hideMark/>
          </w:tcPr>
          <w:p w14:paraId="1E8B9BC6"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6CE3B66C"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In adult participants, what is, following a single brushing exercise, the efficacy of a powered toothbrush (PTB) as compared to a manual toothbrush (MTB) on plaque removal?</w:t>
            </w:r>
          </w:p>
        </w:tc>
        <w:tc>
          <w:tcPr>
            <w:tcW w:w="1134" w:type="dxa"/>
            <w:shd w:val="clear" w:color="auto" w:fill="auto"/>
            <w:vAlign w:val="center"/>
            <w:hideMark/>
          </w:tcPr>
          <w:p w14:paraId="76DA2F9D" w14:textId="55372857"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Adult participants</w:t>
            </w:r>
          </w:p>
        </w:tc>
        <w:tc>
          <w:tcPr>
            <w:tcW w:w="1276" w:type="dxa"/>
            <w:shd w:val="clear" w:color="auto" w:fill="auto"/>
            <w:vAlign w:val="center"/>
            <w:hideMark/>
          </w:tcPr>
          <w:p w14:paraId="2B6186E8" w14:textId="46E7E53D"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Single brushing exercise</w:t>
            </w:r>
          </w:p>
        </w:tc>
        <w:tc>
          <w:tcPr>
            <w:tcW w:w="1418" w:type="dxa"/>
            <w:shd w:val="clear" w:color="auto" w:fill="auto"/>
            <w:vAlign w:val="center"/>
            <w:hideMark/>
          </w:tcPr>
          <w:p w14:paraId="57814946"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MTB on plaque removal</w:t>
            </w:r>
          </w:p>
        </w:tc>
        <w:tc>
          <w:tcPr>
            <w:tcW w:w="1275" w:type="dxa"/>
            <w:shd w:val="clear" w:color="auto" w:fill="auto"/>
            <w:vAlign w:val="center"/>
            <w:hideMark/>
          </w:tcPr>
          <w:p w14:paraId="15E4D7DA" w14:textId="6F2CF854"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Efficacy </w:t>
            </w:r>
            <w:r w:rsidR="006226A8" w:rsidRPr="005C470C">
              <w:rPr>
                <w:rFonts w:ascii="Times New Roman" w:eastAsia="Times New Roman" w:hAnsi="Times New Roman" w:cs="Times New Roman"/>
                <w:color w:val="000000"/>
                <w:sz w:val="20"/>
                <w:szCs w:val="20"/>
                <w:lang w:eastAsia="pt-BR"/>
              </w:rPr>
              <w:t>of a PTB</w:t>
            </w:r>
          </w:p>
        </w:tc>
        <w:tc>
          <w:tcPr>
            <w:tcW w:w="1134" w:type="dxa"/>
            <w:shd w:val="clear" w:color="auto" w:fill="auto"/>
            <w:vAlign w:val="center"/>
            <w:hideMark/>
          </w:tcPr>
          <w:p w14:paraId="07397C5F"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(n=16) or controlled clinical trials (CCT) (n=1)</w:t>
            </w:r>
          </w:p>
        </w:tc>
        <w:tc>
          <w:tcPr>
            <w:tcW w:w="567" w:type="dxa"/>
            <w:shd w:val="clear" w:color="auto" w:fill="auto"/>
            <w:vAlign w:val="center"/>
            <w:hideMark/>
          </w:tcPr>
          <w:p w14:paraId="43650880"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603F4FD" w14:textId="0FB60CB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is moderate certainty that the PTB was more effective than the MTB with respect to plaque removal following a single brushing exercise independent of the plaque index score that was used</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0DA4343" w14:textId="7D8FC64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 - with moderate certainty the PTB can be recommended over a MTB independent of the mode of action</w:t>
            </w:r>
            <w:r w:rsidR="00B0457E">
              <w:rPr>
                <w:rFonts w:ascii="Times New Roman" w:eastAsia="Times New Roman" w:hAnsi="Times New Roman" w:cs="Times New Roman"/>
                <w:color w:val="000000"/>
                <w:sz w:val="20"/>
                <w:szCs w:val="20"/>
                <w:lang w:val="en-US" w:eastAsia="pt-BR"/>
              </w:rPr>
              <w:t>.</w:t>
            </w:r>
          </w:p>
        </w:tc>
      </w:tr>
      <w:tr w:rsidR="002914BB" w:rsidRPr="00114AF5" w14:paraId="0444EC62" w14:textId="77777777" w:rsidTr="00114AF5">
        <w:trPr>
          <w:trHeight w:val="20"/>
        </w:trPr>
        <w:tc>
          <w:tcPr>
            <w:tcW w:w="1135" w:type="dxa"/>
            <w:shd w:val="clear" w:color="auto" w:fill="auto"/>
            <w:vAlign w:val="center"/>
            <w:hideMark/>
          </w:tcPr>
          <w:p w14:paraId="6E7F2EEF"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Fernandes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&lt;EndNote&gt;&lt;Cite&gt;&lt;Author&gt;Fernandes&lt;/Author&gt;&lt;Year&gt;2020&lt;/Year&gt;&lt;RecNum&gt;20884&lt;/RecNum&gt;&lt;DisplayText&gt;&lt;style face="superscript"&gt;35&lt;/style&gt;&lt;/DisplayText&gt;&lt;record&gt;&lt;rec-number&gt;20884&lt;/rec-number&gt;&lt;foreign-keys&gt;&lt;key app="EN" db-id="f5fv5a2shx52dqesxzmpffeqzt5ffxae2vev" timestamp="1607902544"&gt;20884&lt;/key&gt;&lt;/foreign-keys&gt;&lt;ref-type name="Journal Article"&gt;17&lt;/ref-type&gt;&lt;contributors&gt;&lt;authors&gt;&lt;author&gt;Fernandes, IA&lt;/author&gt;&lt;author&gt;Lopes, ABS&lt;/author&gt;&lt;author&gt;Fonseca, PG&lt;/author&gt;&lt;author&gt;da Silva Torres, A&lt;/author&gt;&lt;author&gt;Rodrigues, AB&lt;/author&gt;&lt;author&gt;Galvão, EL&lt;/author&gt;&lt;author&gt;Falci, SGM&lt;/author&gt;&lt;/authors&gt;&lt;/contributors&gt;&lt;titles&gt;&lt;title&gt;Comparison between Erich arch bars and intermaxillary screws in maxillofacial fractures involving the dental occlusion: a meta-analysis&lt;/title&gt;&lt;secondary-title&gt;International Journal of Oral and Maxillofacial Surgery&lt;/secondary-title&gt;&lt;/titles&gt;&lt;periodical&gt;&lt;full-title&gt;Int J Oral Maxillofac Surg&lt;/full-title&gt;&lt;abbr-1&gt;International journal of oral and maxillofacial surgery&lt;/abbr-1&gt;&lt;/periodical&gt;&lt;dates&gt;&lt;year&gt;2020&lt;/year&gt;&lt;/dates&gt;&lt;isbn&gt;0901-5027&lt;/isbn&gt;&lt;urls&gt;&lt;/urls&gt;&lt;/record&gt;&lt;/Cite&gt;&lt;/EndNote&gt;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35</w:t>
            </w:r>
            <w:r w:rsidR="0008652B" w:rsidRPr="005C470C">
              <w:rPr>
                <w:rFonts w:ascii="Times New Roman" w:eastAsia="Times New Roman" w:hAnsi="Times New Roman" w:cs="Times New Roman"/>
                <w:sz w:val="20"/>
                <w:szCs w:val="20"/>
                <w:lang w:eastAsia="pt-BR"/>
              </w:rPr>
              <w:fldChar w:fldCharType="end"/>
            </w:r>
          </w:p>
          <w:p w14:paraId="01BC4F7F" w14:textId="1BCBAD43"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5821A4BB"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International journal of oral and maxillofacial surgery</w:t>
            </w:r>
          </w:p>
          <w:p w14:paraId="3042695E" w14:textId="5C6F92F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lastRenderedPageBreak/>
              <w:t>(2.068)</w:t>
            </w:r>
          </w:p>
        </w:tc>
        <w:tc>
          <w:tcPr>
            <w:tcW w:w="1418" w:type="dxa"/>
            <w:shd w:val="clear" w:color="auto" w:fill="auto"/>
            <w:vAlign w:val="center"/>
            <w:hideMark/>
          </w:tcPr>
          <w:p w14:paraId="7ED117C2"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Oral and Maxillofacial Surgery</w:t>
            </w:r>
          </w:p>
        </w:tc>
        <w:tc>
          <w:tcPr>
            <w:tcW w:w="1275" w:type="dxa"/>
            <w:shd w:val="clear" w:color="auto" w:fill="auto"/>
            <w:vAlign w:val="center"/>
            <w:hideMark/>
          </w:tcPr>
          <w:p w14:paraId="368971CD" w14:textId="247AA6E4"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evaluate the</w:t>
            </w:r>
            <w:r w:rsidR="00726290" w:rsidRPr="005C470C">
              <w:rPr>
                <w:rFonts w:ascii="Times New Roman" w:eastAsia="Times New Roman" w:hAnsi="Times New Roman" w:cs="Times New Roman"/>
                <w:sz w:val="20"/>
                <w:szCs w:val="20"/>
                <w:lang w:val="en-US" w:eastAsia="pt-BR"/>
              </w:rPr>
              <w:t xml:space="preserve"> intermaxillary fixation (</w:t>
            </w:r>
            <w:r w:rsidR="006226A8" w:rsidRPr="005C470C">
              <w:rPr>
                <w:rFonts w:ascii="Times New Roman" w:eastAsia="Times New Roman" w:hAnsi="Times New Roman" w:cs="Times New Roman"/>
                <w:sz w:val="20"/>
                <w:szCs w:val="20"/>
                <w:lang w:val="en-US" w:eastAsia="pt-BR"/>
              </w:rPr>
              <w:t>IMF</w:t>
            </w:r>
            <w:r w:rsidR="00726290" w:rsidRPr="005C470C">
              <w:rPr>
                <w:rFonts w:ascii="Times New Roman" w:eastAsia="Times New Roman" w:hAnsi="Times New Roman" w:cs="Times New Roman"/>
                <w:sz w:val="20"/>
                <w:szCs w:val="20"/>
                <w:lang w:val="en-US" w:eastAsia="pt-BR"/>
              </w:rPr>
              <w:t>)</w:t>
            </w:r>
            <w:r w:rsidR="006226A8" w:rsidRPr="005C470C">
              <w:rPr>
                <w:rFonts w:ascii="Times New Roman" w:eastAsia="Times New Roman" w:hAnsi="Times New Roman" w:cs="Times New Roman"/>
                <w:sz w:val="20"/>
                <w:szCs w:val="20"/>
                <w:lang w:val="en-US" w:eastAsia="pt-BR"/>
              </w:rPr>
              <w:t xml:space="preserve"> quality achieved by the Erich arch </w:t>
            </w:r>
            <w:r w:rsidR="006226A8" w:rsidRPr="005C470C">
              <w:rPr>
                <w:rFonts w:ascii="Times New Roman" w:eastAsia="Times New Roman" w:hAnsi="Times New Roman" w:cs="Times New Roman"/>
                <w:sz w:val="20"/>
                <w:szCs w:val="20"/>
                <w:lang w:val="en-US" w:eastAsia="pt-BR"/>
              </w:rPr>
              <w:lastRenderedPageBreak/>
              <w:t>bars when compared with the IMF screws, considering parameters such as occlusal stability, operating time, safety during technique execution, quality of life, and maintenance of oral hygiene</w:t>
            </w:r>
          </w:p>
        </w:tc>
        <w:tc>
          <w:tcPr>
            <w:tcW w:w="1134" w:type="dxa"/>
            <w:shd w:val="clear" w:color="auto" w:fill="auto"/>
            <w:vAlign w:val="center"/>
            <w:hideMark/>
          </w:tcPr>
          <w:p w14:paraId="51DF96EB" w14:textId="04106626"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Patients </w:t>
            </w:r>
            <w:r w:rsidR="006226A8" w:rsidRPr="005C470C">
              <w:rPr>
                <w:rFonts w:ascii="Times New Roman" w:eastAsia="Times New Roman" w:hAnsi="Times New Roman" w:cs="Times New Roman"/>
                <w:color w:val="000000"/>
                <w:sz w:val="20"/>
                <w:szCs w:val="20"/>
                <w:lang w:val="en-US" w:eastAsia="pt-BR"/>
              </w:rPr>
              <w:t>with maxillofacial fractures involving the dental occlusion</w:t>
            </w:r>
          </w:p>
        </w:tc>
        <w:tc>
          <w:tcPr>
            <w:tcW w:w="1276" w:type="dxa"/>
            <w:shd w:val="clear" w:color="auto" w:fill="auto"/>
            <w:vAlign w:val="center"/>
            <w:hideMark/>
          </w:tcPr>
          <w:p w14:paraId="09ADA039"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IMF screws</w:t>
            </w:r>
          </w:p>
        </w:tc>
        <w:tc>
          <w:tcPr>
            <w:tcW w:w="1418" w:type="dxa"/>
            <w:shd w:val="clear" w:color="auto" w:fill="auto"/>
            <w:vAlign w:val="center"/>
            <w:hideMark/>
          </w:tcPr>
          <w:p w14:paraId="64E85EEE"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Erich arch bar</w:t>
            </w:r>
          </w:p>
        </w:tc>
        <w:tc>
          <w:tcPr>
            <w:tcW w:w="1275" w:type="dxa"/>
            <w:shd w:val="clear" w:color="auto" w:fill="auto"/>
            <w:vAlign w:val="center"/>
            <w:hideMark/>
          </w:tcPr>
          <w:p w14:paraId="418EC174" w14:textId="2F841369"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Occlusal </w:t>
            </w:r>
            <w:r w:rsidR="006226A8" w:rsidRPr="005C470C">
              <w:rPr>
                <w:rFonts w:ascii="Times New Roman" w:eastAsia="Times New Roman" w:hAnsi="Times New Roman" w:cs="Times New Roman"/>
                <w:color w:val="000000"/>
                <w:sz w:val="20"/>
                <w:szCs w:val="20"/>
                <w:lang w:val="en-US" w:eastAsia="pt-BR"/>
              </w:rPr>
              <w:t xml:space="preserve">stability, operating time, safety during </w:t>
            </w:r>
            <w:r w:rsidR="008B54AD" w:rsidRPr="005C470C">
              <w:rPr>
                <w:rFonts w:ascii="Times New Roman" w:eastAsia="Times New Roman" w:hAnsi="Times New Roman" w:cs="Times New Roman"/>
                <w:color w:val="000000"/>
                <w:sz w:val="20"/>
                <w:szCs w:val="20"/>
                <w:lang w:val="en-US" w:eastAsia="pt-BR"/>
              </w:rPr>
              <w:t>technique</w:t>
            </w:r>
            <w:r w:rsidR="006226A8" w:rsidRPr="005C470C">
              <w:rPr>
                <w:rFonts w:ascii="Times New Roman" w:eastAsia="Times New Roman" w:hAnsi="Times New Roman" w:cs="Times New Roman"/>
                <w:color w:val="000000"/>
                <w:sz w:val="20"/>
                <w:szCs w:val="20"/>
                <w:lang w:val="en-US" w:eastAsia="pt-BR"/>
              </w:rPr>
              <w:t xml:space="preserve"> execution, </w:t>
            </w:r>
            <w:r w:rsidR="006226A8" w:rsidRPr="005C470C">
              <w:rPr>
                <w:rFonts w:ascii="Times New Roman" w:eastAsia="Times New Roman" w:hAnsi="Times New Roman" w:cs="Times New Roman"/>
                <w:color w:val="000000"/>
                <w:sz w:val="20"/>
                <w:szCs w:val="20"/>
                <w:lang w:val="en-US" w:eastAsia="pt-BR"/>
              </w:rPr>
              <w:lastRenderedPageBreak/>
              <w:t xml:space="preserve">quality of life, and </w:t>
            </w:r>
            <w:r w:rsidR="008B54AD" w:rsidRPr="005C470C">
              <w:rPr>
                <w:rFonts w:ascii="Times New Roman" w:eastAsia="Times New Roman" w:hAnsi="Times New Roman" w:cs="Times New Roman"/>
                <w:color w:val="000000"/>
                <w:sz w:val="20"/>
                <w:szCs w:val="20"/>
                <w:lang w:val="en-US" w:eastAsia="pt-BR"/>
              </w:rPr>
              <w:t>maintenance</w:t>
            </w:r>
            <w:r w:rsidR="006226A8" w:rsidRPr="005C470C">
              <w:rPr>
                <w:rFonts w:ascii="Times New Roman" w:eastAsia="Times New Roman" w:hAnsi="Times New Roman" w:cs="Times New Roman"/>
                <w:color w:val="000000"/>
                <w:sz w:val="20"/>
                <w:szCs w:val="20"/>
                <w:lang w:val="en-US" w:eastAsia="pt-BR"/>
              </w:rPr>
              <w:t xml:space="preserve"> of oral hygiene</w:t>
            </w:r>
          </w:p>
        </w:tc>
        <w:tc>
          <w:tcPr>
            <w:tcW w:w="1134" w:type="dxa"/>
            <w:shd w:val="clear" w:color="auto" w:fill="auto"/>
            <w:vAlign w:val="center"/>
            <w:hideMark/>
          </w:tcPr>
          <w:p w14:paraId="1CA055A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(n=15)</w:t>
            </w:r>
          </w:p>
        </w:tc>
        <w:tc>
          <w:tcPr>
            <w:tcW w:w="567" w:type="dxa"/>
            <w:shd w:val="clear" w:color="auto" w:fill="auto"/>
            <w:vAlign w:val="center"/>
            <w:hideMark/>
          </w:tcPr>
          <w:p w14:paraId="4E03EC8C"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79685C3" w14:textId="5611FB61" w:rsidR="006226A8" w:rsidRPr="005C470C" w:rsidRDefault="00726290"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w:t>
            </w:r>
            <w:r w:rsidR="006226A8" w:rsidRPr="005C470C">
              <w:rPr>
                <w:rFonts w:ascii="Times New Roman" w:eastAsia="Times New Roman" w:hAnsi="Times New Roman" w:cs="Times New Roman"/>
                <w:color w:val="000000"/>
                <w:sz w:val="20"/>
                <w:szCs w:val="20"/>
                <w:lang w:val="en-US" w:eastAsia="pt-BR"/>
              </w:rPr>
              <w:t xml:space="preserve"> longer time is spent applying and removing Erich arch bars compared with IMF screws. There is a greater risk of </w:t>
            </w:r>
            <w:r w:rsidR="006226A8" w:rsidRPr="005C470C">
              <w:rPr>
                <w:rFonts w:ascii="Times New Roman" w:eastAsia="Times New Roman" w:hAnsi="Times New Roman" w:cs="Times New Roman"/>
                <w:color w:val="000000"/>
                <w:sz w:val="20"/>
                <w:szCs w:val="20"/>
                <w:lang w:val="en-US" w:eastAsia="pt-BR"/>
              </w:rPr>
              <w:lastRenderedPageBreak/>
              <w:t>puncture accidents when handling Erich bars. Conversely, Erich bars are at lower risk of iatrogenic injury to the teeth compared with IMF screws. There is insufficient scientific evidence to suggest a difference between Erich arch bars and IMF screws when evaluating IMF stability, trans and postoperative occlusion quality, and patients’ quality of life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4964795" w14:textId="0AE5959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726290" w:rsidRPr="005C470C">
              <w:rPr>
                <w:rFonts w:ascii="Times New Roman" w:eastAsia="Times New Roman" w:hAnsi="Times New Roman" w:cs="Times New Roman"/>
                <w:color w:val="000000"/>
                <w:sz w:val="20"/>
                <w:szCs w:val="20"/>
                <w:lang w:val="en-US" w:eastAsia="pt-BR"/>
              </w:rPr>
              <w:t xml:space="preserve"> - The present results should be interpreted with caution because of the questionable quality of the </w:t>
            </w:r>
            <w:r w:rsidR="00726290" w:rsidRPr="005C470C">
              <w:rPr>
                <w:rFonts w:ascii="Times New Roman" w:eastAsia="Times New Roman" w:hAnsi="Times New Roman" w:cs="Times New Roman"/>
                <w:color w:val="000000"/>
                <w:sz w:val="20"/>
                <w:szCs w:val="20"/>
                <w:lang w:val="en-US" w:eastAsia="pt-BR"/>
              </w:rPr>
              <w:lastRenderedPageBreak/>
              <w:t>included studies and the evidence level presented by the studies through the GRADE tool evaluation</w:t>
            </w:r>
            <w:r w:rsidR="00B0457E">
              <w:rPr>
                <w:rFonts w:ascii="Times New Roman" w:eastAsia="Times New Roman" w:hAnsi="Times New Roman" w:cs="Times New Roman"/>
                <w:color w:val="000000"/>
                <w:sz w:val="20"/>
                <w:szCs w:val="20"/>
                <w:lang w:val="en-US" w:eastAsia="pt-BR"/>
              </w:rPr>
              <w:t>.</w:t>
            </w:r>
          </w:p>
        </w:tc>
      </w:tr>
      <w:tr w:rsidR="002914BB" w:rsidRPr="00114AF5" w14:paraId="3B8C4EC1" w14:textId="77777777" w:rsidTr="00114AF5">
        <w:trPr>
          <w:trHeight w:val="20"/>
        </w:trPr>
        <w:tc>
          <w:tcPr>
            <w:tcW w:w="1135" w:type="dxa"/>
            <w:shd w:val="clear" w:color="auto" w:fill="auto"/>
            <w:vAlign w:val="center"/>
            <w:hideMark/>
          </w:tcPr>
          <w:p w14:paraId="46E0781F"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Figueiredo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&lt;EndNote&gt;&lt;Cite&gt;&lt;Author&gt;Figueiredo&lt;/Author&gt;&lt;Year&gt;2019&lt;/Year&gt;&lt;RecNum&gt;20893&lt;/RecNum&gt;&lt;DisplayText&gt;&lt;style face="superscript"&gt;36&lt;/style&gt;&lt;/DisplayText&gt;&lt;record&gt;&lt;rec-number&gt;20893&lt;/rec-number&gt;&lt;foreign-keys&gt;&lt;key app="EN" db-id="f5fv5a2shx52dqesxzmpffeqzt5ffxae2vev" timestamp="1607902544"&gt;20893&lt;/key&gt;&lt;/foreign-keys&gt;&lt;ref-type name="Journal Article"&gt;17&lt;/ref-type&gt;&lt;contributors&gt;&lt;authors&gt;&lt;author&gt;Figueiredo, Daniel Santos Fonseca &lt;/author&gt;&lt;author&gt;Houara, Ricardo Gontijo&lt;/author&gt;&lt;author&gt;Pinto, Larissa Salgado da Mata Cid&lt;/author&gt;&lt;author&gt;Diniz, Amanda Rafaela&lt;/author&gt;&lt;author&gt;Araújo, Vânia Eloisa&lt;/author&gt;&lt;author&gt;Thabane, Lehana&lt;/author&gt;&lt;author&gt;Soares, Rodrigo Villamarim&lt;/author&gt;&lt;author&gt;Oliveira, Dauro Douglas &lt;/author&gt;&lt;/authors&gt;&lt;/contributors&gt;&lt;titles&gt;&lt;title&gt;Effects of piezocision in orthodontic tooth movement: A systematic review of comparative studies&lt;/title&gt;&lt;secondary-title&gt;Journal of clinical and experimental dentistry&lt;/secondary-title&gt;&lt;/titles&gt;&lt;periodical&gt;&lt;full-title&gt;Journal of Clinical and Experimental Dentistry&lt;/full-title&gt;&lt;/periodical&gt;&lt;pages&gt;e1078&lt;/pages&gt;&lt;volume&gt;11&lt;/volume&gt;&lt;number&gt;11&lt;/number&gt;&lt;dates&gt;&lt;year&gt;2019&lt;/year&gt;&lt;/dates&gt;&lt;urls&gt;&lt;/urls&gt;&lt;/record&gt;&lt;/Cite&gt;&lt;/EndNote&gt;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36</w:t>
            </w:r>
            <w:r w:rsidR="0008652B" w:rsidRPr="005C470C">
              <w:rPr>
                <w:rFonts w:ascii="Times New Roman" w:eastAsia="Times New Roman" w:hAnsi="Times New Roman" w:cs="Times New Roman"/>
                <w:sz w:val="20"/>
                <w:szCs w:val="20"/>
                <w:lang w:eastAsia="pt-BR"/>
              </w:rPr>
              <w:fldChar w:fldCharType="end"/>
            </w:r>
          </w:p>
          <w:p w14:paraId="632D297E" w14:textId="5E255FEB"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372E674"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Journal of clinical and experimental dentistry</w:t>
            </w:r>
          </w:p>
          <w:p w14:paraId="569DA1F6" w14:textId="51FFD168" w:rsidR="00C53143" w:rsidRPr="00C53143" w:rsidRDefault="00EF5009" w:rsidP="00C53143">
            <w:pPr>
              <w:jc w:val="cente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(NR)</w:t>
            </w:r>
          </w:p>
        </w:tc>
        <w:tc>
          <w:tcPr>
            <w:tcW w:w="1418" w:type="dxa"/>
            <w:shd w:val="clear" w:color="auto" w:fill="auto"/>
            <w:vAlign w:val="center"/>
            <w:hideMark/>
          </w:tcPr>
          <w:p w14:paraId="785B3660"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5E42032C" w14:textId="1015384D"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evaluate the effects of piezocision in accelerating orthodontic</w:t>
            </w:r>
            <w:r w:rsidR="006226A8" w:rsidRPr="005C470C">
              <w:rPr>
                <w:rFonts w:ascii="Times New Roman" w:eastAsia="Times New Roman" w:hAnsi="Times New Roman" w:cs="Times New Roman"/>
                <w:sz w:val="20"/>
                <w:szCs w:val="20"/>
                <w:lang w:val="en-US" w:eastAsia="pt-BR"/>
              </w:rPr>
              <w:br/>
              <w:t>tooth movement (OTM) and its possible adverse effects</w:t>
            </w:r>
          </w:p>
        </w:tc>
        <w:tc>
          <w:tcPr>
            <w:tcW w:w="1134" w:type="dxa"/>
            <w:shd w:val="clear" w:color="auto" w:fill="auto"/>
            <w:vAlign w:val="center"/>
            <w:hideMark/>
          </w:tcPr>
          <w:p w14:paraId="2580AA65" w14:textId="1DF2BA59"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Patients </w:t>
            </w:r>
            <w:r w:rsidR="006226A8" w:rsidRPr="005C470C">
              <w:rPr>
                <w:rFonts w:ascii="Times New Roman" w:eastAsia="Times New Roman" w:hAnsi="Times New Roman" w:cs="Times New Roman"/>
                <w:color w:val="000000"/>
                <w:sz w:val="20"/>
                <w:szCs w:val="20"/>
                <w:lang w:val="en-US" w:eastAsia="pt-BR"/>
              </w:rPr>
              <w:t>of both genders and at any age, presenting good health and indication of orthodontic treatment</w:t>
            </w:r>
          </w:p>
        </w:tc>
        <w:tc>
          <w:tcPr>
            <w:tcW w:w="1276" w:type="dxa"/>
            <w:shd w:val="clear" w:color="auto" w:fill="auto"/>
            <w:vAlign w:val="center"/>
            <w:hideMark/>
          </w:tcPr>
          <w:p w14:paraId="54159E63" w14:textId="52DF2C31" w:rsidR="006226A8" w:rsidRPr="005C470C" w:rsidRDefault="00C0146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Piezocision</w:t>
            </w:r>
          </w:p>
        </w:tc>
        <w:tc>
          <w:tcPr>
            <w:tcW w:w="1418" w:type="dxa"/>
            <w:shd w:val="clear" w:color="auto" w:fill="auto"/>
            <w:vAlign w:val="center"/>
            <w:hideMark/>
          </w:tcPr>
          <w:p w14:paraId="5C6A108F" w14:textId="19E9B914"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Only </w:t>
            </w:r>
            <w:r w:rsidR="006226A8" w:rsidRPr="005C470C">
              <w:rPr>
                <w:rFonts w:ascii="Times New Roman" w:eastAsia="Times New Roman" w:hAnsi="Times New Roman" w:cs="Times New Roman"/>
                <w:color w:val="000000"/>
                <w:sz w:val="20"/>
                <w:szCs w:val="20"/>
                <w:lang w:val="en-US" w:eastAsia="pt-BR"/>
              </w:rPr>
              <w:t>conventional orthodontic intervention associated or not with other type of technique to accelerate OTM;</w:t>
            </w:r>
          </w:p>
        </w:tc>
        <w:tc>
          <w:tcPr>
            <w:tcW w:w="1275" w:type="dxa"/>
            <w:shd w:val="clear" w:color="auto" w:fill="auto"/>
            <w:vAlign w:val="center"/>
            <w:hideMark/>
          </w:tcPr>
          <w:p w14:paraId="6C0A1A8F" w14:textId="0610069A"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Measurements </w:t>
            </w:r>
            <w:r w:rsidR="006226A8" w:rsidRPr="005C470C">
              <w:rPr>
                <w:rFonts w:ascii="Times New Roman" w:eastAsia="Times New Roman" w:hAnsi="Times New Roman" w:cs="Times New Roman"/>
                <w:color w:val="000000"/>
                <w:sz w:val="20"/>
                <w:szCs w:val="20"/>
                <w:lang w:val="en-US" w:eastAsia="pt-BR"/>
              </w:rPr>
              <w:t>of OTM acceleration</w:t>
            </w:r>
            <w:r w:rsidR="0072629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amount of anchorage loss, changes in periodontal parameters, development of root resorption, patient satisfaction or pain perception </w:t>
            </w:r>
            <w:r w:rsidR="006226A8" w:rsidRPr="005C470C">
              <w:rPr>
                <w:rFonts w:ascii="Times New Roman" w:eastAsia="Times New Roman" w:hAnsi="Times New Roman" w:cs="Times New Roman"/>
                <w:color w:val="000000"/>
                <w:sz w:val="20"/>
                <w:szCs w:val="20"/>
                <w:lang w:val="en-US" w:eastAsia="pt-BR"/>
              </w:rPr>
              <w:lastRenderedPageBreak/>
              <w:t>and other reported outcomes</w:t>
            </w:r>
          </w:p>
        </w:tc>
        <w:tc>
          <w:tcPr>
            <w:tcW w:w="1134" w:type="dxa"/>
            <w:shd w:val="clear" w:color="auto" w:fill="auto"/>
            <w:vAlign w:val="center"/>
            <w:hideMark/>
          </w:tcPr>
          <w:p w14:paraId="5AA9CD45"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RCTs (n=7) and controlled clinical trials (CCTs) (n=4)</w:t>
            </w:r>
          </w:p>
        </w:tc>
        <w:tc>
          <w:tcPr>
            <w:tcW w:w="567" w:type="dxa"/>
            <w:shd w:val="clear" w:color="auto" w:fill="auto"/>
            <w:vAlign w:val="center"/>
            <w:hideMark/>
          </w:tcPr>
          <w:p w14:paraId="3F34AA81"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627DF9EB" w14:textId="24A8F4D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Although the majority of the included studies reported a tendency of OTM acceleration using piezocision, the quality of evidence is low to confirm that performing piezocision significantly accelerate orthodontic tooth movement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5E98B29" w14:textId="00C6737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26290" w:rsidRPr="005C470C">
              <w:rPr>
                <w:rFonts w:ascii="Times New Roman" w:eastAsia="Times New Roman" w:hAnsi="Times New Roman" w:cs="Times New Roman"/>
                <w:color w:val="000000"/>
                <w:sz w:val="20"/>
                <w:szCs w:val="20"/>
                <w:lang w:val="en-US" w:eastAsia="pt-BR"/>
              </w:rPr>
              <w:t xml:space="preserve"> - There is a need for well-conducted research with less risk of bias to allow solid conclusions in regard to the use of piezocision associated to orthodontic treatment</w:t>
            </w:r>
            <w:r w:rsidR="00B0457E">
              <w:rPr>
                <w:rFonts w:ascii="Times New Roman" w:eastAsia="Times New Roman" w:hAnsi="Times New Roman" w:cs="Times New Roman"/>
                <w:color w:val="000000"/>
                <w:sz w:val="20"/>
                <w:szCs w:val="20"/>
                <w:lang w:val="en-US" w:eastAsia="pt-BR"/>
              </w:rPr>
              <w:t>.</w:t>
            </w:r>
          </w:p>
        </w:tc>
      </w:tr>
      <w:tr w:rsidR="002914BB" w:rsidRPr="005C470C" w14:paraId="334DA521" w14:textId="77777777" w:rsidTr="00114AF5">
        <w:trPr>
          <w:trHeight w:val="5094"/>
        </w:trPr>
        <w:tc>
          <w:tcPr>
            <w:tcW w:w="1135" w:type="dxa"/>
            <w:shd w:val="clear" w:color="auto" w:fill="auto"/>
            <w:vAlign w:val="center"/>
            <w:hideMark/>
          </w:tcPr>
          <w:p w14:paraId="28EE6AFE"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Franchini et al, 20</w:t>
            </w:r>
            <w:r w:rsidR="00925DE6" w:rsidRPr="005C470C">
              <w:rPr>
                <w:rFonts w:ascii="Times New Roman" w:eastAsia="Times New Roman" w:hAnsi="Times New Roman" w:cs="Times New Roman"/>
                <w:sz w:val="20"/>
                <w:szCs w:val="20"/>
                <w:lang w:eastAsia="pt-BR"/>
              </w:rPr>
              <w:t>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&lt;EndNote&gt;&lt;Cite&gt;&lt;Author&gt;Franchini&lt;/Author&gt;&lt;Year&gt;2019&lt;/Year&gt;&lt;RecNum&gt;20913&lt;/RecNum&gt;&lt;DisplayText&gt;&lt;style face="superscript"&gt;37&lt;/style&gt;&lt;/DisplayText&gt;&lt;record&gt;&lt;rec-number&gt;20913&lt;/rec-number&gt;&lt;foreign-keys&gt;&lt;key app="EN" db-id="f5fv5a2shx52dqesxzmpffeqzt5ffxae2vev" timestamp="1607902553"&gt;20913&lt;/key&gt;&lt;/foreign-keys&gt;&lt;ref-type name="Journal Article"&gt;17&lt;/ref-type&gt;&lt;contributors&gt;&lt;authors&gt;&lt;author&gt;Franchini, Massimo&lt;/author&gt;&lt;author&gt;Cruciani, Mario&lt;/author&gt;&lt;author&gt;Mengoli, Carlo&lt;/author&gt;&lt;author&gt;Masiello, Francesca&lt;/author&gt;&lt;author&gt;Marano, Giuseppe&lt;/author&gt;&lt;author&gt;D‘Aloja, Ernesto&lt;/author&gt;&lt;author&gt;Dell’Aringa, Cristina&lt;/author&gt;&lt;author&gt;Pati, Ilaria&lt;/author&gt;&lt;author&gt;Veropalumbo, Eva&lt;/author&gt;&lt;author&gt;Pupella, Simonetta&lt;/author&gt;&lt;/authors&gt;&lt;/contributors&gt;&lt;titles&gt;&lt;title&gt;The use of platelet-rich plasma in oral surgery: a systematic review and meta-analysis&lt;/title&gt;&lt;secondary-title&gt;Blood Transfusion&lt;/secondary-title&gt;&lt;/titles&gt;&lt;periodical&gt;&lt;full-title&gt;Blood Transfusion&lt;/full-title&gt;&lt;/periodical&gt;&lt;pages&gt;357&lt;/pages&gt;&lt;volume&gt;17&lt;/volume&gt;&lt;number&gt;5&lt;/number&gt;&lt;dates&gt;&lt;year&gt;2019&lt;/year&gt;&lt;/dates&gt;&lt;urls&gt;&lt;/urls&gt;&lt;/record&gt;&lt;/Cite&gt;&lt;/EndNote&gt;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37</w:t>
            </w:r>
            <w:r w:rsidR="0008652B" w:rsidRPr="005C470C">
              <w:rPr>
                <w:rFonts w:ascii="Times New Roman" w:eastAsia="Times New Roman" w:hAnsi="Times New Roman" w:cs="Times New Roman"/>
                <w:sz w:val="20"/>
                <w:szCs w:val="20"/>
                <w:lang w:eastAsia="pt-BR"/>
              </w:rPr>
              <w:fldChar w:fldCharType="end"/>
            </w:r>
          </w:p>
          <w:p w14:paraId="10B6180F" w14:textId="74818874"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Italy</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1FD6245C"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Blood Transfusion</w:t>
            </w:r>
          </w:p>
          <w:p w14:paraId="34C5B80A" w14:textId="36BF2A3F"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(3.662)</w:t>
            </w:r>
          </w:p>
        </w:tc>
        <w:tc>
          <w:tcPr>
            <w:tcW w:w="1418" w:type="dxa"/>
            <w:shd w:val="clear" w:color="auto" w:fill="auto"/>
            <w:vAlign w:val="center"/>
            <w:hideMark/>
          </w:tcPr>
          <w:p w14:paraId="20322124"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3E2E1CD3" w14:textId="5424F0C5"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Evaluate </w:t>
            </w:r>
            <w:r w:rsidR="006226A8" w:rsidRPr="005C470C">
              <w:rPr>
                <w:rFonts w:ascii="Times New Roman" w:eastAsia="Times New Roman" w:hAnsi="Times New Roman" w:cs="Times New Roman"/>
                <w:sz w:val="20"/>
                <w:szCs w:val="20"/>
                <w:lang w:val="en-US" w:eastAsia="pt-BR"/>
              </w:rPr>
              <w:t>the benefit of platelet rich plasma (PRP) in oral surgery</w:t>
            </w:r>
          </w:p>
        </w:tc>
        <w:tc>
          <w:tcPr>
            <w:tcW w:w="1134" w:type="dxa"/>
            <w:shd w:val="clear" w:color="auto" w:fill="auto"/>
            <w:vAlign w:val="center"/>
            <w:hideMark/>
          </w:tcPr>
          <w:p w14:paraId="0A148DB7"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Patients subjected to oral surgery </w:t>
            </w:r>
          </w:p>
        </w:tc>
        <w:tc>
          <w:tcPr>
            <w:tcW w:w="1276" w:type="dxa"/>
            <w:shd w:val="clear" w:color="auto" w:fill="auto"/>
            <w:vAlign w:val="center"/>
            <w:hideMark/>
          </w:tcPr>
          <w:p w14:paraId="518D6EC2"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PRP</w:t>
            </w:r>
          </w:p>
        </w:tc>
        <w:tc>
          <w:tcPr>
            <w:tcW w:w="1418" w:type="dxa"/>
            <w:shd w:val="clear" w:color="auto" w:fill="auto"/>
            <w:vAlign w:val="center"/>
            <w:hideMark/>
          </w:tcPr>
          <w:p w14:paraId="39DEFB0B" w14:textId="3FD664C4"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Open </w:t>
            </w:r>
            <w:r w:rsidR="006226A8" w:rsidRPr="005C470C">
              <w:rPr>
                <w:rFonts w:ascii="Times New Roman" w:eastAsia="Times New Roman" w:hAnsi="Times New Roman" w:cs="Times New Roman"/>
                <w:color w:val="000000"/>
                <w:sz w:val="20"/>
                <w:szCs w:val="20"/>
                <w:lang w:val="en-US" w:eastAsia="pt-BR"/>
              </w:rPr>
              <w:t>flap debridement</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enamel matrix protein derivative; natural bone mineral; anorganic bovine bone; cancellous allograft; tricalcium phosphate; connective tissue graft; autologous bone graft; hydroxyapatite saline; Collagen plug</w:t>
            </w:r>
          </w:p>
        </w:tc>
        <w:tc>
          <w:tcPr>
            <w:tcW w:w="1275" w:type="dxa"/>
            <w:shd w:val="clear" w:color="auto" w:fill="auto"/>
            <w:vAlign w:val="center"/>
            <w:hideMark/>
          </w:tcPr>
          <w:p w14:paraId="3A51A46C" w14:textId="40A3D310"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Probing </w:t>
            </w:r>
            <w:r w:rsidR="006226A8" w:rsidRPr="005C470C">
              <w:rPr>
                <w:rFonts w:ascii="Times New Roman" w:eastAsia="Times New Roman" w:hAnsi="Times New Roman" w:cs="Times New Roman"/>
                <w:color w:val="000000"/>
                <w:sz w:val="20"/>
                <w:szCs w:val="20"/>
                <w:lang w:val="en-US" w:eastAsia="pt-BR"/>
              </w:rPr>
              <w:t>depths;</w:t>
            </w:r>
            <w:r w:rsidR="0072629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clinical attachment level;</w:t>
            </w:r>
            <w:r w:rsidR="006226A8" w:rsidRPr="005C470C">
              <w:rPr>
                <w:rFonts w:ascii="Times New Roman" w:eastAsia="Times New Roman" w:hAnsi="Times New Roman" w:cs="Times New Roman"/>
                <w:color w:val="000000"/>
                <w:sz w:val="20"/>
                <w:szCs w:val="20"/>
                <w:lang w:val="en-US" w:eastAsia="pt-BR"/>
              </w:rPr>
              <w:br/>
              <w:t>gingival recession;</w:t>
            </w:r>
            <w:r w:rsidR="006226A8" w:rsidRPr="005C470C">
              <w:rPr>
                <w:rFonts w:ascii="Times New Roman" w:eastAsia="Times New Roman" w:hAnsi="Times New Roman" w:cs="Times New Roman"/>
                <w:color w:val="000000"/>
                <w:sz w:val="20"/>
                <w:szCs w:val="20"/>
                <w:lang w:val="en-US" w:eastAsia="pt-BR"/>
              </w:rPr>
              <w:br/>
              <w:t>radiographic bony defect</w:t>
            </w:r>
          </w:p>
        </w:tc>
        <w:tc>
          <w:tcPr>
            <w:tcW w:w="1134" w:type="dxa"/>
            <w:shd w:val="clear" w:color="auto" w:fill="auto"/>
            <w:vAlign w:val="center"/>
            <w:hideMark/>
          </w:tcPr>
          <w:p w14:paraId="691D8B6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(n=21)</w:t>
            </w:r>
          </w:p>
        </w:tc>
        <w:tc>
          <w:tcPr>
            <w:tcW w:w="567" w:type="dxa"/>
            <w:shd w:val="clear" w:color="auto" w:fill="auto"/>
            <w:vAlign w:val="center"/>
            <w:hideMark/>
          </w:tcPr>
          <w:p w14:paraId="2D795219"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224F4999" w14:textId="58476F8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On the whole, these statements are isolated cases and are not suitable for quantitative </w:t>
            </w:r>
            <w:r w:rsidR="00C01468" w:rsidRPr="005C470C">
              <w:rPr>
                <w:rFonts w:ascii="Times New Roman" w:eastAsia="Times New Roman" w:hAnsi="Times New Roman" w:cs="Times New Roman"/>
                <w:color w:val="000000"/>
                <w:sz w:val="20"/>
                <w:szCs w:val="20"/>
                <w:lang w:val="en-US" w:eastAsia="pt-BR"/>
              </w:rPr>
              <w:t>evaluation but</w:t>
            </w:r>
            <w:r w:rsidRPr="005C470C">
              <w:rPr>
                <w:rFonts w:ascii="Times New Roman" w:eastAsia="Times New Roman" w:hAnsi="Times New Roman" w:cs="Times New Roman"/>
                <w:color w:val="000000"/>
                <w:sz w:val="20"/>
                <w:szCs w:val="20"/>
                <w:lang w:val="en-US" w:eastAsia="pt-BR"/>
              </w:rPr>
              <w:t xml:space="preserve"> point to the need for further investigation</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6C7351E" w14:textId="69BC957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p>
        </w:tc>
      </w:tr>
      <w:tr w:rsidR="002914BB" w:rsidRPr="00114AF5" w14:paraId="20D43D62" w14:textId="77777777" w:rsidTr="00114AF5">
        <w:trPr>
          <w:trHeight w:val="2816"/>
        </w:trPr>
        <w:tc>
          <w:tcPr>
            <w:tcW w:w="1135" w:type="dxa"/>
            <w:shd w:val="clear" w:color="auto" w:fill="auto"/>
            <w:vAlign w:val="center"/>
            <w:hideMark/>
          </w:tcPr>
          <w:p w14:paraId="68E14834"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Gao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&lt;EndNote&gt;&lt;Cite&gt;&lt;Author&gt;Gao&lt;/Author&gt;&lt;Year&gt;2020&lt;/Year&gt;&lt;RecNum&gt;20910&lt;/RecNum&gt;&lt;DisplayText&gt;&lt;style face="superscript"&gt;38&lt;/style&gt;&lt;/DisplayText&gt;&lt;record&gt;&lt;rec-number&gt;20910&lt;/rec-number&gt;&lt;foreign-keys&gt;&lt;key app="EN" db-id="f5fv5a2shx52dqesxzmpffeqzt5ffxae2vev" timestamp="1607902553"&gt;20910&lt;/key&gt;&lt;/foreign-keys&gt;&lt;ref-type name="Journal Article"&gt;17&lt;/ref-type&gt;&lt;contributors&gt;&lt;authors&gt;&lt;author&gt;Gao, Jinxia&lt;/author&gt;&lt;author&gt;Yu, Shuchen&lt;/author&gt;&lt;author&gt;Zhu, Xiufeng&lt;/author&gt;&lt;author&gt;Yan, Yuzhu&lt;/author&gt;&lt;author&gt;Zhang, Yuchen&lt;/author&gt;&lt;author&gt;Pei, Dandan&lt;/author&gt;&lt;/authors&gt;&lt;/contributors&gt;&lt;titles&gt;&lt;title&gt;Does probiotic Lactobacillus have an adjunctive effect in the nonsurgical treatment of peri-implant diseases? A systematic review and meta-analysis&lt;/title&gt;&lt;secondary-title&gt;Journal of Evidence Based Dental Practice&lt;/secondary-title&gt;&lt;/titles&gt;&lt;periodical&gt;&lt;full-title&gt;Journal of Evidence Based Dental Practice&lt;/full-title&gt;&lt;/periodical&gt;&lt;pages&gt;101398&lt;/pages&gt;&lt;volume&gt;20&lt;/volume&gt;&lt;number&gt;1&lt;/number&gt;&lt;dates&gt;&lt;year&gt;2020&lt;/year&gt;&lt;/dates&gt;&lt;isbn&gt;1532-3382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38</w:t>
            </w:r>
            <w:r w:rsidR="0008652B" w:rsidRPr="005C470C">
              <w:rPr>
                <w:rFonts w:ascii="Times New Roman" w:eastAsia="Times New Roman" w:hAnsi="Times New Roman" w:cs="Times New Roman"/>
                <w:sz w:val="20"/>
                <w:szCs w:val="20"/>
                <w:lang w:eastAsia="pt-BR"/>
              </w:rPr>
              <w:fldChar w:fldCharType="end"/>
            </w:r>
          </w:p>
          <w:p w14:paraId="44C4A5AD" w14:textId="50B43C50"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China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76949B7E"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Journal of Evidence Based Dental Practice</w:t>
            </w:r>
          </w:p>
          <w:p w14:paraId="4714AAA6" w14:textId="076AC2FC"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(2.426)</w:t>
            </w:r>
          </w:p>
        </w:tc>
        <w:tc>
          <w:tcPr>
            <w:tcW w:w="1418" w:type="dxa"/>
            <w:shd w:val="clear" w:color="auto" w:fill="auto"/>
            <w:vAlign w:val="center"/>
            <w:hideMark/>
          </w:tcPr>
          <w:p w14:paraId="7EE3831C" w14:textId="25C6FA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r w:rsidR="00C53143">
              <w:rPr>
                <w:rFonts w:ascii="Times New Roman" w:eastAsia="Times New Roman" w:hAnsi="Times New Roman" w:cs="Times New Roman"/>
                <w:sz w:val="20"/>
                <w:szCs w:val="20"/>
                <w:lang w:eastAsia="pt-BR"/>
              </w:rPr>
              <w:t xml:space="preserve"> </w:t>
            </w: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7929BD15" w14:textId="11D34F00"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additional effect of probiotic Lactobacillus in the nonsurgical management of peri-implant diseases (peri-implant mucositis and periimplantitis)</w:t>
            </w:r>
          </w:p>
        </w:tc>
        <w:tc>
          <w:tcPr>
            <w:tcW w:w="1134" w:type="dxa"/>
            <w:shd w:val="clear" w:color="auto" w:fill="auto"/>
            <w:vAlign w:val="center"/>
            <w:hideMark/>
          </w:tcPr>
          <w:p w14:paraId="5147CED5" w14:textId="0FBFBA9B"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Patients </w:t>
            </w:r>
            <w:r w:rsidR="006226A8" w:rsidRPr="005C470C">
              <w:rPr>
                <w:rFonts w:ascii="Times New Roman" w:eastAsia="Times New Roman" w:hAnsi="Times New Roman" w:cs="Times New Roman"/>
                <w:color w:val="000000"/>
                <w:sz w:val="20"/>
                <w:szCs w:val="20"/>
                <w:lang w:val="en-US" w:eastAsia="pt-BR"/>
              </w:rPr>
              <w:t>with periimplant</w:t>
            </w:r>
            <w:r w:rsidR="006226A8" w:rsidRPr="005C470C">
              <w:rPr>
                <w:rFonts w:ascii="Times New Roman" w:eastAsia="Times New Roman" w:hAnsi="Times New Roman" w:cs="Times New Roman"/>
                <w:color w:val="000000"/>
                <w:sz w:val="20"/>
                <w:szCs w:val="20"/>
                <w:lang w:val="en-US" w:eastAsia="pt-BR"/>
              </w:rPr>
              <w:br/>
              <w:t>diseases who received nonsurgical treatment</w:t>
            </w:r>
          </w:p>
        </w:tc>
        <w:tc>
          <w:tcPr>
            <w:tcW w:w="1276" w:type="dxa"/>
            <w:shd w:val="clear" w:color="auto" w:fill="auto"/>
            <w:vAlign w:val="center"/>
            <w:hideMark/>
          </w:tcPr>
          <w:p w14:paraId="4AD69320"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Lactobacillus agent</w:t>
            </w:r>
          </w:p>
        </w:tc>
        <w:tc>
          <w:tcPr>
            <w:tcW w:w="1418" w:type="dxa"/>
            <w:shd w:val="clear" w:color="auto" w:fill="auto"/>
            <w:vAlign w:val="center"/>
            <w:hideMark/>
          </w:tcPr>
          <w:p w14:paraId="24D712FC" w14:textId="4749CC5E"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Placebo</w:t>
            </w:r>
            <w:r w:rsidR="006226A8" w:rsidRPr="005C470C">
              <w:rPr>
                <w:rFonts w:ascii="Times New Roman" w:eastAsia="Times New Roman" w:hAnsi="Times New Roman" w:cs="Times New Roman"/>
                <w:color w:val="000000"/>
                <w:sz w:val="20"/>
                <w:szCs w:val="20"/>
                <w:lang w:val="en-US" w:eastAsia="pt-BR"/>
              </w:rPr>
              <w:br/>
              <w:t>agent or blank control</w:t>
            </w:r>
          </w:p>
        </w:tc>
        <w:tc>
          <w:tcPr>
            <w:tcW w:w="1275" w:type="dxa"/>
            <w:shd w:val="clear" w:color="auto" w:fill="auto"/>
            <w:vAlign w:val="center"/>
            <w:hideMark/>
          </w:tcPr>
          <w:p w14:paraId="6A0017A6" w14:textId="67937E1F"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Probing </w:t>
            </w:r>
            <w:r w:rsidR="006226A8" w:rsidRPr="005C470C">
              <w:rPr>
                <w:rFonts w:ascii="Times New Roman" w:eastAsia="Times New Roman" w:hAnsi="Times New Roman" w:cs="Times New Roman"/>
                <w:color w:val="000000"/>
                <w:sz w:val="20"/>
                <w:szCs w:val="20"/>
                <w:lang w:val="en-US" w:eastAsia="pt-BR"/>
              </w:rPr>
              <w:t>pocket depth (PPD); bleeding on probing (BOP); plaque index (PI); microbiological parameters</w:t>
            </w:r>
          </w:p>
        </w:tc>
        <w:tc>
          <w:tcPr>
            <w:tcW w:w="1134" w:type="dxa"/>
            <w:shd w:val="clear" w:color="auto" w:fill="auto"/>
            <w:vAlign w:val="center"/>
            <w:hideMark/>
          </w:tcPr>
          <w:p w14:paraId="20982DC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(n=7)</w:t>
            </w:r>
          </w:p>
        </w:tc>
        <w:tc>
          <w:tcPr>
            <w:tcW w:w="567" w:type="dxa"/>
            <w:shd w:val="clear" w:color="auto" w:fill="auto"/>
            <w:vAlign w:val="center"/>
            <w:hideMark/>
          </w:tcPr>
          <w:p w14:paraId="0921B392"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CF28DF3" w14:textId="478E275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Lactobacillus in conjunction with nonsurgical treatment have limited benefits to the management of peri-implant mucositis and peri-implantitis compared with placebo</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03CA009" w14:textId="3389359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26290" w:rsidRPr="005C470C">
              <w:rPr>
                <w:rFonts w:ascii="Times New Roman" w:eastAsia="Times New Roman" w:hAnsi="Times New Roman" w:cs="Times New Roman"/>
                <w:color w:val="000000"/>
                <w:sz w:val="20"/>
                <w:szCs w:val="20"/>
                <w:lang w:val="en-US" w:eastAsia="pt-BR"/>
              </w:rPr>
              <w:t xml:space="preserve"> - The evidence generated from this review was based on a small sample size and should be considered as a preliminary result</w:t>
            </w:r>
            <w:r w:rsidR="00B0457E">
              <w:rPr>
                <w:rFonts w:ascii="Times New Roman" w:eastAsia="Times New Roman" w:hAnsi="Times New Roman" w:cs="Times New Roman"/>
                <w:color w:val="000000"/>
                <w:sz w:val="20"/>
                <w:szCs w:val="20"/>
                <w:lang w:val="en-US" w:eastAsia="pt-BR"/>
              </w:rPr>
              <w:t>.</w:t>
            </w:r>
          </w:p>
        </w:tc>
      </w:tr>
      <w:tr w:rsidR="002914BB" w:rsidRPr="005C470C" w14:paraId="39381022" w14:textId="77777777" w:rsidTr="00114AF5">
        <w:trPr>
          <w:trHeight w:val="5046"/>
        </w:trPr>
        <w:tc>
          <w:tcPr>
            <w:tcW w:w="1135" w:type="dxa"/>
            <w:shd w:val="clear" w:color="auto" w:fill="auto"/>
            <w:vAlign w:val="center"/>
            <w:hideMark/>
          </w:tcPr>
          <w:p w14:paraId="6DB93A0D" w14:textId="77777777" w:rsidR="006226A8" w:rsidRPr="00C53143" w:rsidRDefault="006226A8"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lastRenderedPageBreak/>
              <w:t>Gareb et al, 2020</w:t>
            </w:r>
            <w:r w:rsidR="0008652B" w:rsidRPr="005C470C">
              <w:rPr>
                <w:rFonts w:ascii="Times New Roman" w:eastAsia="Times New Roman" w:hAnsi="Times New Roman" w:cs="Times New Roman"/>
                <w:sz w:val="20"/>
                <w:szCs w:val="20"/>
                <w:lang w:eastAsia="pt-BR"/>
              </w:rPr>
              <w:fldChar w:fldCharType="begin"/>
            </w:r>
            <w:r w:rsidR="0008652B" w:rsidRPr="00C53143">
              <w:rPr>
                <w:rFonts w:ascii="Times New Roman" w:eastAsia="Times New Roman" w:hAnsi="Times New Roman" w:cs="Times New Roman"/>
                <w:sz w:val="20"/>
                <w:szCs w:val="20"/>
                <w:lang w:val="en-US" w:eastAsia="pt-BR"/>
              </w:rPr>
              <w:instrText xml:space="preserve"> ADDIN EN.CITE &lt;EndNote&gt;&lt;Cite&gt;&lt;Author&gt;Gareb&lt;/Author&gt;&lt;Year&gt;2020&lt;/Year&gt;&lt;RecNum&gt;20909&lt;/RecNum&gt;&lt;DisplayText&gt;&lt;style face="superscript"&gt;39&lt;/style&gt;&lt;/DisplayText&gt;&lt;record&gt;&lt;rec-number&gt;20909&lt;/rec-number&gt;&lt;foreign-keys&gt;&lt;key app="EN" db-id="f5fv5a2shx52dqesxzmpffeqzt5ffxae2vev" timestamp="1607902553"&gt;20909&lt;/key&gt;&lt;/foreign-keys&gt;&lt;ref-type name="Journal Article"&gt;17&lt;/ref-type&gt;&lt;contributors&gt;&lt;authors&gt;&lt;author&gt;Gareb, B&lt;/author&gt;&lt;author&gt;van Bakelen, NB&lt;/author&gt;&lt;author&gt;Dijkstra, PU&lt;/author&gt;&lt;author&gt;Vissink, A&lt;/author&gt;&lt;author&gt;Bos, RRM&lt;/author&gt;&lt;author&gt;van Minnen, B&lt;/author&gt;&lt;/authors&gt;&lt;/contributors&gt;&lt;titles&gt;&lt;title&gt;Biodegradable versus titanium osteosynthesis in maxillofacial traumatology: A systematic review with meta-analysis and trial sequential analysis&lt;/title&gt;&lt;secondary-title&gt;International journal of oral and maxillofacial surgery&lt;/secondary-title&gt;&lt;/titles&gt;&lt;periodical&gt;&lt;full-title&gt;Int J Oral Maxillofac Surg&lt;/full-title&gt;&lt;abbr-1&gt;International journal of oral and maxillofacial surgery&lt;/abbr-1&gt;&lt;/periodical&gt;&lt;pages&gt;914-931&lt;/pages&gt;&lt;volume&gt;49&lt;/volume&gt;&lt;number&gt;7&lt;/number&gt;&lt;dates&gt;&lt;year&gt;2020&lt;/year&gt;&lt;/dates&gt;&lt;isbn&gt;0901-5027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C53143">
              <w:rPr>
                <w:rFonts w:ascii="Times New Roman" w:eastAsia="Times New Roman" w:hAnsi="Times New Roman" w:cs="Times New Roman"/>
                <w:noProof/>
                <w:sz w:val="20"/>
                <w:szCs w:val="20"/>
                <w:vertAlign w:val="superscript"/>
                <w:lang w:val="en-US" w:eastAsia="pt-BR"/>
              </w:rPr>
              <w:t>39</w:t>
            </w:r>
            <w:r w:rsidR="0008652B" w:rsidRPr="005C470C">
              <w:rPr>
                <w:rFonts w:ascii="Times New Roman" w:eastAsia="Times New Roman" w:hAnsi="Times New Roman" w:cs="Times New Roman"/>
                <w:sz w:val="20"/>
                <w:szCs w:val="20"/>
                <w:lang w:eastAsia="pt-BR"/>
              </w:rPr>
              <w:fldChar w:fldCharType="end"/>
            </w:r>
          </w:p>
          <w:p w14:paraId="0943905A" w14:textId="7918DA8D" w:rsidR="00C53143" w:rsidRPr="00C53143" w:rsidRDefault="00C53143"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(The Netherlands)</w:t>
            </w:r>
          </w:p>
        </w:tc>
        <w:tc>
          <w:tcPr>
            <w:tcW w:w="992" w:type="dxa"/>
            <w:shd w:val="clear" w:color="auto" w:fill="auto"/>
            <w:vAlign w:val="center"/>
            <w:hideMark/>
          </w:tcPr>
          <w:p w14:paraId="69F26DC5" w14:textId="77777777" w:rsidR="006226A8" w:rsidRPr="00C53143" w:rsidRDefault="00C53143" w:rsidP="00C53143">
            <w:pPr>
              <w:jc w:val="cente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International journal of oral and maxillofacial surgery</w:t>
            </w:r>
          </w:p>
          <w:p w14:paraId="00058592" w14:textId="63F9E4F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(2.068)</w:t>
            </w:r>
          </w:p>
        </w:tc>
        <w:tc>
          <w:tcPr>
            <w:tcW w:w="1418" w:type="dxa"/>
            <w:shd w:val="clear" w:color="auto" w:fill="auto"/>
            <w:vAlign w:val="center"/>
            <w:hideMark/>
          </w:tcPr>
          <w:p w14:paraId="6EE1E058"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6A68738C" w14:textId="403CD8BD" w:rsidR="006226A8" w:rsidRPr="005C470C" w:rsidRDefault="00C0146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Efficacy </w:t>
            </w:r>
            <w:r w:rsidR="006226A8" w:rsidRPr="005C470C">
              <w:rPr>
                <w:rFonts w:ascii="Times New Roman" w:eastAsia="Times New Roman" w:hAnsi="Times New Roman" w:cs="Times New Roman"/>
                <w:sz w:val="20"/>
                <w:szCs w:val="20"/>
                <w:lang w:val="en-US" w:eastAsia="pt-BR"/>
              </w:rPr>
              <w:t>and morbidity of biodegradable (i.e., composed of (co-</w:t>
            </w:r>
            <w:r w:rsidR="001E6545" w:rsidRPr="005C470C">
              <w:rPr>
                <w:rFonts w:ascii="Times New Roman" w:eastAsia="Times New Roman" w:hAnsi="Times New Roman" w:cs="Times New Roman"/>
                <w:sz w:val="20"/>
                <w:szCs w:val="20"/>
                <w:lang w:val="en-US" w:eastAsia="pt-BR"/>
              </w:rPr>
              <w:t xml:space="preserve">) </w:t>
            </w:r>
            <w:r w:rsidR="006226A8" w:rsidRPr="005C470C">
              <w:rPr>
                <w:rFonts w:ascii="Times New Roman" w:eastAsia="Times New Roman" w:hAnsi="Times New Roman" w:cs="Times New Roman"/>
                <w:sz w:val="20"/>
                <w:szCs w:val="20"/>
                <w:lang w:val="en-US" w:eastAsia="pt-BR"/>
              </w:rPr>
              <w:t>polymers) versus titanium osteosynthesis in patients with maxillofacial fractures</w:t>
            </w:r>
          </w:p>
        </w:tc>
        <w:tc>
          <w:tcPr>
            <w:tcW w:w="1134" w:type="dxa"/>
            <w:shd w:val="clear" w:color="auto" w:fill="auto"/>
            <w:vAlign w:val="center"/>
            <w:hideMark/>
          </w:tcPr>
          <w:p w14:paraId="4425B8EC" w14:textId="33C5B336"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All </w:t>
            </w:r>
            <w:r w:rsidR="006226A8" w:rsidRPr="005C470C">
              <w:rPr>
                <w:rFonts w:ascii="Times New Roman" w:eastAsia="Times New Roman" w:hAnsi="Times New Roman" w:cs="Times New Roman"/>
                <w:color w:val="000000"/>
                <w:sz w:val="20"/>
                <w:szCs w:val="20"/>
                <w:lang w:val="en-US" w:eastAsia="pt-BR"/>
              </w:rPr>
              <w:t>patients who had been treated for maxillofacial fractures, i.e., Le Fort I, Le Fort II, Le Fort III, cranial, zygomaticomaxilla y complex, and mandibular fractures</w:t>
            </w:r>
          </w:p>
        </w:tc>
        <w:tc>
          <w:tcPr>
            <w:tcW w:w="1276" w:type="dxa"/>
            <w:shd w:val="clear" w:color="auto" w:fill="auto"/>
            <w:vAlign w:val="center"/>
            <w:hideMark/>
          </w:tcPr>
          <w:p w14:paraId="76340142" w14:textId="5C5BCEC2"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Treated </w:t>
            </w:r>
            <w:r w:rsidR="006226A8" w:rsidRPr="005C470C">
              <w:rPr>
                <w:rFonts w:ascii="Times New Roman" w:eastAsia="Times New Roman" w:hAnsi="Times New Roman" w:cs="Times New Roman"/>
                <w:color w:val="000000"/>
                <w:sz w:val="20"/>
                <w:szCs w:val="20"/>
                <w:lang w:val="en-US" w:eastAsia="pt-BR"/>
              </w:rPr>
              <w:t>surgically with biodegradable fixation (i.e., plates and/or screws/ pins) that consisted of (co-)</w:t>
            </w:r>
            <w:r w:rsidR="001E6545"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polymers </w:t>
            </w:r>
          </w:p>
        </w:tc>
        <w:tc>
          <w:tcPr>
            <w:tcW w:w="1418" w:type="dxa"/>
            <w:shd w:val="clear" w:color="auto" w:fill="auto"/>
            <w:vAlign w:val="center"/>
            <w:hideMark/>
          </w:tcPr>
          <w:p w14:paraId="442144C7" w14:textId="4917D57F"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Surgical </w:t>
            </w:r>
            <w:r w:rsidR="006226A8" w:rsidRPr="005C470C">
              <w:rPr>
                <w:rFonts w:ascii="Times New Roman" w:eastAsia="Times New Roman" w:hAnsi="Times New Roman" w:cs="Times New Roman"/>
                <w:color w:val="000000"/>
                <w:sz w:val="20"/>
                <w:szCs w:val="20"/>
                <w:lang w:val="en-US" w:eastAsia="pt-BR"/>
              </w:rPr>
              <w:t>treatment with titanium fixation (i.e., plates and/or screws)</w:t>
            </w:r>
          </w:p>
        </w:tc>
        <w:tc>
          <w:tcPr>
            <w:tcW w:w="1275" w:type="dxa"/>
            <w:shd w:val="clear" w:color="auto" w:fill="auto"/>
            <w:vAlign w:val="center"/>
            <w:hideMark/>
          </w:tcPr>
          <w:p w14:paraId="4B584D40" w14:textId="147AAFD9" w:rsidR="006226A8" w:rsidRPr="005C470C" w:rsidRDefault="001E6545"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Efficacy of the fixation method; Morbidity (symptomatic plate removal rate, pain, analgesia usage, maximum mouth opening, mandibular function, temporomandibular </w:t>
            </w:r>
            <w:r w:rsidR="00156AF5" w:rsidRPr="005C470C">
              <w:rPr>
                <w:rFonts w:ascii="Times New Roman" w:eastAsia="Times New Roman" w:hAnsi="Times New Roman" w:cs="Times New Roman"/>
                <w:color w:val="000000"/>
                <w:sz w:val="20"/>
                <w:szCs w:val="20"/>
                <w:lang w:val="en-US" w:eastAsia="pt-BR"/>
              </w:rPr>
              <w:t>disorder</w:t>
            </w:r>
            <w:r w:rsidRPr="005C470C">
              <w:rPr>
                <w:rFonts w:ascii="Times New Roman" w:eastAsia="Times New Roman" w:hAnsi="Times New Roman" w:cs="Times New Roman"/>
                <w:color w:val="000000"/>
                <w:sz w:val="20"/>
                <w:szCs w:val="20"/>
                <w:lang w:val="en-US" w:eastAsia="pt-BR"/>
              </w:rPr>
              <w:t>, infection, swelling, wound dehiscence, plate exposure, palpability of plates and/or screws, patient satisfaction</w:t>
            </w:r>
            <w:r w:rsidR="00156AF5" w:rsidRPr="005C470C">
              <w:rPr>
                <w:rFonts w:ascii="Times New Roman" w:eastAsia="Times New Roman" w:hAnsi="Times New Roman" w:cs="Times New Roman"/>
                <w:color w:val="000000"/>
                <w:sz w:val="20"/>
                <w:szCs w:val="20"/>
                <w:lang w:val="en-US" w:eastAsia="pt-BR"/>
              </w:rPr>
              <w:t>, and revision surgery</w:t>
            </w:r>
            <w:r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15986A9E" w14:textId="2EAD5ED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prospective</w:t>
            </w:r>
            <w:r w:rsidR="001E6545"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controlled cohort studies, and</w:t>
            </w:r>
            <w:r w:rsidR="001E6545"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retrospective controlled cohort studies (n=21)</w:t>
            </w:r>
          </w:p>
        </w:tc>
        <w:tc>
          <w:tcPr>
            <w:tcW w:w="567" w:type="dxa"/>
            <w:shd w:val="clear" w:color="auto" w:fill="auto"/>
            <w:vAlign w:val="center"/>
            <w:hideMark/>
          </w:tcPr>
          <w:p w14:paraId="133EE520"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EE8B92A" w14:textId="31D99FA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quality of evidence ranged from very low to moderate. </w:t>
            </w:r>
            <w:r w:rsidR="001E6545" w:rsidRPr="005C470C">
              <w:rPr>
                <w:rFonts w:ascii="Times New Roman" w:eastAsia="Times New Roman" w:hAnsi="Times New Roman" w:cs="Times New Roman"/>
                <w:color w:val="000000"/>
                <w:sz w:val="20"/>
                <w:szCs w:val="20"/>
                <w:lang w:val="en-US" w:eastAsia="pt-BR"/>
              </w:rPr>
              <w:t>C</w:t>
            </w:r>
            <w:r w:rsidRPr="005C470C">
              <w:rPr>
                <w:rFonts w:ascii="Times New Roman" w:eastAsia="Times New Roman" w:hAnsi="Times New Roman" w:cs="Times New Roman"/>
                <w:color w:val="000000"/>
                <w:sz w:val="20"/>
                <w:szCs w:val="20"/>
                <w:lang w:val="en-US" w:eastAsia="pt-BR"/>
              </w:rPr>
              <w:t>urrent evidence shows that biodegradable osteosynthesis is a viable alternative to titanium osteosynthesis when applied in the treatment of maxillofacial trauma, with similar efficacy but significantly lower symptomatic plate removal rates. Perioperative screw breakage occurred significantly more often in the biodegradable group compared to the titanium group</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1147777" w14:textId="21F66EC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w:t>
            </w:r>
          </w:p>
        </w:tc>
      </w:tr>
      <w:tr w:rsidR="002914BB" w:rsidRPr="00114AF5" w14:paraId="332F77F6" w14:textId="77777777" w:rsidTr="00114AF5">
        <w:trPr>
          <w:trHeight w:val="4659"/>
        </w:trPr>
        <w:tc>
          <w:tcPr>
            <w:tcW w:w="1135" w:type="dxa"/>
            <w:shd w:val="clear" w:color="auto" w:fill="auto"/>
            <w:vAlign w:val="center"/>
            <w:hideMark/>
          </w:tcPr>
          <w:p w14:paraId="76602726"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González Espinosa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&lt;EndNote&gt;&lt;Cite&gt;&lt;Author&gt;González Espinosa&lt;/Author&gt;&lt;Year&gt;2020&lt;/Year&gt;&lt;RecNum&gt;20908&lt;/RecNum&gt;&lt;DisplayText&gt;&lt;style face="superscript"&gt;40&lt;/style&gt;&lt;/DisplayText&gt;&lt;record&gt;&lt;rec-number&gt;20908&lt;/rec-number&gt;&lt;foreign-keys&gt;&lt;key app="EN" db-id="f5fv5a2shx52dqesxzmpffeqzt5ffxae2vev" timestamp="1607902553"&gt;20908&lt;/key&gt;&lt;/foreign-keys&gt;&lt;ref-type name="Journal Article"&gt;17&lt;/ref-type&gt;&lt;contributors&gt;&lt;authors&gt;&lt;author&gt;González Espinosa, Daybelis&lt;/author&gt;&lt;author&gt;Santos, Milena&lt;/author&gt;&lt;author&gt;Mendes, Sissy Maria dos Anjos&lt;/author&gt;&lt;author&gt;Normando, David&lt;/author&gt;&lt;/authors&gt;&lt;/contributors&gt;&lt;titles&gt;&lt;title&gt;Mandibular propulsion appliance for adults with Class II malocclusion: a systematic review and meta-analysis&lt;/title&gt;&lt;secondary-title&gt;European Journal of Orthodontics&lt;/secondary-title&gt;&lt;/titles&gt;&lt;periodical&gt;&lt;full-title&gt;Eur J Orthod&lt;/full-title&gt;&lt;abbr-1&gt;European journal of orthodontics&lt;/abbr-1&gt;&lt;/periodical&gt;&lt;pages&gt;163-173&lt;/pages&gt;&lt;volume&gt;42&lt;/volume&gt;&lt;number&gt;2&lt;/number&gt;&lt;dates&gt;&lt;year&gt;2020&lt;/year&gt;&lt;/dates&gt;&lt;isbn&gt;0141-5387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40</w:t>
            </w:r>
            <w:r w:rsidR="0008652B" w:rsidRPr="005C470C">
              <w:rPr>
                <w:rFonts w:ascii="Times New Roman" w:eastAsia="Times New Roman" w:hAnsi="Times New Roman" w:cs="Times New Roman"/>
                <w:sz w:val="20"/>
                <w:szCs w:val="20"/>
                <w:lang w:eastAsia="pt-BR"/>
              </w:rPr>
              <w:fldChar w:fldCharType="end"/>
            </w:r>
          </w:p>
          <w:p w14:paraId="36CFC497" w14:textId="61F776AE"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48377C9"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European journal of orthodontics</w:t>
            </w:r>
          </w:p>
          <w:p w14:paraId="5BB59F55" w14:textId="5E427C6C"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(2.202)</w:t>
            </w:r>
          </w:p>
        </w:tc>
        <w:tc>
          <w:tcPr>
            <w:tcW w:w="1418" w:type="dxa"/>
            <w:shd w:val="clear" w:color="auto" w:fill="auto"/>
            <w:vAlign w:val="center"/>
            <w:hideMark/>
          </w:tcPr>
          <w:p w14:paraId="61AE6ED9"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7BDF550B" w14:textId="34BF93C6"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effects in non-growing Class II patients with mandibular retrusion, promoted by the treatment with mandibular propulsion appliances and determine if they produce mandibular changes</w:t>
            </w:r>
          </w:p>
        </w:tc>
        <w:tc>
          <w:tcPr>
            <w:tcW w:w="1134" w:type="dxa"/>
            <w:shd w:val="clear" w:color="auto" w:fill="auto"/>
            <w:vAlign w:val="center"/>
            <w:hideMark/>
          </w:tcPr>
          <w:p w14:paraId="41CE7B83" w14:textId="355FBC1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Class II patients with a mean age greater than 18</w:t>
            </w:r>
            <w:r w:rsidR="00156AF5" w:rsidRPr="005C470C">
              <w:rPr>
                <w:rFonts w:ascii="Times New Roman" w:eastAsia="Times New Roman" w:hAnsi="Times New Roman" w:cs="Times New Roman"/>
                <w:color w:val="000000"/>
                <w:sz w:val="20"/>
                <w:szCs w:val="20"/>
                <w:lang w:val="en-US" w:eastAsia="pt-BR"/>
              </w:rPr>
              <w:t xml:space="preserve">y </w:t>
            </w:r>
            <w:r w:rsidRPr="005C470C">
              <w:rPr>
                <w:rFonts w:ascii="Times New Roman" w:eastAsia="Times New Roman" w:hAnsi="Times New Roman" w:cs="Times New Roman"/>
                <w:color w:val="000000"/>
                <w:sz w:val="20"/>
                <w:szCs w:val="20"/>
                <w:lang w:val="en-US" w:eastAsia="pt-BR"/>
              </w:rPr>
              <w:t>and/or with skeletal maturation at stages C5 and C6 and stages RI-J and RJ</w:t>
            </w:r>
          </w:p>
        </w:tc>
        <w:tc>
          <w:tcPr>
            <w:tcW w:w="1276" w:type="dxa"/>
            <w:shd w:val="clear" w:color="auto" w:fill="auto"/>
            <w:vAlign w:val="center"/>
            <w:hideMark/>
          </w:tcPr>
          <w:p w14:paraId="29651573" w14:textId="639323A4"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Patients </w:t>
            </w:r>
            <w:r w:rsidR="006226A8" w:rsidRPr="005C470C">
              <w:rPr>
                <w:rFonts w:ascii="Times New Roman" w:eastAsia="Times New Roman" w:hAnsi="Times New Roman" w:cs="Times New Roman"/>
                <w:color w:val="000000"/>
                <w:sz w:val="20"/>
                <w:szCs w:val="20"/>
                <w:lang w:val="en-US" w:eastAsia="pt-BR"/>
              </w:rPr>
              <w:t>treated with fixed or removable mandibular propulsion appliances</w:t>
            </w:r>
          </w:p>
        </w:tc>
        <w:tc>
          <w:tcPr>
            <w:tcW w:w="1418" w:type="dxa"/>
            <w:shd w:val="clear" w:color="auto" w:fill="auto"/>
            <w:vAlign w:val="center"/>
            <w:hideMark/>
          </w:tcPr>
          <w:p w14:paraId="25F4B3D9" w14:textId="71E48340"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Clinical </w:t>
            </w:r>
            <w:r w:rsidR="006226A8" w:rsidRPr="005C470C">
              <w:rPr>
                <w:rFonts w:ascii="Times New Roman" w:eastAsia="Times New Roman" w:hAnsi="Times New Roman" w:cs="Times New Roman"/>
                <w:color w:val="000000"/>
                <w:sz w:val="20"/>
                <w:szCs w:val="20"/>
                <w:lang w:val="en-US" w:eastAsia="pt-BR"/>
              </w:rPr>
              <w:t>studies comparing pre and post-treatment cephalometric values</w:t>
            </w:r>
          </w:p>
        </w:tc>
        <w:tc>
          <w:tcPr>
            <w:tcW w:w="1275" w:type="dxa"/>
            <w:shd w:val="clear" w:color="auto" w:fill="auto"/>
            <w:vAlign w:val="center"/>
            <w:hideMark/>
          </w:tcPr>
          <w:p w14:paraId="37A441DB" w14:textId="1FE82D7D" w:rsidR="006226A8" w:rsidRPr="005C470C" w:rsidRDefault="00C0146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w:t>
            </w:r>
            <w:r w:rsidR="006226A8" w:rsidRPr="005C470C">
              <w:rPr>
                <w:rFonts w:ascii="Times New Roman" w:eastAsia="Times New Roman" w:hAnsi="Times New Roman" w:cs="Times New Roman"/>
                <w:color w:val="000000"/>
                <w:sz w:val="20"/>
                <w:szCs w:val="20"/>
                <w:lang w:val="en-US" w:eastAsia="pt-BR"/>
              </w:rPr>
              <w:t>main outcome was the skeletal changes promoted after the use of these appliances evaluated trough cephalometric values - angular and linear measurements used to assess the skeletal changes</w:t>
            </w:r>
          </w:p>
        </w:tc>
        <w:tc>
          <w:tcPr>
            <w:tcW w:w="1134" w:type="dxa"/>
            <w:shd w:val="clear" w:color="auto" w:fill="auto"/>
            <w:vAlign w:val="center"/>
            <w:hideMark/>
          </w:tcPr>
          <w:p w14:paraId="337F46FA"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Non-randomized clinical trials with/without control, including those considering before and after design (n=11)</w:t>
            </w:r>
          </w:p>
        </w:tc>
        <w:tc>
          <w:tcPr>
            <w:tcW w:w="567" w:type="dxa"/>
            <w:shd w:val="clear" w:color="auto" w:fill="auto"/>
            <w:vAlign w:val="center"/>
            <w:hideMark/>
          </w:tcPr>
          <w:p w14:paraId="34D2A52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017D70A" w14:textId="04CF5DB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All mandibular propulsion appliances evaluated were able to correct Class II malocclusion in adult patients</w:t>
            </w:r>
            <w:r w:rsidR="00156AF5"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w:t>
            </w:r>
            <w:r w:rsidR="003C128D" w:rsidRPr="005C470C">
              <w:rPr>
                <w:rFonts w:ascii="Times New Roman" w:eastAsia="Times New Roman" w:hAnsi="Times New Roman" w:cs="Times New Roman"/>
                <w:color w:val="000000"/>
                <w:sz w:val="20"/>
                <w:szCs w:val="20"/>
                <w:lang w:val="en-US" w:eastAsia="pt-BR"/>
              </w:rPr>
              <w:t>Some</w:t>
            </w:r>
            <w:r w:rsidRPr="005C470C">
              <w:rPr>
                <w:rFonts w:ascii="Times New Roman" w:eastAsia="Times New Roman" w:hAnsi="Times New Roman" w:cs="Times New Roman"/>
                <w:color w:val="000000"/>
                <w:sz w:val="20"/>
                <w:szCs w:val="20"/>
                <w:lang w:val="en-US" w:eastAsia="pt-BR"/>
              </w:rPr>
              <w:t xml:space="preserve"> included studies showed a slight increase of chin projection and/or total mandibular length. These alterations could be justified by treatment duration, higher overjet and a possible repositioning of mandible condyle. Patients treated with the Herbst appliance presented the largest mandibular changes, although of small magnitude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DA161BC" w14:textId="224AA28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156AF5" w:rsidRPr="005C470C">
              <w:rPr>
                <w:rFonts w:ascii="Times New Roman" w:eastAsia="Times New Roman" w:hAnsi="Times New Roman" w:cs="Times New Roman"/>
                <w:color w:val="000000"/>
                <w:sz w:val="20"/>
                <w:szCs w:val="20"/>
                <w:lang w:val="en-US" w:eastAsia="pt-BR"/>
              </w:rPr>
              <w:t xml:space="preserve"> - RCTs are required to improve scientific evidence</w:t>
            </w:r>
            <w:r w:rsidR="00B0457E">
              <w:rPr>
                <w:rFonts w:ascii="Times New Roman" w:eastAsia="Times New Roman" w:hAnsi="Times New Roman" w:cs="Times New Roman"/>
                <w:color w:val="000000"/>
                <w:sz w:val="20"/>
                <w:szCs w:val="20"/>
                <w:lang w:val="en-US" w:eastAsia="pt-BR"/>
              </w:rPr>
              <w:t>.</w:t>
            </w:r>
          </w:p>
        </w:tc>
      </w:tr>
      <w:tr w:rsidR="002914BB" w:rsidRPr="005C470C" w14:paraId="13EA4DC0" w14:textId="77777777" w:rsidTr="00114AF5">
        <w:trPr>
          <w:trHeight w:val="20"/>
        </w:trPr>
        <w:tc>
          <w:tcPr>
            <w:tcW w:w="1135" w:type="dxa"/>
            <w:shd w:val="clear" w:color="auto" w:fill="auto"/>
            <w:vAlign w:val="center"/>
            <w:hideMark/>
          </w:tcPr>
          <w:p w14:paraId="4C1F61C9"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Göstemeyer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&lt;EndNote&gt;&lt;Cite&gt;&lt;Author&gt;Göstemeyer&lt;/Author&gt;&lt;Year&gt;2019&lt;/Year&gt;&lt;RecNum&gt;20912&lt;/RecNum&gt;&lt;DisplayText&gt;&lt;style face="superscript"&gt;41&lt;/style&gt;&lt;/DisplayText&gt;&lt;record&gt;&lt;rec-number&gt;20912&lt;/rec-number&gt;&lt;foreign-keys&gt;&lt;key app="EN" db-id="f5fv5a2shx52dqesxzmpffeqzt5ffxae2vev" timestamp="1607902553"&gt;20912&lt;/key&gt;&lt;/foreign-keys&gt;&lt;ref-type name="Journal Article"&gt;17&lt;/ref-type&gt;&lt;contributors&gt;&lt;authors&gt;&lt;author&gt;Göstemeyer, Gerd&lt;/author&gt;&lt;author&gt;da Mata, Cristiane&lt;/author&gt;&lt;author&gt;McKenna, Gerald&lt;/author&gt;&lt;author&gt;Schwendicke, Falk&lt;/author&gt;&lt;/authors&gt;&lt;/contributors&gt;&lt;titles&gt;&lt;title&gt;Atraumatic vs conventional restorative treatment for root caries lesions in older patients: Meta‐and trial sequential analysis&lt;/title&gt;&lt;secondary-title&gt;Gerodontology&lt;/secondary-title&gt;&lt;/titles&gt;&lt;periodical&gt;&lt;full-title&gt;Gerodontology&lt;/full-title&gt;&lt;/periodical&gt;&lt;pages&gt;285-293&lt;/pages&gt;&lt;volume&gt;36&lt;/volume&gt;&lt;number&gt;3&lt;/number&gt;&lt;dates&gt;&lt;year&gt;2019&lt;/year&gt;&lt;/dates&gt;&lt;isbn&gt;0734-0664&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41</w:t>
            </w:r>
            <w:r w:rsidR="0008652B" w:rsidRPr="005C470C">
              <w:rPr>
                <w:rFonts w:ascii="Times New Roman" w:eastAsia="Times New Roman" w:hAnsi="Times New Roman" w:cs="Times New Roman"/>
                <w:sz w:val="20"/>
                <w:szCs w:val="20"/>
                <w:lang w:eastAsia="pt-BR"/>
              </w:rPr>
              <w:fldChar w:fldCharType="end"/>
            </w:r>
          </w:p>
          <w:p w14:paraId="3F19EC36" w14:textId="69C5FA81"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Germany</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24FAD649"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Gerodontology</w:t>
            </w:r>
          </w:p>
          <w:p w14:paraId="6087B745" w14:textId="0C5BC513"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(1.339)</w:t>
            </w:r>
          </w:p>
        </w:tc>
        <w:tc>
          <w:tcPr>
            <w:tcW w:w="1418" w:type="dxa"/>
            <w:shd w:val="clear" w:color="auto" w:fill="auto"/>
            <w:vAlign w:val="center"/>
            <w:hideMark/>
          </w:tcPr>
          <w:p w14:paraId="518EC23C"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6CBE4E69" w14:textId="5E1F1D0A"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compare the efficacy of atraumatic</w:t>
            </w:r>
            <w:r w:rsidR="006226A8" w:rsidRPr="005C470C">
              <w:rPr>
                <w:rFonts w:ascii="Times New Roman" w:eastAsia="Times New Roman" w:hAnsi="Times New Roman" w:cs="Times New Roman"/>
                <w:sz w:val="20"/>
                <w:szCs w:val="20"/>
                <w:lang w:val="en-US" w:eastAsia="pt-BR"/>
              </w:rPr>
              <w:br/>
              <w:t xml:space="preserve">restorative treatment (ART) versus </w:t>
            </w:r>
            <w:r w:rsidR="006226A8" w:rsidRPr="005C470C">
              <w:rPr>
                <w:rFonts w:ascii="Times New Roman" w:eastAsia="Times New Roman" w:hAnsi="Times New Roman" w:cs="Times New Roman"/>
                <w:sz w:val="20"/>
                <w:szCs w:val="20"/>
                <w:lang w:val="en-US" w:eastAsia="pt-BR"/>
              </w:rPr>
              <w:lastRenderedPageBreak/>
              <w:t>conventional restorative treatment (CT) for restoring root caries lesions in older adults</w:t>
            </w:r>
          </w:p>
        </w:tc>
        <w:tc>
          <w:tcPr>
            <w:tcW w:w="1134" w:type="dxa"/>
            <w:shd w:val="clear" w:color="auto" w:fill="auto"/>
            <w:vAlign w:val="center"/>
            <w:hideMark/>
          </w:tcPr>
          <w:p w14:paraId="5BD31172" w14:textId="27CA3B7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Older adults (&gt;60</w:t>
            </w:r>
            <w:r w:rsidR="00434FEC"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with root caries lesions in need of restorative </w:t>
            </w:r>
            <w:r w:rsidRPr="005C470C">
              <w:rPr>
                <w:rFonts w:ascii="Times New Roman" w:eastAsia="Times New Roman" w:hAnsi="Times New Roman" w:cs="Times New Roman"/>
                <w:color w:val="000000"/>
                <w:sz w:val="20"/>
                <w:szCs w:val="20"/>
                <w:lang w:val="en-US" w:eastAsia="pt-BR"/>
              </w:rPr>
              <w:lastRenderedPageBreak/>
              <w:t>treatment were included</w:t>
            </w:r>
          </w:p>
        </w:tc>
        <w:tc>
          <w:tcPr>
            <w:tcW w:w="1276" w:type="dxa"/>
            <w:shd w:val="clear" w:color="auto" w:fill="auto"/>
            <w:vAlign w:val="center"/>
            <w:hideMark/>
          </w:tcPr>
          <w:p w14:paraId="4B5133A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Restoration of root caries lesions placed using ART, that is cavity</w:t>
            </w:r>
            <w:r w:rsidRPr="005C470C">
              <w:rPr>
                <w:rFonts w:ascii="Times New Roman" w:eastAsia="Times New Roman" w:hAnsi="Times New Roman" w:cs="Times New Roman"/>
                <w:color w:val="000000"/>
                <w:sz w:val="20"/>
                <w:szCs w:val="20"/>
                <w:lang w:val="en-US" w:eastAsia="pt-BR"/>
              </w:rPr>
              <w:br/>
              <w:t xml:space="preserve">preparation </w:t>
            </w:r>
            <w:r w:rsidRPr="005C470C">
              <w:rPr>
                <w:rFonts w:ascii="Times New Roman" w:eastAsia="Times New Roman" w:hAnsi="Times New Roman" w:cs="Times New Roman"/>
                <w:color w:val="000000"/>
                <w:sz w:val="20"/>
                <w:szCs w:val="20"/>
                <w:lang w:val="en-US" w:eastAsia="pt-BR"/>
              </w:rPr>
              <w:lastRenderedPageBreak/>
              <w:t>using hand instruments only</w:t>
            </w:r>
          </w:p>
        </w:tc>
        <w:tc>
          <w:tcPr>
            <w:tcW w:w="1418" w:type="dxa"/>
            <w:shd w:val="clear" w:color="auto" w:fill="auto"/>
            <w:vAlign w:val="center"/>
            <w:hideMark/>
          </w:tcPr>
          <w:p w14:paraId="053692F0" w14:textId="686964D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Restorations of root caries placed using CT, that is cavity preparation</w:t>
            </w:r>
            <w:r w:rsidRPr="005C470C">
              <w:rPr>
                <w:rFonts w:ascii="Times New Roman" w:eastAsia="Times New Roman" w:hAnsi="Times New Roman" w:cs="Times New Roman"/>
                <w:color w:val="000000"/>
                <w:sz w:val="20"/>
                <w:szCs w:val="20"/>
                <w:lang w:val="en-US" w:eastAsia="pt-BR"/>
              </w:rPr>
              <w:br/>
            </w:r>
            <w:r w:rsidRPr="005C470C">
              <w:rPr>
                <w:rFonts w:ascii="Times New Roman" w:eastAsia="Times New Roman" w:hAnsi="Times New Roman" w:cs="Times New Roman"/>
                <w:color w:val="000000"/>
                <w:sz w:val="20"/>
                <w:szCs w:val="20"/>
                <w:lang w:val="en-US" w:eastAsia="pt-BR"/>
              </w:rPr>
              <w:lastRenderedPageBreak/>
              <w:t>using rotary burs</w:t>
            </w:r>
          </w:p>
        </w:tc>
        <w:tc>
          <w:tcPr>
            <w:tcW w:w="1275" w:type="dxa"/>
            <w:shd w:val="clear" w:color="auto" w:fill="auto"/>
            <w:vAlign w:val="center"/>
            <w:hideMark/>
          </w:tcPr>
          <w:p w14:paraId="19AFC6CC" w14:textId="5E8D28F7"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Restoration </w:t>
            </w:r>
            <w:r w:rsidR="006226A8" w:rsidRPr="005C470C">
              <w:rPr>
                <w:rFonts w:ascii="Times New Roman" w:eastAsia="Times New Roman" w:hAnsi="Times New Roman" w:cs="Times New Roman"/>
                <w:color w:val="000000"/>
                <w:sz w:val="20"/>
                <w:szCs w:val="20"/>
                <w:lang w:val="en-US" w:eastAsia="pt-BR"/>
              </w:rPr>
              <w:t>failure</w:t>
            </w:r>
            <w:r w:rsidR="003C128D" w:rsidRPr="005C470C">
              <w:rPr>
                <w:rFonts w:ascii="Times New Roman" w:eastAsia="Times New Roman" w:hAnsi="Times New Roman" w:cs="Times New Roman"/>
                <w:color w:val="000000"/>
                <w:sz w:val="20"/>
                <w:szCs w:val="20"/>
                <w:lang w:val="en-US" w:eastAsia="pt-BR"/>
              </w:rPr>
              <w:t xml:space="preserve"> and </w:t>
            </w:r>
            <w:r w:rsidR="006226A8" w:rsidRPr="005C470C">
              <w:rPr>
                <w:rFonts w:ascii="Times New Roman" w:eastAsia="Times New Roman" w:hAnsi="Times New Roman" w:cs="Times New Roman"/>
                <w:color w:val="000000"/>
                <w:sz w:val="20"/>
                <w:szCs w:val="20"/>
                <w:lang w:val="en-US" w:eastAsia="pt-BR"/>
              </w:rPr>
              <w:t xml:space="preserve">reasons for failure </w:t>
            </w:r>
            <w:r w:rsidR="003C128D"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retention loss, fracture, </w:t>
            </w:r>
            <w:r w:rsidR="006226A8" w:rsidRPr="005C470C">
              <w:rPr>
                <w:rFonts w:ascii="Times New Roman" w:eastAsia="Times New Roman" w:hAnsi="Times New Roman" w:cs="Times New Roman"/>
                <w:color w:val="000000"/>
                <w:sz w:val="20"/>
                <w:szCs w:val="20"/>
                <w:lang w:val="en-US" w:eastAsia="pt-BR"/>
              </w:rPr>
              <w:lastRenderedPageBreak/>
              <w:t>caries adjacent to the restoration, or other clinically and/or radiographically determined reasons for replacing or repairing the restoration</w:t>
            </w:r>
            <w:r w:rsidR="003C128D"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076A502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(n=3)</w:t>
            </w:r>
          </w:p>
        </w:tc>
        <w:tc>
          <w:tcPr>
            <w:tcW w:w="567" w:type="dxa"/>
            <w:shd w:val="clear" w:color="auto" w:fill="auto"/>
            <w:vAlign w:val="center"/>
            <w:hideMark/>
          </w:tcPr>
          <w:p w14:paraId="149101E5"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A0263FE" w14:textId="2449CA3E" w:rsidR="006226A8" w:rsidRPr="005C470C" w:rsidRDefault="003C128D"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No</w:t>
            </w:r>
            <w:r w:rsidR="006226A8" w:rsidRPr="005C470C">
              <w:rPr>
                <w:rFonts w:ascii="Times New Roman" w:eastAsia="Times New Roman" w:hAnsi="Times New Roman" w:cs="Times New Roman"/>
                <w:color w:val="000000"/>
                <w:sz w:val="20"/>
                <w:szCs w:val="20"/>
                <w:lang w:val="en-US" w:eastAsia="pt-BR"/>
              </w:rPr>
              <w:t xml:space="preserve"> compelling evidence to support either ART or CT for restoring root caries lesions in older adults. </w:t>
            </w:r>
            <w:r w:rsidR="006226A8" w:rsidRPr="005C470C">
              <w:rPr>
                <w:rFonts w:ascii="Times New Roman" w:eastAsia="Times New Roman" w:hAnsi="Times New Roman" w:cs="Times New Roman"/>
                <w:color w:val="000000"/>
                <w:sz w:val="20"/>
                <w:szCs w:val="20"/>
                <w:lang w:val="en-US" w:eastAsia="pt-BR"/>
              </w:rPr>
              <w:lastRenderedPageBreak/>
              <w:t>However, based on the limited number of included trials, CT may be more efficacious than ART for this purpose. As only a limited number of patients are needed to reach firm conclusions on the efficacy of ART versus CT, future trials seem worthwhile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8C2CAC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101F1473" w14:textId="77777777" w:rsidTr="00114AF5">
        <w:trPr>
          <w:trHeight w:val="20"/>
        </w:trPr>
        <w:tc>
          <w:tcPr>
            <w:tcW w:w="1135" w:type="dxa"/>
            <w:shd w:val="clear" w:color="auto" w:fill="auto"/>
            <w:vAlign w:val="center"/>
            <w:hideMark/>
          </w:tcPr>
          <w:p w14:paraId="6A867470"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Grisar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&lt;EndNote&gt;&lt;Cite&gt;&lt;Author&gt;Grisar&lt;/Author&gt;&lt;Year&gt;2020&lt;/Year&gt;&lt;RecNum&gt;20907&lt;/RecNum&gt;&lt;DisplayText&gt;&lt;style face="superscript"&gt;42&lt;/style&gt;&lt;/DisplayText&gt;&lt;record&gt;&lt;rec-number&gt;20907&lt;/rec-number&gt;&lt;foreign-keys&gt;&lt;key app="EN" db-id="f5fv5a2shx52dqesxzmpffeqzt5ffxae2vev" timestamp="1607902553"&gt;20907&lt;/key&gt;&lt;/foreign-keys&gt;&lt;ref-type name="Journal Article"&gt;17&lt;/ref-type&gt;&lt;contributors&gt;&lt;authors&gt;&lt;author&gt;Grisar, Koenraad&lt;/author&gt;&lt;author&gt;Luyten, Jonathan&lt;/author&gt;&lt;author&gt;Preda, Flavia&lt;/author&gt;&lt;author&gt;Martin, Catalina&lt;/author&gt;&lt;author&gt;Hoppenreijs, Theo&lt;/author&gt;&lt;author&gt;Politis, Constantinus&lt;/author&gt;&lt;author&gt;Jacobs, Reinhilde&lt;/author&gt;&lt;/authors&gt;&lt;/contributors&gt;&lt;titles&gt;&lt;title&gt;Interventions for impacted maxillary canines: A systematic review of the relationship between initial canine position and treatment outcome&lt;/title&gt;&lt;secondary-title&gt;Orthodontics &amp;amp; Craniofacial Research&lt;/secondary-title&gt;&lt;/titles&gt;&lt;periodical&gt;&lt;full-title&gt;Orthod Craniofac Res&lt;/full-title&gt;&lt;abbr-1&gt;Orthodontics &amp;amp; craniofacial research&lt;/abbr-1&gt;&lt;/periodical&gt;&lt;dates&gt;&lt;year&gt;2020&lt;/year&gt;&lt;/dates&gt;&lt;isbn&gt;1601-6335&lt;/isbn&gt;&lt;urls&gt;&lt;/urls&gt;&lt;/record&gt;&lt;/Cite&gt;&lt;/EndNote&gt;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42</w:t>
            </w:r>
            <w:r w:rsidR="0008652B" w:rsidRPr="005C470C">
              <w:rPr>
                <w:rFonts w:ascii="Times New Roman" w:eastAsia="Times New Roman" w:hAnsi="Times New Roman" w:cs="Times New Roman"/>
                <w:sz w:val="20"/>
                <w:szCs w:val="20"/>
                <w:lang w:eastAsia="pt-BR"/>
              </w:rPr>
              <w:fldChar w:fldCharType="end"/>
            </w:r>
          </w:p>
          <w:p w14:paraId="1EB5723A" w14:textId="72B71ED6"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Belgium</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6FDF711F"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Orthodontics &amp; craniofacial research</w:t>
            </w:r>
          </w:p>
          <w:p w14:paraId="31EBECBE" w14:textId="24102A88"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(1.455)</w:t>
            </w:r>
          </w:p>
        </w:tc>
        <w:tc>
          <w:tcPr>
            <w:tcW w:w="1418" w:type="dxa"/>
            <w:shd w:val="clear" w:color="auto" w:fill="auto"/>
            <w:vAlign w:val="center"/>
            <w:hideMark/>
          </w:tcPr>
          <w:p w14:paraId="42E60E6A"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0EC3C6BC" w14:textId="48A7AC01"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critically assess the existing literature on the relationship between the initial position of impacted canines and treatment outcomes</w:t>
            </w:r>
          </w:p>
        </w:tc>
        <w:tc>
          <w:tcPr>
            <w:tcW w:w="1134" w:type="dxa"/>
            <w:shd w:val="clear" w:color="auto" w:fill="auto"/>
            <w:vAlign w:val="center"/>
            <w:hideMark/>
          </w:tcPr>
          <w:p w14:paraId="07ABE60E"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Subjects receiving treatment to correct unilateral and bilateral impacted canines</w:t>
            </w:r>
          </w:p>
        </w:tc>
        <w:tc>
          <w:tcPr>
            <w:tcW w:w="1276" w:type="dxa"/>
            <w:shd w:val="clear" w:color="auto" w:fill="auto"/>
            <w:vAlign w:val="center"/>
            <w:hideMark/>
          </w:tcPr>
          <w:p w14:paraId="68A54CB3" w14:textId="5D7DD43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Interceptive treatment</w:t>
            </w:r>
            <w:r w:rsidR="00DF561E"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removal of deciduous canine, headgear therapy and/or rapid maxillary expansion treatment</w:t>
            </w:r>
            <w:r w:rsidR="00DF561E"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Surgical exposure with or without orthodontic traction</w:t>
            </w:r>
          </w:p>
        </w:tc>
        <w:tc>
          <w:tcPr>
            <w:tcW w:w="1418" w:type="dxa"/>
            <w:shd w:val="clear" w:color="auto" w:fill="auto"/>
            <w:vAlign w:val="center"/>
            <w:hideMark/>
          </w:tcPr>
          <w:p w14:paraId="287C4FE9"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Various treatment strategies were reviewed and compared for treatment outcome of impacted maxillary canines considering the initial canine position</w:t>
            </w:r>
          </w:p>
        </w:tc>
        <w:tc>
          <w:tcPr>
            <w:tcW w:w="1275" w:type="dxa"/>
            <w:shd w:val="clear" w:color="auto" w:fill="auto"/>
            <w:vAlign w:val="center"/>
            <w:hideMark/>
          </w:tcPr>
          <w:p w14:paraId="4412722A" w14:textId="13E2E43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Success of treatment, Esthetic outcome; Periodontal tissue outcome; Treatment time, number of treatment visits; Resorption of neighbouring teeth; Ankylosis</w:t>
            </w:r>
          </w:p>
        </w:tc>
        <w:tc>
          <w:tcPr>
            <w:tcW w:w="1134" w:type="dxa"/>
            <w:shd w:val="clear" w:color="auto" w:fill="auto"/>
            <w:vAlign w:val="center"/>
            <w:hideMark/>
          </w:tcPr>
          <w:p w14:paraId="12B28AE7" w14:textId="0763DD45"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Retrospective </w:t>
            </w:r>
            <w:r w:rsidR="006226A8" w:rsidRPr="005C470C">
              <w:rPr>
                <w:rFonts w:ascii="Times New Roman" w:eastAsia="Times New Roman" w:hAnsi="Times New Roman" w:cs="Times New Roman"/>
                <w:color w:val="000000"/>
                <w:sz w:val="20"/>
                <w:szCs w:val="20"/>
                <w:lang w:val="en-US" w:eastAsia="pt-BR"/>
              </w:rPr>
              <w:t>(n=11) or prospective cohort studies (n=3), and RCTs (n=3)</w:t>
            </w:r>
          </w:p>
        </w:tc>
        <w:tc>
          <w:tcPr>
            <w:tcW w:w="567" w:type="dxa"/>
            <w:shd w:val="clear" w:color="auto" w:fill="auto"/>
            <w:vAlign w:val="center"/>
            <w:hideMark/>
          </w:tcPr>
          <w:p w14:paraId="66878AFE"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78EC329F" w14:textId="3DE0850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Evidence from the studies suggests, albeit with a low level of certainty, that some impaction characteristics (eg angulation, the vertical dimension of impaction, sector) can be used as predictors of treatment duration, complexity and outcome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85F03BC" w14:textId="695BB1C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DF561E" w:rsidRPr="005C470C">
              <w:rPr>
                <w:rFonts w:ascii="Times New Roman" w:eastAsia="Times New Roman" w:hAnsi="Times New Roman" w:cs="Times New Roman"/>
                <w:color w:val="000000"/>
                <w:sz w:val="20"/>
                <w:szCs w:val="20"/>
                <w:lang w:val="en-US" w:eastAsia="pt-BR"/>
              </w:rPr>
              <w:t xml:space="preserve"> - Further research on this issue should be based on larger samples and RCT designs to support the conclusions of the current literature</w:t>
            </w:r>
            <w:r w:rsidR="00B0457E">
              <w:rPr>
                <w:rFonts w:ascii="Times New Roman" w:eastAsia="Times New Roman" w:hAnsi="Times New Roman" w:cs="Times New Roman"/>
                <w:color w:val="000000"/>
                <w:sz w:val="20"/>
                <w:szCs w:val="20"/>
                <w:lang w:val="en-US" w:eastAsia="pt-BR"/>
              </w:rPr>
              <w:t>.</w:t>
            </w:r>
          </w:p>
        </w:tc>
      </w:tr>
      <w:tr w:rsidR="002914BB" w:rsidRPr="00114AF5" w14:paraId="3B39B477" w14:textId="77777777" w:rsidTr="00114AF5">
        <w:trPr>
          <w:trHeight w:val="20"/>
        </w:trPr>
        <w:tc>
          <w:tcPr>
            <w:tcW w:w="1135" w:type="dxa"/>
            <w:shd w:val="clear" w:color="auto" w:fill="auto"/>
            <w:vAlign w:val="center"/>
            <w:hideMark/>
          </w:tcPr>
          <w:p w14:paraId="51253C3D"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Guo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&lt;EndNote&gt;&lt;Cite&gt;&lt;Author&gt;Guo&lt;/Author&gt;&lt;Year&gt;2020&lt;/Year&gt;&lt;RecNum&gt;20906&lt;/RecNum&gt;&lt;DisplayText&gt;&lt;style face="superscript"&gt;43&lt;/style&gt;&lt;/DisplayText&gt;&lt;record&gt;&lt;rec-number&gt;20906&lt;/rec-number&gt;&lt;foreign-keys&gt;&lt;key app="EN" db-id="f5fv5a2shx52dqesxzmpffeqzt5ffxae2vev" timestamp="1607902553"&gt;20906&lt;/key&gt;&lt;/foreign-keys&gt;&lt;ref-type name="Journal Article"&gt;17&lt;/ref-type&gt;&lt;contributors&gt;&lt;authors&gt;&lt;author&gt;Guo, Runzhi&lt;/author&gt;&lt;author&gt;Zhang, Liwen&lt;/author&gt;&lt;author&gt;Hu, Menglong&lt;/author&gt;&lt;author&gt;Huang, Yiping&lt;/author&gt;&lt;author&gt;Li, Weiran&lt;/author&gt;&lt;/authors&gt;&lt;/contributors&gt;&lt;titles&gt;&lt;title&gt;Alveolar bone changes in maxillary and mandibular anterior teeth during orthodontic treatment: A systematic review and meta‐analysis&lt;/title&gt;&lt;secondary-title&gt;Orthodontics &amp;amp; Craniofacial Research&lt;/secondary-title&gt;&lt;/titles&gt;&lt;periodical&gt;&lt;full-title&gt;Orthod Craniofac Res&lt;/full-title&gt;&lt;abbr-1&gt;Orthodontics &amp;amp; craniofacial research&lt;/abbr-1&gt;&lt;/periodical&gt;&lt;dates&gt;&lt;year&gt;2020&lt;/year&gt;&lt;/dates&gt;&lt;isbn&gt;1601-6335&lt;/isbn&gt;&lt;urls&gt;&lt;/urls&gt;&lt;/record&gt;&lt;/Cite&gt;&lt;/EndNote&gt;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43</w:t>
            </w:r>
            <w:r w:rsidR="0008652B" w:rsidRPr="005C470C">
              <w:rPr>
                <w:rFonts w:ascii="Times New Roman" w:eastAsia="Times New Roman" w:hAnsi="Times New Roman" w:cs="Times New Roman"/>
                <w:sz w:val="20"/>
                <w:szCs w:val="20"/>
                <w:lang w:eastAsia="pt-BR"/>
              </w:rPr>
              <w:fldChar w:fldCharType="end"/>
            </w:r>
          </w:p>
          <w:p w14:paraId="13602864" w14:textId="08CD9EB6"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China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3D1A1E7F" w14:textId="7777777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Orthodontics &amp; craniofacial research</w:t>
            </w:r>
          </w:p>
          <w:p w14:paraId="6AFA4909" w14:textId="2E10B9D1" w:rsidR="006226A8"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lastRenderedPageBreak/>
              <w:t>(1.455)</w:t>
            </w:r>
          </w:p>
        </w:tc>
        <w:tc>
          <w:tcPr>
            <w:tcW w:w="1418" w:type="dxa"/>
            <w:shd w:val="clear" w:color="auto" w:fill="auto"/>
            <w:vAlign w:val="center"/>
            <w:hideMark/>
          </w:tcPr>
          <w:p w14:paraId="1ED0CDC4"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Orthodontics and Dentofacial Orthopedics</w:t>
            </w:r>
          </w:p>
        </w:tc>
        <w:tc>
          <w:tcPr>
            <w:tcW w:w="1275" w:type="dxa"/>
            <w:shd w:val="clear" w:color="auto" w:fill="auto"/>
            <w:vAlign w:val="center"/>
            <w:hideMark/>
          </w:tcPr>
          <w:p w14:paraId="4B729678" w14:textId="128BFA98"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 xml:space="preserve">evaluate alveolar bone changes during labial movement of </w:t>
            </w:r>
            <w:r w:rsidR="006226A8" w:rsidRPr="005C470C">
              <w:rPr>
                <w:rFonts w:ascii="Times New Roman" w:eastAsia="Times New Roman" w:hAnsi="Times New Roman" w:cs="Times New Roman"/>
                <w:sz w:val="20"/>
                <w:szCs w:val="20"/>
                <w:lang w:val="en-US" w:eastAsia="pt-BR"/>
              </w:rPr>
              <w:lastRenderedPageBreak/>
              <w:t>anterior teeth for non-extraction treatment and the lingual movement of anterior teeth for extraction treatment; and to analy</w:t>
            </w:r>
            <w:r w:rsidR="00DF561E" w:rsidRPr="005C470C">
              <w:rPr>
                <w:rFonts w:ascii="Times New Roman" w:eastAsia="Times New Roman" w:hAnsi="Times New Roman" w:cs="Times New Roman"/>
                <w:sz w:val="20"/>
                <w:szCs w:val="20"/>
                <w:lang w:val="en-US" w:eastAsia="pt-BR"/>
              </w:rPr>
              <w:t>z</w:t>
            </w:r>
            <w:r w:rsidR="006226A8" w:rsidRPr="005C470C">
              <w:rPr>
                <w:rFonts w:ascii="Times New Roman" w:eastAsia="Times New Roman" w:hAnsi="Times New Roman" w:cs="Times New Roman"/>
                <w:sz w:val="20"/>
                <w:szCs w:val="20"/>
                <w:lang w:val="en-US" w:eastAsia="pt-BR"/>
              </w:rPr>
              <w:t>e alveolar bone changes in skeletal class III patients and periodontitis patients during orthodontic treatment</w:t>
            </w:r>
          </w:p>
        </w:tc>
        <w:tc>
          <w:tcPr>
            <w:tcW w:w="1134" w:type="dxa"/>
            <w:shd w:val="clear" w:color="auto" w:fill="auto"/>
            <w:vAlign w:val="center"/>
            <w:hideMark/>
          </w:tcPr>
          <w:p w14:paraId="06035144"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Orthodontic patients with permanent dentition </w:t>
            </w:r>
            <w:r w:rsidRPr="005C470C">
              <w:rPr>
                <w:rFonts w:ascii="Times New Roman" w:eastAsia="Times New Roman" w:hAnsi="Times New Roman" w:cs="Times New Roman"/>
                <w:color w:val="000000"/>
                <w:sz w:val="20"/>
                <w:szCs w:val="20"/>
                <w:lang w:val="en-US" w:eastAsia="pt-BR"/>
              </w:rPr>
              <w:lastRenderedPageBreak/>
              <w:t>who were treated with a fixed appliance</w:t>
            </w:r>
          </w:p>
        </w:tc>
        <w:tc>
          <w:tcPr>
            <w:tcW w:w="1276" w:type="dxa"/>
            <w:shd w:val="clear" w:color="auto" w:fill="auto"/>
            <w:vAlign w:val="center"/>
            <w:hideMark/>
          </w:tcPr>
          <w:p w14:paraId="48513EBF" w14:textId="068F4725"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Treated </w:t>
            </w:r>
            <w:r w:rsidR="006226A8" w:rsidRPr="005C470C">
              <w:rPr>
                <w:rFonts w:ascii="Times New Roman" w:eastAsia="Times New Roman" w:hAnsi="Times New Roman" w:cs="Times New Roman"/>
                <w:color w:val="000000"/>
                <w:sz w:val="20"/>
                <w:szCs w:val="20"/>
                <w:lang w:val="en-US" w:eastAsia="pt-BR"/>
              </w:rPr>
              <w:t xml:space="preserve">with full-mouth brackets (post-treatment </w:t>
            </w:r>
            <w:r w:rsidR="006226A8" w:rsidRPr="005C470C">
              <w:rPr>
                <w:rFonts w:ascii="Times New Roman" w:eastAsia="Times New Roman" w:hAnsi="Times New Roman" w:cs="Times New Roman"/>
                <w:color w:val="000000"/>
                <w:sz w:val="20"/>
                <w:szCs w:val="20"/>
                <w:lang w:val="en-US" w:eastAsia="pt-BR"/>
              </w:rPr>
              <w:lastRenderedPageBreak/>
              <w:t>alveolar bone level)</w:t>
            </w:r>
          </w:p>
        </w:tc>
        <w:tc>
          <w:tcPr>
            <w:tcW w:w="1418" w:type="dxa"/>
            <w:shd w:val="clear" w:color="auto" w:fill="auto"/>
            <w:vAlign w:val="center"/>
            <w:hideMark/>
          </w:tcPr>
          <w:p w14:paraId="6FE10332" w14:textId="1868011E"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lastRenderedPageBreak/>
              <w:t>Pre</w:t>
            </w:r>
            <w:r w:rsidR="006226A8" w:rsidRPr="005C470C">
              <w:rPr>
                <w:rFonts w:ascii="Times New Roman" w:eastAsia="Times New Roman" w:hAnsi="Times New Roman" w:cs="Times New Roman"/>
                <w:sz w:val="20"/>
                <w:szCs w:val="20"/>
                <w:lang w:val="en-US" w:eastAsia="pt-BR"/>
              </w:rPr>
              <w:t xml:space="preserve">-treatment alveolar bone level (self-controlled studies </w:t>
            </w:r>
            <w:r w:rsidR="006226A8" w:rsidRPr="005C470C">
              <w:rPr>
                <w:rFonts w:ascii="Times New Roman" w:eastAsia="Times New Roman" w:hAnsi="Times New Roman" w:cs="Times New Roman"/>
                <w:sz w:val="20"/>
                <w:szCs w:val="20"/>
                <w:lang w:val="en-US" w:eastAsia="pt-BR"/>
              </w:rPr>
              <w:lastRenderedPageBreak/>
              <w:t>assessing the alveolar bone level during orthodontic treatment)</w:t>
            </w:r>
          </w:p>
        </w:tc>
        <w:tc>
          <w:tcPr>
            <w:tcW w:w="1275" w:type="dxa"/>
            <w:shd w:val="clear" w:color="auto" w:fill="auto"/>
            <w:vAlign w:val="center"/>
            <w:hideMark/>
          </w:tcPr>
          <w:p w14:paraId="26447EE4" w14:textId="4354085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Changes in alveolar bone measurements in the anterior </w:t>
            </w:r>
            <w:r w:rsidRPr="005C470C">
              <w:rPr>
                <w:rFonts w:ascii="Times New Roman" w:eastAsia="Times New Roman" w:hAnsi="Times New Roman" w:cs="Times New Roman"/>
                <w:color w:val="000000"/>
                <w:sz w:val="20"/>
                <w:szCs w:val="20"/>
                <w:lang w:val="en-US" w:eastAsia="pt-BR"/>
              </w:rPr>
              <w:lastRenderedPageBreak/>
              <w:t>region of</w:t>
            </w:r>
            <w:r w:rsidR="00DF561E"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the maxilla and mandible</w:t>
            </w:r>
            <w:r w:rsidR="00A31C48" w:rsidRPr="005C470C">
              <w:rPr>
                <w:rFonts w:ascii="Times New Roman" w:eastAsia="Times New Roman" w:hAnsi="Times New Roman" w:cs="Times New Roman"/>
                <w:color w:val="000000"/>
                <w:sz w:val="20"/>
                <w:szCs w:val="20"/>
                <w:lang w:val="en-US" w:eastAsia="pt-BR"/>
              </w:rPr>
              <w:t xml:space="preserve"> </w:t>
            </w:r>
            <w:r w:rsidR="00DF561E"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alveolar bone height and thickness</w:t>
            </w:r>
            <w:r w:rsidR="00DF561E"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other bone measurements that reflect alveolar bone changes during orthodontic treatment</w:t>
            </w:r>
            <w:r w:rsidR="00B0457E">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2CC4AFB2"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RCTs (n=2) and nonrandomized studies (3 cohort </w:t>
            </w:r>
            <w:r w:rsidRPr="005C470C">
              <w:rPr>
                <w:rFonts w:ascii="Times New Roman" w:eastAsia="Times New Roman" w:hAnsi="Times New Roman" w:cs="Times New Roman"/>
                <w:color w:val="000000"/>
                <w:sz w:val="20"/>
                <w:szCs w:val="20"/>
                <w:lang w:val="en-US" w:eastAsia="pt-BR"/>
              </w:rPr>
              <w:lastRenderedPageBreak/>
              <w:t>studies and 21 self-controlled studies)</w:t>
            </w:r>
          </w:p>
        </w:tc>
        <w:tc>
          <w:tcPr>
            <w:tcW w:w="567" w:type="dxa"/>
            <w:shd w:val="clear" w:color="auto" w:fill="auto"/>
            <w:vAlign w:val="center"/>
            <w:hideMark/>
          </w:tcPr>
          <w:p w14:paraId="1095025A"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Y</w:t>
            </w:r>
          </w:p>
        </w:tc>
        <w:tc>
          <w:tcPr>
            <w:tcW w:w="1701" w:type="dxa"/>
            <w:shd w:val="clear" w:color="auto" w:fill="auto"/>
            <w:vAlign w:val="center"/>
            <w:hideMark/>
          </w:tcPr>
          <w:p w14:paraId="3F88037F" w14:textId="53D1DFC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Alveolar bone height and thickness, especially at the cervical level, </w:t>
            </w:r>
            <w:r w:rsidRPr="005C470C">
              <w:rPr>
                <w:rFonts w:ascii="Times New Roman" w:eastAsia="Times New Roman" w:hAnsi="Times New Roman" w:cs="Times New Roman"/>
                <w:color w:val="000000"/>
                <w:sz w:val="20"/>
                <w:szCs w:val="20"/>
                <w:lang w:val="en-US" w:eastAsia="pt-BR"/>
              </w:rPr>
              <w:lastRenderedPageBreak/>
              <w:t xml:space="preserve">decreased during both labial and lingual movement of anterior teeth; </w:t>
            </w:r>
            <w:r w:rsidR="00A31C48" w:rsidRPr="005C470C">
              <w:rPr>
                <w:rFonts w:ascii="Times New Roman" w:eastAsia="Times New Roman" w:hAnsi="Times New Roman" w:cs="Times New Roman"/>
                <w:color w:val="000000"/>
                <w:sz w:val="20"/>
                <w:szCs w:val="20"/>
                <w:lang w:val="en-US" w:eastAsia="pt-BR"/>
              </w:rPr>
              <w:t>E</w:t>
            </w:r>
            <w:r w:rsidRPr="005C470C">
              <w:rPr>
                <w:rFonts w:ascii="Times New Roman" w:eastAsia="Times New Roman" w:hAnsi="Times New Roman" w:cs="Times New Roman"/>
                <w:color w:val="000000"/>
                <w:sz w:val="20"/>
                <w:szCs w:val="20"/>
                <w:lang w:val="en-US" w:eastAsia="pt-BR"/>
              </w:rPr>
              <w:t>xtraction cases</w:t>
            </w:r>
            <w:r w:rsidR="00A31C4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bone remodeling is not stable after retraction; </w:t>
            </w:r>
            <w:r w:rsidR="00A31C48" w:rsidRPr="005C470C">
              <w:rPr>
                <w:rFonts w:ascii="Times New Roman" w:eastAsia="Times New Roman" w:hAnsi="Times New Roman" w:cs="Times New Roman"/>
                <w:color w:val="000000"/>
                <w:sz w:val="20"/>
                <w:szCs w:val="20"/>
                <w:lang w:val="en-US" w:eastAsia="pt-BR"/>
              </w:rPr>
              <w:t>N</w:t>
            </w:r>
            <w:r w:rsidRPr="005C470C">
              <w:rPr>
                <w:rFonts w:ascii="Times New Roman" w:eastAsia="Times New Roman" w:hAnsi="Times New Roman" w:cs="Times New Roman"/>
                <w:color w:val="000000"/>
                <w:sz w:val="20"/>
                <w:szCs w:val="20"/>
                <w:lang w:val="en-US" w:eastAsia="pt-BR"/>
              </w:rPr>
              <w:t>on-extraction cases</w:t>
            </w:r>
            <w:r w:rsidR="00A31C4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maxillary canines and mandibular incisors showed a high risk of alveolar bone loss; Alveolar bone loss in mandibular incisors should be specially considered in skeletal class III patients; </w:t>
            </w:r>
            <w:r w:rsidR="00A31C48" w:rsidRPr="005C470C">
              <w:rPr>
                <w:rFonts w:ascii="Times New Roman" w:eastAsia="Times New Roman" w:hAnsi="Times New Roman" w:cs="Times New Roman"/>
                <w:color w:val="000000"/>
                <w:sz w:val="20"/>
                <w:szCs w:val="20"/>
                <w:lang w:val="en-US" w:eastAsia="pt-BR"/>
              </w:rPr>
              <w:t>P</w:t>
            </w:r>
            <w:r w:rsidRPr="005C470C">
              <w:rPr>
                <w:rFonts w:ascii="Times New Roman" w:eastAsia="Times New Roman" w:hAnsi="Times New Roman" w:cs="Times New Roman"/>
                <w:color w:val="000000"/>
                <w:sz w:val="20"/>
                <w:szCs w:val="20"/>
                <w:lang w:val="en-US" w:eastAsia="pt-BR"/>
              </w:rPr>
              <w:t>atients with periodontitis</w:t>
            </w:r>
            <w:r w:rsidR="00A31C48"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alveolar bone changes were small and low risk</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FFAFFF1" w14:textId="7DC042D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DF561E" w:rsidRPr="005C470C">
              <w:rPr>
                <w:rFonts w:ascii="Times New Roman" w:eastAsia="Times New Roman" w:hAnsi="Times New Roman" w:cs="Times New Roman"/>
                <w:color w:val="000000"/>
                <w:sz w:val="20"/>
                <w:szCs w:val="20"/>
                <w:lang w:val="en-US" w:eastAsia="pt-BR"/>
              </w:rPr>
              <w:t xml:space="preserve"> - Based on limited evidence, these results should be interpreted </w:t>
            </w:r>
            <w:r w:rsidR="00DF561E" w:rsidRPr="005C470C">
              <w:rPr>
                <w:rFonts w:ascii="Times New Roman" w:eastAsia="Times New Roman" w:hAnsi="Times New Roman" w:cs="Times New Roman"/>
                <w:color w:val="000000"/>
                <w:sz w:val="20"/>
                <w:szCs w:val="20"/>
                <w:lang w:val="en-US" w:eastAsia="pt-BR"/>
              </w:rPr>
              <w:lastRenderedPageBreak/>
              <w:t>with caution and evaluated with further high-quality studies with long-term observation</w:t>
            </w:r>
            <w:r w:rsidR="00B0457E">
              <w:rPr>
                <w:rFonts w:ascii="Times New Roman" w:eastAsia="Times New Roman" w:hAnsi="Times New Roman" w:cs="Times New Roman"/>
                <w:color w:val="000000"/>
                <w:sz w:val="20"/>
                <w:szCs w:val="20"/>
                <w:lang w:val="en-US" w:eastAsia="pt-BR"/>
              </w:rPr>
              <w:t>.</w:t>
            </w:r>
          </w:p>
        </w:tc>
      </w:tr>
      <w:tr w:rsidR="002914BB" w:rsidRPr="00114AF5" w14:paraId="74BED357" w14:textId="77777777" w:rsidTr="00114AF5">
        <w:trPr>
          <w:trHeight w:val="4248"/>
        </w:trPr>
        <w:tc>
          <w:tcPr>
            <w:tcW w:w="1135" w:type="dxa"/>
            <w:shd w:val="clear" w:color="auto" w:fill="auto"/>
            <w:vAlign w:val="center"/>
            <w:hideMark/>
          </w:tcPr>
          <w:p w14:paraId="482D4A48"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lastRenderedPageBreak/>
              <w:t>Hadj-Hamou et al, 2020</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&lt;EndNote&gt;&lt;Cite&gt;&lt;Author&gt;Hadj-Hamou&lt;/Author&gt;&lt;Year&gt;2020&lt;/Year&gt;&lt;RecNum&gt;20905&lt;/RecNum&gt;&lt;DisplayText&gt;&lt;style face="superscript"&gt;44&lt;/style&gt;&lt;/DisplayText&gt;&lt;record&gt;&lt;rec-number&gt;20905&lt;/rec-number&gt;&lt;foreign-keys&gt;&lt;key app="EN" db-id="f5fv5a2shx52dqesxzmpffeqzt5ffxae2vev" timestamp="1607902553"&gt;20905&lt;/key&gt;&lt;/foreign-keys&gt;&lt;ref-type name="Journal Article"&gt;17&lt;/ref-type&gt;&lt;contributors&gt;&lt;authors&gt;&lt;author&gt;Hadj-Hamou, Riham&lt;/author&gt;&lt;author&gt;Senok, Abiola C&lt;/author&gt;&lt;author&gt;Athanasiou, Athanasios E&lt;/author&gt;&lt;author&gt;Kaklamanos, Eleftherios G&lt;/author&gt;&lt;/authors&gt;&lt;/contributors&gt;&lt;titles&gt;&lt;title&gt;Do probiotics promote oral health during orthodontic treatment with fixed appliances? A systematic review&lt;/title&gt;&lt;secondary-title&gt;BMC Oral Health&lt;/secondary-title&gt;&lt;/titles&gt;&lt;periodical&gt;&lt;full-title&gt;BMC Oral Health&lt;/full-title&gt;&lt;abbr-1&gt;BMC oral health&lt;/abbr-1&gt;&lt;/periodical&gt;&lt;pages&gt;1-9&lt;/pages&gt;&lt;volume&gt;20&lt;/volume&gt;&lt;dates&gt;&lt;year&gt;2020&lt;/year&gt;&lt;/dates&gt;&lt;urls&gt;&lt;/urls&gt;&lt;/record&gt;&lt;/Cite&gt;&lt;/EndNote&gt;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44</w:t>
            </w:r>
            <w:r w:rsidR="0008652B" w:rsidRPr="005C470C">
              <w:rPr>
                <w:rFonts w:ascii="Times New Roman" w:eastAsia="Times New Roman" w:hAnsi="Times New Roman" w:cs="Times New Roman"/>
                <w:sz w:val="20"/>
                <w:szCs w:val="20"/>
                <w:lang w:val="en-US" w:eastAsia="pt-BR"/>
              </w:rPr>
              <w:fldChar w:fldCharType="end"/>
            </w:r>
          </w:p>
          <w:p w14:paraId="2FCD12FF" w14:textId="65407144" w:rsidR="00C53143" w:rsidRPr="005C470C" w:rsidRDefault="00C53143" w:rsidP="006226A8">
            <w:pP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t>
            </w:r>
            <w:r w:rsidRPr="00BC17DB">
              <w:rPr>
                <w:rFonts w:ascii="Times New Roman" w:eastAsia="Times New Roman" w:hAnsi="Times New Roman" w:cs="Times New Roman"/>
                <w:sz w:val="20"/>
                <w:szCs w:val="20"/>
                <w:lang w:val="en-US" w:eastAsia="pt-BR"/>
              </w:rPr>
              <w:t>United Arab Emirates)</w:t>
            </w:r>
          </w:p>
        </w:tc>
        <w:tc>
          <w:tcPr>
            <w:tcW w:w="992" w:type="dxa"/>
            <w:shd w:val="clear" w:color="auto" w:fill="auto"/>
            <w:vAlign w:val="center"/>
            <w:hideMark/>
          </w:tcPr>
          <w:p w14:paraId="441DB94A"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BMC oral health</w:t>
            </w:r>
          </w:p>
          <w:p w14:paraId="695E8B57" w14:textId="7D47E7E2"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(1.911)</w:t>
            </w:r>
          </w:p>
        </w:tc>
        <w:tc>
          <w:tcPr>
            <w:tcW w:w="1418" w:type="dxa"/>
            <w:shd w:val="clear" w:color="auto" w:fill="auto"/>
            <w:vAlign w:val="center"/>
            <w:hideMark/>
          </w:tcPr>
          <w:p w14:paraId="6B14661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089E5AC1" w14:textId="784DA34B"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investigate the effects of probiotic use on inflammation of the gingival tissues and </w:t>
            </w:r>
            <w:r w:rsidR="006226A8" w:rsidRPr="005C470C">
              <w:rPr>
                <w:rFonts w:ascii="Times New Roman" w:eastAsia="Times New Roman" w:hAnsi="Times New Roman" w:cs="Times New Roman"/>
                <w:sz w:val="20"/>
                <w:szCs w:val="20"/>
                <w:lang w:val="en-US" w:eastAsia="pt-BR"/>
              </w:rPr>
              <w:t>the decalcification of the enamel in patients being treated with fixed orthodontic appliances</w:t>
            </w:r>
          </w:p>
        </w:tc>
        <w:tc>
          <w:tcPr>
            <w:tcW w:w="1134" w:type="dxa"/>
            <w:shd w:val="clear" w:color="auto" w:fill="auto"/>
            <w:vAlign w:val="center"/>
            <w:hideMark/>
          </w:tcPr>
          <w:p w14:paraId="3E0C4719" w14:textId="6DE4A15B"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Healt</w:t>
            </w:r>
            <w:r w:rsidR="006226A8" w:rsidRPr="005C470C">
              <w:rPr>
                <w:rFonts w:ascii="Times New Roman" w:eastAsia="Times New Roman" w:hAnsi="Times New Roman" w:cs="Times New Roman"/>
                <w:color w:val="000000"/>
                <w:sz w:val="20"/>
                <w:szCs w:val="20"/>
                <w:lang w:eastAsia="pt-BR"/>
              </w:rPr>
              <w:t>hy orthodontic patients</w:t>
            </w:r>
          </w:p>
        </w:tc>
        <w:tc>
          <w:tcPr>
            <w:tcW w:w="1276" w:type="dxa"/>
            <w:shd w:val="clear" w:color="auto" w:fill="auto"/>
            <w:vAlign w:val="center"/>
            <w:hideMark/>
          </w:tcPr>
          <w:p w14:paraId="781071A1" w14:textId="15BDD10F"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Probiotics of any type</w:t>
            </w:r>
          </w:p>
        </w:tc>
        <w:tc>
          <w:tcPr>
            <w:tcW w:w="1418" w:type="dxa"/>
            <w:shd w:val="clear" w:color="auto" w:fill="auto"/>
            <w:vAlign w:val="center"/>
            <w:hideMark/>
          </w:tcPr>
          <w:p w14:paraId="29E42EBE" w14:textId="4D89C5A1"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Placebo or no intervention at all</w:t>
            </w:r>
          </w:p>
        </w:tc>
        <w:tc>
          <w:tcPr>
            <w:tcW w:w="1275" w:type="dxa"/>
            <w:shd w:val="clear" w:color="auto" w:fill="auto"/>
            <w:vAlign w:val="center"/>
            <w:hideMark/>
          </w:tcPr>
          <w:p w14:paraId="31E1EF3D" w14:textId="09D05DD4"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Clinical </w:t>
            </w:r>
            <w:r w:rsidR="006226A8" w:rsidRPr="005C470C">
              <w:rPr>
                <w:rFonts w:ascii="Times New Roman" w:eastAsia="Times New Roman" w:hAnsi="Times New Roman" w:cs="Times New Roman"/>
                <w:color w:val="000000"/>
                <w:sz w:val="20"/>
                <w:szCs w:val="20"/>
                <w:lang w:val="en-US" w:eastAsia="pt-BR"/>
              </w:rPr>
              <w:t>measurements on gingival inflammation and enamel demineralization development; Person reported outcomes (preferences, experiences, quality of life, satisfaction, etc.), as well as adverse effects and economic evaluation data</w:t>
            </w:r>
            <w:r w:rsidR="00B0457E">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43A3C430"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(n=4)</w:t>
            </w:r>
          </w:p>
        </w:tc>
        <w:tc>
          <w:tcPr>
            <w:tcW w:w="567" w:type="dxa"/>
            <w:shd w:val="clear" w:color="auto" w:fill="auto"/>
            <w:vAlign w:val="center"/>
            <w:hideMark/>
          </w:tcPr>
          <w:p w14:paraId="7CAA34C8"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28B7EA92" w14:textId="35824722" w:rsidR="006226A8" w:rsidRPr="005C470C" w:rsidRDefault="00DF561E"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w:t>
            </w:r>
            <w:r w:rsidR="006226A8" w:rsidRPr="005C470C">
              <w:rPr>
                <w:rFonts w:ascii="Times New Roman" w:eastAsia="Times New Roman" w:hAnsi="Times New Roman" w:cs="Times New Roman"/>
                <w:color w:val="000000"/>
                <w:sz w:val="20"/>
                <w:szCs w:val="20"/>
                <w:lang w:val="en-US" w:eastAsia="pt-BR"/>
              </w:rPr>
              <w:t>robiotic administration does not seem to have an effect on the gingival inflammation and enamel decalcification development in patients under treatment with fixed orthodontic appliances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2AEBE14" w14:textId="61EFB08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DF561E" w:rsidRPr="005C470C">
              <w:rPr>
                <w:rFonts w:ascii="Times New Roman" w:eastAsia="Times New Roman" w:hAnsi="Times New Roman" w:cs="Times New Roman"/>
                <w:color w:val="000000"/>
                <w:sz w:val="20"/>
                <w:szCs w:val="20"/>
                <w:lang w:val="en-US" w:eastAsia="pt-BR"/>
              </w:rPr>
              <w:t xml:space="preserve"> - Further RCTs with particular focus on controlling the various possible sources of data, involving different combinations of probiotic strains and of longer duration of intervention and follow-up are required</w:t>
            </w:r>
            <w:r w:rsidR="00B0457E">
              <w:rPr>
                <w:rFonts w:ascii="Times New Roman" w:eastAsia="Times New Roman" w:hAnsi="Times New Roman" w:cs="Times New Roman"/>
                <w:color w:val="000000"/>
                <w:sz w:val="20"/>
                <w:szCs w:val="20"/>
                <w:lang w:val="en-US" w:eastAsia="pt-BR"/>
              </w:rPr>
              <w:t>.</w:t>
            </w:r>
          </w:p>
        </w:tc>
      </w:tr>
      <w:tr w:rsidR="00F439CD" w:rsidRPr="00114AF5" w14:paraId="49EF890A" w14:textId="77777777" w:rsidTr="00114AF5">
        <w:trPr>
          <w:trHeight w:val="3811"/>
        </w:trPr>
        <w:tc>
          <w:tcPr>
            <w:tcW w:w="1135" w:type="dxa"/>
            <w:shd w:val="clear" w:color="auto" w:fill="auto"/>
            <w:vAlign w:val="center"/>
            <w:hideMark/>
          </w:tcPr>
          <w:p w14:paraId="316FCA92"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lastRenderedPageBreak/>
              <w:t>Hoyle, Patel and Benson, 2019</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&lt;EndNote&gt;&lt;Cite&gt;&lt;Author&gt;Hoyle&lt;/Author&gt;&lt;Year&gt;2019&lt;/Year&gt;&lt;RecNum&gt;20911&lt;/RecNum&gt;&lt;DisplayText&gt;&lt;style face="superscript"&gt;45&lt;/style&gt;&lt;/DisplayText&gt;&lt;record&gt;&lt;rec-number&gt;20911&lt;/rec-number&gt;&lt;foreign-keys&gt;&lt;key app="EN" db-id="f5fv5a2shx52dqesxzmpffeqzt5ffxae2vev" timestamp="1607902553"&gt;20911&lt;/key&gt;&lt;/foreign-keys&gt;&lt;ref-type name="Journal Article"&gt;17&lt;/ref-type&gt;&lt;contributors&gt;&lt;authors&gt;&lt;author&gt;Hoyle, P&lt;/author&gt;&lt;author&gt;Patel, K&lt;/author&gt;&lt;author&gt;Benson, PE&lt;/author&gt;&lt;/authors&gt;&lt;/contributors&gt;&lt;titles&gt;&lt;title&gt;Does replacement of missing dental units with resin-retained bridges improve oral health-related quality of life?: A systematic review&lt;/title&gt;&lt;secondary-title&gt;Journal of dentistry&lt;/secondary-title&gt;&lt;/titles&gt;&lt;periodical&gt;&lt;full-title&gt;J Dent&lt;/full-title&gt;&lt;abbr-1&gt;Journal of dentistry&lt;/abbr-1&gt;&lt;/periodical&gt;&lt;pages&gt;103209&lt;/pages&gt;&lt;volume&gt;91&lt;/volume&gt;&lt;dates&gt;&lt;year&gt;2019&lt;/year&gt;&lt;/dates&gt;&lt;isbn&gt;0300-5712&lt;/isbn&gt;&lt;urls&gt;&lt;/urls&gt;&lt;/record&gt;&lt;/Cite&gt;&lt;/EndNote&gt;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45</w:t>
            </w:r>
            <w:r w:rsidR="0008652B" w:rsidRPr="005C470C">
              <w:rPr>
                <w:rFonts w:ascii="Times New Roman" w:eastAsia="Times New Roman" w:hAnsi="Times New Roman" w:cs="Times New Roman"/>
                <w:sz w:val="20"/>
                <w:szCs w:val="20"/>
                <w:lang w:val="en-US" w:eastAsia="pt-BR"/>
              </w:rPr>
              <w:fldChar w:fldCharType="end"/>
            </w:r>
          </w:p>
          <w:p w14:paraId="57BE94C9" w14:textId="03507F3F" w:rsidR="00C53143" w:rsidRPr="005C470C" w:rsidRDefault="00C53143" w:rsidP="006226A8">
            <w:pP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t>
            </w:r>
            <w:r w:rsidRPr="00BC17DB">
              <w:rPr>
                <w:rFonts w:ascii="Times New Roman" w:eastAsia="Times New Roman" w:hAnsi="Times New Roman" w:cs="Times New Roman"/>
                <w:sz w:val="20"/>
                <w:szCs w:val="20"/>
                <w:lang w:val="en-US" w:eastAsia="pt-BR"/>
              </w:rPr>
              <w:t>United Kingdom)</w:t>
            </w:r>
          </w:p>
        </w:tc>
        <w:tc>
          <w:tcPr>
            <w:tcW w:w="992" w:type="dxa"/>
            <w:shd w:val="clear" w:color="auto" w:fill="auto"/>
            <w:vAlign w:val="center"/>
            <w:hideMark/>
          </w:tcPr>
          <w:p w14:paraId="03531FFA"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dentistry</w:t>
            </w:r>
          </w:p>
          <w:p w14:paraId="455EB750" w14:textId="2A40D96F"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(3.242)</w:t>
            </w:r>
          </w:p>
        </w:tc>
        <w:tc>
          <w:tcPr>
            <w:tcW w:w="1418" w:type="dxa"/>
            <w:shd w:val="clear" w:color="auto" w:fill="auto"/>
            <w:vAlign w:val="center"/>
            <w:hideMark/>
          </w:tcPr>
          <w:p w14:paraId="5DAB5F2A"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126EA5B4" w14:textId="05974B1E"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"Does placement of a 2-unit cantilever resin-retained bridges (RRB) to replace a missing dental unit improve oral health-related quality of life (OHRQoL) in patients over 18</w:t>
            </w:r>
            <w:r w:rsidR="00434FEC" w:rsidRPr="005C470C">
              <w:rPr>
                <w:rFonts w:ascii="Times New Roman" w:eastAsia="Times New Roman" w:hAnsi="Times New Roman" w:cs="Times New Roman"/>
                <w:sz w:val="20"/>
                <w:szCs w:val="20"/>
                <w:lang w:val="en-US" w:eastAsia="pt-BR"/>
              </w:rPr>
              <w:t>y</w:t>
            </w:r>
            <w:r w:rsidRPr="005C470C">
              <w:rPr>
                <w:rFonts w:ascii="Times New Roman" w:eastAsia="Times New Roman" w:hAnsi="Times New Roman" w:cs="Times New Roman"/>
                <w:sz w:val="20"/>
                <w:szCs w:val="20"/>
                <w:lang w:val="en-US" w:eastAsia="pt-BR"/>
              </w:rPr>
              <w:t xml:space="preserve"> old?" and "Are there any differences in OHRQoL between different methods of replacing missing teeth?"</w:t>
            </w:r>
          </w:p>
        </w:tc>
        <w:tc>
          <w:tcPr>
            <w:tcW w:w="1134" w:type="dxa"/>
            <w:shd w:val="clear" w:color="auto" w:fill="auto"/>
            <w:vAlign w:val="center"/>
            <w:hideMark/>
          </w:tcPr>
          <w:p w14:paraId="39D79CE5" w14:textId="3A384E55" w:rsidR="006226A8" w:rsidRPr="005C470C" w:rsidRDefault="00DB3364"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Adults</w:t>
            </w:r>
            <w:r w:rsidR="006226A8" w:rsidRPr="005C470C">
              <w:rPr>
                <w:rFonts w:ascii="Times New Roman" w:eastAsia="Times New Roman" w:hAnsi="Times New Roman" w:cs="Times New Roman"/>
                <w:color w:val="000000"/>
                <w:sz w:val="20"/>
                <w:szCs w:val="20"/>
                <w:lang w:val="en-US" w:eastAsia="pt-BR"/>
              </w:rPr>
              <w:t xml:space="preserve"> who had at least one appropriately sized space either in their maxillary or mandibular dental arch, which could be prosthodontically rehabilitated with a RRB</w:t>
            </w:r>
          </w:p>
        </w:tc>
        <w:tc>
          <w:tcPr>
            <w:tcW w:w="1276" w:type="dxa"/>
            <w:shd w:val="clear" w:color="auto" w:fill="auto"/>
            <w:vAlign w:val="center"/>
            <w:hideMark/>
          </w:tcPr>
          <w:p w14:paraId="1FAAC101" w14:textId="5C1CB30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Any study where participants, or at least a</w:t>
            </w:r>
            <w:r w:rsidR="00DF561E"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subgroup of participants, had received 2-unit cantilever RRBs</w:t>
            </w:r>
          </w:p>
        </w:tc>
        <w:tc>
          <w:tcPr>
            <w:tcW w:w="1418" w:type="dxa"/>
            <w:shd w:val="clear" w:color="auto" w:fill="auto"/>
            <w:vAlign w:val="center"/>
            <w:hideMark/>
          </w:tcPr>
          <w:p w14:paraId="74BB0599" w14:textId="7826FD91"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No </w:t>
            </w:r>
            <w:r w:rsidR="006226A8" w:rsidRPr="005C470C">
              <w:rPr>
                <w:rFonts w:ascii="Times New Roman" w:eastAsia="Times New Roman" w:hAnsi="Times New Roman" w:cs="Times New Roman"/>
                <w:color w:val="000000"/>
                <w:sz w:val="20"/>
                <w:szCs w:val="20"/>
                <w:lang w:val="en-US" w:eastAsia="pt-BR"/>
              </w:rPr>
              <w:t>treatment or alternative prosthodontic replacements such as alternative designs of resin-bonded bridges, conventional bridges, implants or removable partial dentures</w:t>
            </w:r>
          </w:p>
        </w:tc>
        <w:tc>
          <w:tcPr>
            <w:tcW w:w="1275" w:type="dxa"/>
            <w:shd w:val="clear" w:color="auto" w:fill="auto"/>
            <w:vAlign w:val="center"/>
            <w:hideMark/>
          </w:tcPr>
          <w:p w14:paraId="45D2AE4D" w14:textId="6DF86465"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Validated </w:t>
            </w:r>
            <w:r w:rsidR="006226A8" w:rsidRPr="005C470C">
              <w:rPr>
                <w:rFonts w:ascii="Times New Roman" w:eastAsia="Times New Roman" w:hAnsi="Times New Roman" w:cs="Times New Roman"/>
                <w:color w:val="000000"/>
                <w:sz w:val="20"/>
                <w:szCs w:val="20"/>
                <w:lang w:val="en-US" w:eastAsia="pt-BR"/>
              </w:rPr>
              <w:t>outcome measures for OHRQoL, including, but not limited to the OHIP, the Geriatric Oral Health Assessment Index (GOHAI), Dental Impact on Daily Living (DIDL) and the UK OHQoL</w:t>
            </w:r>
            <w:r w:rsidR="00DB3364" w:rsidRPr="005C470C">
              <w:rPr>
                <w:rFonts w:ascii="Times New Roman" w:eastAsia="Times New Roman" w:hAnsi="Times New Roman" w:cs="Times New Roman"/>
                <w:color w:val="000000"/>
                <w:sz w:val="20"/>
                <w:szCs w:val="20"/>
                <w:lang w:val="en-US" w:eastAsia="pt-BR"/>
              </w:rPr>
              <w:t xml:space="preserve"> measure</w:t>
            </w:r>
          </w:p>
        </w:tc>
        <w:tc>
          <w:tcPr>
            <w:tcW w:w="1134" w:type="dxa"/>
            <w:shd w:val="clear" w:color="auto" w:fill="auto"/>
            <w:vAlign w:val="center"/>
            <w:hideMark/>
          </w:tcPr>
          <w:p w14:paraId="3E75933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Observational studies (n=2) and RCT (n=1)</w:t>
            </w:r>
          </w:p>
        </w:tc>
        <w:tc>
          <w:tcPr>
            <w:tcW w:w="567" w:type="dxa"/>
            <w:shd w:val="clear" w:color="auto" w:fill="auto"/>
            <w:vAlign w:val="center"/>
            <w:hideMark/>
          </w:tcPr>
          <w:p w14:paraId="3F9D9D9E"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1CB47ACF" w14:textId="19AC434B" w:rsidR="006226A8" w:rsidRPr="005C470C" w:rsidRDefault="008466C6"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are</w:t>
            </w:r>
            <w:r w:rsidR="006226A8" w:rsidRPr="005C470C">
              <w:rPr>
                <w:rFonts w:ascii="Times New Roman" w:eastAsia="Times New Roman" w:hAnsi="Times New Roman" w:cs="Times New Roman"/>
                <w:color w:val="000000"/>
                <w:sz w:val="20"/>
                <w:szCs w:val="20"/>
                <w:lang w:val="en-US" w:eastAsia="pt-BR"/>
              </w:rPr>
              <w:t xml:space="preserve"> some evidence that the provision of a 2-unit RRB significantly improves OHRQoL, regardless of the reason for the loss of the tooth and that the improvement is similar between different types of fixed restorations. However, the levels of</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certainty for these findings are low, as the number of studies is so small</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2D82AD2" w14:textId="009E4D5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8466C6" w:rsidRPr="005C470C">
              <w:rPr>
                <w:rFonts w:ascii="Times New Roman" w:eastAsia="Times New Roman" w:hAnsi="Times New Roman" w:cs="Times New Roman"/>
                <w:color w:val="000000"/>
                <w:sz w:val="20"/>
                <w:szCs w:val="20"/>
                <w:lang w:val="en-US" w:eastAsia="pt-BR"/>
              </w:rPr>
              <w:t xml:space="preserve"> - Further, well-designed prospective studies are required to make more definite conclusions, and to quantify any potential improvements in</w:t>
            </w:r>
            <w:r w:rsidR="008466C6" w:rsidRPr="005C470C">
              <w:rPr>
                <w:rFonts w:ascii="Times New Roman" w:eastAsia="Times New Roman" w:hAnsi="Times New Roman" w:cs="Times New Roman"/>
                <w:color w:val="000000"/>
                <w:sz w:val="20"/>
                <w:szCs w:val="20"/>
                <w:lang w:val="en-US" w:eastAsia="pt-BR"/>
              </w:rPr>
              <w:br/>
              <w:t>OHRQoL from provision of such restorations</w:t>
            </w:r>
            <w:r w:rsidR="00B0457E">
              <w:rPr>
                <w:rFonts w:ascii="Times New Roman" w:eastAsia="Times New Roman" w:hAnsi="Times New Roman" w:cs="Times New Roman"/>
                <w:color w:val="000000"/>
                <w:sz w:val="20"/>
                <w:szCs w:val="20"/>
                <w:lang w:val="en-US" w:eastAsia="pt-BR"/>
              </w:rPr>
              <w:t>.</w:t>
            </w:r>
          </w:p>
        </w:tc>
      </w:tr>
      <w:tr w:rsidR="00F439CD" w:rsidRPr="00114AF5" w14:paraId="592A46AF" w14:textId="77777777" w:rsidTr="00114AF5">
        <w:trPr>
          <w:trHeight w:val="20"/>
        </w:trPr>
        <w:tc>
          <w:tcPr>
            <w:tcW w:w="1135" w:type="dxa"/>
            <w:shd w:val="clear" w:color="auto" w:fill="auto"/>
            <w:vAlign w:val="center"/>
            <w:hideMark/>
          </w:tcPr>
          <w:p w14:paraId="33C762CF"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Ibrahim, Zakhary and Amin, 2020</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&lt;EndNote&gt;&lt;Cite&gt;&lt;Author&gt;Ibrahim&lt;/Author&gt;&lt;Year&gt;2020&lt;/Year&gt;&lt;RecNum&gt;20904&lt;/RecNum&gt;&lt;DisplayText&gt;&lt;style face="superscript"&gt;46&lt;/style&gt;&lt;/DisplayText&gt;&lt;record&gt;&lt;rec-number&gt;20904&lt;/rec-number&gt;&lt;foreign-keys&gt;&lt;key app="EN" db-id="f5fv5a2shx52dqesxzmpffeqzt5ffxae2vev" timestamp="1607902553"&gt;20904&lt;/key&gt;&lt;/foreign-keys&gt;&lt;ref-type name="Journal Article"&gt;17&lt;/ref-type&gt;&lt;contributors&gt;&lt;authors&gt;&lt;author&gt;Ibrahim, Ahmed Mohamed&lt;/author&gt;&lt;author&gt;Zakhary, Siza Yacoub&lt;/author&gt;&lt;author&gt;Amin, Suzan Abdul Wanees&lt;/author&gt;&lt;/authors&gt;&lt;/contributors&gt;&lt;titles&gt;&lt;title&gt;Calcium hydroxide intracanal medication effects on pain and flare-up: a systematic review and meta-analysis&lt;/title&gt;&lt;secondary-title&gt;Restorative Dentistry &amp;amp; Endodontics&lt;/secondary-title&gt;&lt;/titles&gt;&lt;periodical&gt;&lt;full-title&gt;Restorative Dentistry &amp;amp; Endodontics&lt;/full-title&gt;&lt;/periodical&gt;&lt;volume&gt;45&lt;/volume&gt;&lt;number&gt;3&lt;/number&gt;&lt;dates&gt;&lt;year&gt;2020&lt;/year&gt;&lt;/dates&gt;&lt;urls&gt;&lt;/urls&gt;&lt;/record&gt;&lt;/Cite&gt;&lt;/EndNote&gt;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46</w:t>
            </w:r>
            <w:r w:rsidR="0008652B" w:rsidRPr="005C470C">
              <w:rPr>
                <w:rFonts w:ascii="Times New Roman" w:eastAsia="Times New Roman" w:hAnsi="Times New Roman" w:cs="Times New Roman"/>
                <w:sz w:val="20"/>
                <w:szCs w:val="20"/>
                <w:lang w:val="en-US" w:eastAsia="pt-BR"/>
              </w:rPr>
              <w:fldChar w:fldCharType="end"/>
            </w:r>
          </w:p>
          <w:p w14:paraId="05691ACE" w14:textId="351430C6" w:rsidR="00C53143" w:rsidRPr="005C470C" w:rsidRDefault="00C53143" w:rsidP="006226A8">
            <w:pP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t>
            </w:r>
            <w:r w:rsidRPr="00BC17DB">
              <w:rPr>
                <w:rFonts w:ascii="Times New Roman" w:eastAsia="Times New Roman" w:hAnsi="Times New Roman" w:cs="Times New Roman"/>
                <w:sz w:val="20"/>
                <w:szCs w:val="20"/>
                <w:lang w:val="en-US" w:eastAsia="pt-BR"/>
              </w:rPr>
              <w:t>Egypt)</w:t>
            </w:r>
          </w:p>
        </w:tc>
        <w:tc>
          <w:tcPr>
            <w:tcW w:w="992" w:type="dxa"/>
            <w:shd w:val="clear" w:color="auto" w:fill="auto"/>
            <w:vAlign w:val="center"/>
            <w:hideMark/>
          </w:tcPr>
          <w:p w14:paraId="371404F8"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Restorative Dentistry &amp; Endodontics</w:t>
            </w:r>
          </w:p>
          <w:p w14:paraId="2C35FFF8" w14:textId="0B4FF1D0"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w:t>
            </w:r>
            <w:r w:rsidR="00EF5009">
              <w:rPr>
                <w:rFonts w:ascii="Times New Roman" w:eastAsia="Times New Roman" w:hAnsi="Times New Roman" w:cs="Times New Roman"/>
                <w:sz w:val="20"/>
                <w:szCs w:val="20"/>
                <w:lang w:eastAsia="pt-BR"/>
              </w:rPr>
              <w:t>NR</w:t>
            </w:r>
            <w:r w:rsidRPr="00C53143">
              <w:rPr>
                <w:rFonts w:ascii="Times New Roman" w:eastAsia="Times New Roman" w:hAnsi="Times New Roman" w:cs="Times New Roman"/>
                <w:sz w:val="20"/>
                <w:szCs w:val="20"/>
                <w:lang w:eastAsia="pt-BR"/>
              </w:rPr>
              <w:t>)</w:t>
            </w:r>
          </w:p>
        </w:tc>
        <w:tc>
          <w:tcPr>
            <w:tcW w:w="1418" w:type="dxa"/>
            <w:shd w:val="clear" w:color="auto" w:fill="auto"/>
            <w:vAlign w:val="center"/>
            <w:hideMark/>
          </w:tcPr>
          <w:p w14:paraId="2EA98A3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Endodontics</w:t>
            </w:r>
          </w:p>
        </w:tc>
        <w:tc>
          <w:tcPr>
            <w:tcW w:w="1275" w:type="dxa"/>
            <w:shd w:val="clear" w:color="auto" w:fill="auto"/>
            <w:vAlign w:val="center"/>
            <w:hideMark/>
          </w:tcPr>
          <w:p w14:paraId="39290207" w14:textId="3F8E932C"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 xml:space="preserve">provide a pooled effect size estimate, if possible, for postoperative pain and flare-up incidence of calcium </w:t>
            </w:r>
            <w:r w:rsidR="006226A8" w:rsidRPr="005C470C">
              <w:rPr>
                <w:rFonts w:ascii="Times New Roman" w:eastAsia="Times New Roman" w:hAnsi="Times New Roman" w:cs="Times New Roman"/>
                <w:sz w:val="20"/>
                <w:szCs w:val="20"/>
                <w:lang w:val="en-US" w:eastAsia="pt-BR"/>
              </w:rPr>
              <w:lastRenderedPageBreak/>
              <w:t>hydroxide (CH) as intracanal medication (ICM) on the endodontic treatment of non-vital teeth with or without apical periodontitis</w:t>
            </w:r>
          </w:p>
        </w:tc>
        <w:tc>
          <w:tcPr>
            <w:tcW w:w="1134" w:type="dxa"/>
            <w:shd w:val="clear" w:color="auto" w:fill="auto"/>
            <w:vAlign w:val="center"/>
            <w:hideMark/>
          </w:tcPr>
          <w:p w14:paraId="753FA566" w14:textId="1E88CF3E"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Adult </w:t>
            </w:r>
            <w:r w:rsidR="006226A8" w:rsidRPr="005C470C">
              <w:rPr>
                <w:rFonts w:ascii="Times New Roman" w:eastAsia="Times New Roman" w:hAnsi="Times New Roman" w:cs="Times New Roman"/>
                <w:color w:val="000000"/>
                <w:sz w:val="20"/>
                <w:szCs w:val="20"/>
                <w:lang w:val="en-US" w:eastAsia="pt-BR"/>
              </w:rPr>
              <w:t>patients with mature permanent non-vital teeth</w:t>
            </w:r>
          </w:p>
        </w:tc>
        <w:tc>
          <w:tcPr>
            <w:tcW w:w="1276" w:type="dxa"/>
            <w:shd w:val="clear" w:color="auto" w:fill="auto"/>
            <w:vAlign w:val="center"/>
            <w:hideMark/>
          </w:tcPr>
          <w:p w14:paraId="25B9389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CH</w:t>
            </w:r>
          </w:p>
        </w:tc>
        <w:tc>
          <w:tcPr>
            <w:tcW w:w="1418" w:type="dxa"/>
            <w:shd w:val="clear" w:color="auto" w:fill="auto"/>
            <w:vAlign w:val="center"/>
            <w:hideMark/>
          </w:tcPr>
          <w:p w14:paraId="4DBD8A91" w14:textId="1C0AD1EF"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No </w:t>
            </w:r>
            <w:r w:rsidR="006226A8" w:rsidRPr="005C470C">
              <w:rPr>
                <w:rFonts w:ascii="Times New Roman" w:eastAsia="Times New Roman" w:hAnsi="Times New Roman" w:cs="Times New Roman"/>
                <w:color w:val="000000"/>
                <w:sz w:val="20"/>
                <w:szCs w:val="20"/>
                <w:lang w:eastAsia="pt-BR"/>
              </w:rPr>
              <w:t>or other ICMs</w:t>
            </w:r>
          </w:p>
        </w:tc>
        <w:tc>
          <w:tcPr>
            <w:tcW w:w="1275" w:type="dxa"/>
            <w:shd w:val="clear" w:color="auto" w:fill="auto"/>
            <w:vAlign w:val="center"/>
            <w:hideMark/>
          </w:tcPr>
          <w:p w14:paraId="7B79CAF8" w14:textId="052D03A7"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Effect </w:t>
            </w:r>
            <w:r w:rsidR="006226A8" w:rsidRPr="005C470C">
              <w:rPr>
                <w:rFonts w:ascii="Times New Roman" w:eastAsia="Times New Roman" w:hAnsi="Times New Roman" w:cs="Times New Roman"/>
                <w:color w:val="000000"/>
                <w:sz w:val="20"/>
                <w:szCs w:val="20"/>
                <w:lang w:val="en-US" w:eastAsia="pt-BR"/>
              </w:rPr>
              <w:t>on postoperative pain, flare-up incidence, and swelling incidence</w:t>
            </w:r>
          </w:p>
        </w:tc>
        <w:tc>
          <w:tcPr>
            <w:tcW w:w="1134" w:type="dxa"/>
            <w:shd w:val="clear" w:color="auto" w:fill="auto"/>
            <w:vAlign w:val="center"/>
            <w:hideMark/>
          </w:tcPr>
          <w:p w14:paraId="0A6C745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(n=13)</w:t>
            </w:r>
          </w:p>
        </w:tc>
        <w:tc>
          <w:tcPr>
            <w:tcW w:w="567" w:type="dxa"/>
            <w:shd w:val="clear" w:color="auto" w:fill="auto"/>
            <w:vAlign w:val="center"/>
            <w:hideMark/>
          </w:tcPr>
          <w:p w14:paraId="7DB73ABD"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9555367" w14:textId="5409EC2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Most comparisons for different outcomes at the different time points had their results based on very few studies, usually 1 or 2 low-powered studies, with an overall low </w:t>
            </w:r>
            <w:r w:rsidRPr="005C470C">
              <w:rPr>
                <w:rFonts w:ascii="Times New Roman" w:eastAsia="Times New Roman" w:hAnsi="Times New Roman" w:cs="Times New Roman"/>
                <w:color w:val="000000"/>
                <w:sz w:val="20"/>
                <w:szCs w:val="20"/>
                <w:lang w:val="en-US" w:eastAsia="pt-BR"/>
              </w:rPr>
              <w:lastRenderedPageBreak/>
              <w:t>certainty of evidence. Thus, available evidence can be considered insufficient to either support or refute CH effectiveness or to recommend one ICM over another</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96D823D" w14:textId="1BB677E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8466C6" w:rsidRPr="005C470C">
              <w:rPr>
                <w:rFonts w:ascii="Times New Roman" w:eastAsia="Times New Roman" w:hAnsi="Times New Roman" w:cs="Times New Roman"/>
                <w:color w:val="000000"/>
                <w:sz w:val="20"/>
                <w:szCs w:val="20"/>
                <w:lang w:val="en-US" w:eastAsia="pt-BR"/>
              </w:rPr>
              <w:t xml:space="preserve"> - Further well-designed, larger-size randomized clinical trials are, thus, required to provide higher-quality, reliable evidence</w:t>
            </w:r>
            <w:r w:rsidR="00B0457E">
              <w:rPr>
                <w:rFonts w:ascii="Times New Roman" w:eastAsia="Times New Roman" w:hAnsi="Times New Roman" w:cs="Times New Roman"/>
                <w:color w:val="000000"/>
                <w:sz w:val="20"/>
                <w:szCs w:val="20"/>
                <w:lang w:val="en-US" w:eastAsia="pt-BR"/>
              </w:rPr>
              <w:t>.</w:t>
            </w:r>
          </w:p>
        </w:tc>
      </w:tr>
      <w:tr w:rsidR="002914BB" w:rsidRPr="005C470C" w14:paraId="72166266" w14:textId="77777777" w:rsidTr="00114AF5">
        <w:trPr>
          <w:trHeight w:val="20"/>
        </w:trPr>
        <w:tc>
          <w:tcPr>
            <w:tcW w:w="1135" w:type="dxa"/>
            <w:shd w:val="clear" w:color="auto" w:fill="auto"/>
            <w:vAlign w:val="center"/>
            <w:hideMark/>
          </w:tcPr>
          <w:p w14:paraId="76C615A4"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Janakiram et al, 2020</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&lt;EndNote&gt;&lt;Cite&gt;&lt;Author&gt;Janakiram&lt;/Author&gt;&lt;Year&gt;2020&lt;/Year&gt;&lt;RecNum&gt;20932&lt;/RecNum&gt;&lt;DisplayText&gt;&lt;style face="superscript"&gt;47&lt;/style&gt;&lt;/DisplayText&gt;&lt;record&gt;&lt;rec-number&gt;20932&lt;/rec-number&gt;&lt;foreign-keys&gt;&lt;key app="EN" db-id="f5fv5a2shx52dqesxzmpffeqzt5ffxae2vev" timestamp="1607902564"&gt;20932&lt;/key&gt;&lt;/foreign-keys&gt;&lt;ref-type name="Journal Article"&gt;17&lt;/ref-type&gt;&lt;contributors&gt;&lt;authors&gt;&lt;author&gt;Janakiram, Chandrashekar&lt;/author&gt;&lt;author&gt;Venkitachalam, Ramanarayanan&lt;/author&gt;&lt;author&gt;Fontelo, Paul&lt;/author&gt;&lt;author&gt;Iafolla, Timothy J&lt;/author&gt;&lt;author&gt;Dye, Bruce A&lt;/author&gt;&lt;/authors&gt;&lt;/contributors&gt;&lt;titles&gt;&lt;title&gt;Effectiveness of herbal oral care products in reducing dental plaque &amp;amp; gingivitis–a systematic review and meta-analysis&lt;/title&gt;&lt;secondary-title&gt;BMC complementary medicine and therapies&lt;/secondary-title&gt;&lt;/titles&gt;&lt;periodical&gt;&lt;full-title&gt;BMC complementary medicine and therapies&lt;/full-title&gt;&lt;/periodical&gt;&lt;pages&gt;1-12&lt;/pages&gt;&lt;volume&gt;20&lt;/volume&gt;&lt;number&gt;1&lt;/number&gt;&lt;dates&gt;&lt;year&gt;2020&lt;/year&gt;&lt;/dates&gt;&lt;isbn&gt;2662-7671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47</w:t>
            </w:r>
            <w:r w:rsidR="0008652B" w:rsidRPr="005C470C">
              <w:rPr>
                <w:rFonts w:ascii="Times New Roman" w:eastAsia="Times New Roman" w:hAnsi="Times New Roman" w:cs="Times New Roman"/>
                <w:sz w:val="20"/>
                <w:szCs w:val="20"/>
                <w:lang w:eastAsia="pt-BR"/>
              </w:rPr>
              <w:fldChar w:fldCharType="end"/>
            </w:r>
          </w:p>
          <w:p w14:paraId="45E69053" w14:textId="1598F382"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(United States)</w:t>
            </w:r>
          </w:p>
        </w:tc>
        <w:tc>
          <w:tcPr>
            <w:tcW w:w="992" w:type="dxa"/>
            <w:shd w:val="clear" w:color="auto" w:fill="auto"/>
            <w:vAlign w:val="center"/>
            <w:hideMark/>
          </w:tcPr>
          <w:p w14:paraId="40D7F76C" w14:textId="77777777"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BMC complementary medicine and therapies</w:t>
            </w:r>
          </w:p>
          <w:p w14:paraId="393B9772" w14:textId="03097F1A" w:rsidR="00C53143"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w:t>
            </w:r>
            <w:r w:rsidR="00EF5009" w:rsidRPr="00EF5009">
              <w:rPr>
                <w:rFonts w:ascii="Times New Roman" w:eastAsia="Times New Roman" w:hAnsi="Times New Roman" w:cs="Times New Roman"/>
                <w:sz w:val="20"/>
                <w:szCs w:val="20"/>
                <w:lang w:val="en-US" w:eastAsia="pt-BR"/>
              </w:rPr>
              <w:t>NR</w:t>
            </w:r>
            <w:r w:rsidRPr="00BC17DB">
              <w:rPr>
                <w:rFonts w:ascii="Times New Roman" w:eastAsia="Times New Roman" w:hAnsi="Times New Roman" w:cs="Times New Roman"/>
                <w:sz w:val="20"/>
                <w:szCs w:val="20"/>
                <w:lang w:val="en-US" w:eastAsia="pt-BR"/>
              </w:rPr>
              <w:t>)</w:t>
            </w:r>
          </w:p>
        </w:tc>
        <w:tc>
          <w:tcPr>
            <w:tcW w:w="1418" w:type="dxa"/>
            <w:shd w:val="clear" w:color="auto" w:fill="auto"/>
            <w:vAlign w:val="center"/>
            <w:hideMark/>
          </w:tcPr>
          <w:p w14:paraId="3E2DBB58"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7B78EB05" w14:textId="06C53921"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assess the effectiveness of herbal toothpaste and mouth rinse compared to conventional over the counter (OTC) products in reducing dental plaque and gingival inflammation in adults</w:t>
            </w:r>
          </w:p>
        </w:tc>
        <w:tc>
          <w:tcPr>
            <w:tcW w:w="1134" w:type="dxa"/>
            <w:shd w:val="clear" w:color="auto" w:fill="auto"/>
            <w:vAlign w:val="center"/>
            <w:hideMark/>
          </w:tcPr>
          <w:p w14:paraId="68DD06AA" w14:textId="4C7EF984" w:rsidR="008466C6" w:rsidRPr="005C470C" w:rsidRDefault="00A70A8C" w:rsidP="008466C6">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Adults </w:t>
            </w:r>
            <w:r w:rsidR="006226A8" w:rsidRPr="005C470C">
              <w:rPr>
                <w:rFonts w:ascii="Times New Roman" w:eastAsia="Times New Roman" w:hAnsi="Times New Roman" w:cs="Times New Roman"/>
                <w:color w:val="000000"/>
                <w:sz w:val="20"/>
                <w:szCs w:val="20"/>
                <w:lang w:eastAsia="pt-BR"/>
              </w:rPr>
              <w:t>&gt; 18</w:t>
            </w:r>
            <w:r w:rsidR="008466C6" w:rsidRPr="005C470C">
              <w:rPr>
                <w:rFonts w:ascii="Times New Roman" w:eastAsia="Times New Roman" w:hAnsi="Times New Roman" w:cs="Times New Roman"/>
                <w:color w:val="000000"/>
                <w:sz w:val="20"/>
                <w:szCs w:val="20"/>
                <w:lang w:eastAsia="pt-BR"/>
              </w:rPr>
              <w:t>y</w:t>
            </w:r>
          </w:p>
        </w:tc>
        <w:tc>
          <w:tcPr>
            <w:tcW w:w="1276" w:type="dxa"/>
            <w:shd w:val="clear" w:color="auto" w:fill="auto"/>
            <w:vAlign w:val="center"/>
            <w:hideMark/>
          </w:tcPr>
          <w:p w14:paraId="02559EAC" w14:textId="449DEB3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Herbal Toothpastes or Mouth rinses</w:t>
            </w:r>
          </w:p>
        </w:tc>
        <w:tc>
          <w:tcPr>
            <w:tcW w:w="1418" w:type="dxa"/>
            <w:shd w:val="clear" w:color="auto" w:fill="auto"/>
            <w:vAlign w:val="center"/>
            <w:hideMark/>
          </w:tcPr>
          <w:p w14:paraId="29B4EA14" w14:textId="3326B5F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Over the counter (OTC) non-herbal oral care products (Fluoride toothpaste, Non-fluoride/Non-herbal toothpaste, Chlorhexidine mouth rinse or non-herbal </w:t>
            </w:r>
            <w:r w:rsidR="008466C6" w:rsidRPr="005C470C">
              <w:rPr>
                <w:rFonts w:ascii="Times New Roman" w:eastAsia="Times New Roman" w:hAnsi="Times New Roman" w:cs="Times New Roman"/>
                <w:color w:val="000000"/>
                <w:sz w:val="20"/>
                <w:szCs w:val="20"/>
                <w:lang w:val="en-US" w:eastAsia="pt-BR"/>
              </w:rPr>
              <w:t>m</w:t>
            </w:r>
            <w:r w:rsidRPr="005C470C">
              <w:rPr>
                <w:rFonts w:ascii="Times New Roman" w:eastAsia="Times New Roman" w:hAnsi="Times New Roman" w:cs="Times New Roman"/>
                <w:color w:val="000000"/>
                <w:sz w:val="20"/>
                <w:szCs w:val="20"/>
                <w:lang w:val="en-US" w:eastAsia="pt-BR"/>
              </w:rPr>
              <w:t>outh rinse)</w:t>
            </w:r>
          </w:p>
        </w:tc>
        <w:tc>
          <w:tcPr>
            <w:tcW w:w="1275" w:type="dxa"/>
            <w:shd w:val="clear" w:color="auto" w:fill="auto"/>
            <w:vAlign w:val="center"/>
            <w:hideMark/>
          </w:tcPr>
          <w:p w14:paraId="1C84C096" w14:textId="6EDF309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Reduction in dental plaque levels and gingival inflammation</w:t>
            </w:r>
            <w:r w:rsidR="008466C6"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Mean reduction in the plaque;</w:t>
            </w:r>
            <w:r w:rsidR="008466C6"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Mean reduction of the gingival inflammation;</w:t>
            </w:r>
            <w:r w:rsidR="008466C6"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Short-term effects (4</w:t>
            </w:r>
            <w:r w:rsidR="008466C6" w:rsidRPr="005C470C">
              <w:rPr>
                <w:rFonts w:ascii="Times New Roman" w:eastAsia="Times New Roman" w:hAnsi="Times New Roman" w:cs="Times New Roman"/>
                <w:color w:val="000000"/>
                <w:sz w:val="20"/>
                <w:szCs w:val="20"/>
                <w:lang w:val="en-US" w:eastAsia="pt-BR"/>
              </w:rPr>
              <w:t>w</w:t>
            </w:r>
            <w:r w:rsidRPr="005C470C">
              <w:rPr>
                <w:rFonts w:ascii="Times New Roman" w:eastAsia="Times New Roman" w:hAnsi="Times New Roman" w:cs="Times New Roman"/>
                <w:color w:val="000000"/>
                <w:sz w:val="20"/>
                <w:szCs w:val="20"/>
                <w:lang w:val="en-US" w:eastAsia="pt-BR"/>
              </w:rPr>
              <w:t xml:space="preserve"> follow-up acceptability range ± 3</w:t>
            </w:r>
            <w:r w:rsidR="008466C6" w:rsidRPr="005C470C">
              <w:rPr>
                <w:rFonts w:ascii="Times New Roman" w:eastAsia="Times New Roman" w:hAnsi="Times New Roman" w:cs="Times New Roman"/>
                <w:color w:val="000000"/>
                <w:sz w:val="20"/>
                <w:szCs w:val="20"/>
                <w:lang w:val="en-US" w:eastAsia="pt-BR"/>
              </w:rPr>
              <w:t>d</w:t>
            </w:r>
            <w:r w:rsidRPr="005C470C">
              <w:rPr>
                <w:rFonts w:ascii="Times New Roman" w:eastAsia="Times New Roman" w:hAnsi="Times New Roman" w:cs="Times New Roman"/>
                <w:color w:val="000000"/>
                <w:sz w:val="20"/>
                <w:szCs w:val="20"/>
                <w:lang w:val="en-US" w:eastAsia="pt-BR"/>
              </w:rPr>
              <w:t>); Long-term effects (12</w:t>
            </w:r>
            <w:r w:rsidR="008466C6" w:rsidRPr="005C470C">
              <w:rPr>
                <w:rFonts w:ascii="Times New Roman" w:eastAsia="Times New Roman" w:hAnsi="Times New Roman" w:cs="Times New Roman"/>
                <w:color w:val="000000"/>
                <w:sz w:val="20"/>
                <w:szCs w:val="20"/>
                <w:lang w:val="en-US" w:eastAsia="pt-BR"/>
              </w:rPr>
              <w:t>w</w:t>
            </w:r>
            <w:r w:rsidRPr="005C470C">
              <w:rPr>
                <w:rFonts w:ascii="Times New Roman" w:eastAsia="Times New Roman" w:hAnsi="Times New Roman" w:cs="Times New Roman"/>
                <w:color w:val="000000"/>
                <w:sz w:val="20"/>
                <w:szCs w:val="20"/>
                <w:lang w:val="en-US" w:eastAsia="pt-BR"/>
              </w:rPr>
              <w:t xml:space="preserve"> follow-up acceptability range ± 3</w:t>
            </w:r>
            <w:r w:rsidR="008466C6" w:rsidRPr="005C470C">
              <w:rPr>
                <w:rFonts w:ascii="Times New Roman" w:eastAsia="Times New Roman" w:hAnsi="Times New Roman" w:cs="Times New Roman"/>
                <w:color w:val="000000"/>
                <w:sz w:val="20"/>
                <w:szCs w:val="20"/>
                <w:lang w:val="en-US" w:eastAsia="pt-BR"/>
              </w:rPr>
              <w:t>d</w:t>
            </w:r>
            <w:r w:rsidRPr="005C470C">
              <w:rPr>
                <w:rFonts w:ascii="Times New Roman" w:eastAsia="Times New Roman" w:hAnsi="Times New Roman" w:cs="Times New Roman"/>
                <w:color w:val="000000"/>
                <w:sz w:val="20"/>
                <w:szCs w:val="20"/>
                <w:lang w:val="en-US" w:eastAsia="pt-BR"/>
              </w:rPr>
              <w:t>)</w:t>
            </w:r>
            <w:r w:rsidR="00B0457E">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2BDCF144"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with parallel arm design (n=24)</w:t>
            </w:r>
          </w:p>
        </w:tc>
        <w:tc>
          <w:tcPr>
            <w:tcW w:w="567" w:type="dxa"/>
            <w:shd w:val="clear" w:color="auto" w:fill="auto"/>
            <w:vAlign w:val="center"/>
            <w:hideMark/>
          </w:tcPr>
          <w:p w14:paraId="56208F13"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A1DAFC8" w14:textId="4223B4E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Herbal toothpaste appears to be equally effective as nonherbal toothpaste, but not superior to fluoride toothpaste. The herbal mouth rinses were found not to be superior to chlorhexidine mouth rinses. The quality of evidence appears to be low/very low to recommend them as a substitute to more conventional OTC oral hygiene products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FED6A5E"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F439CD" w:rsidRPr="00114AF5" w14:paraId="3F733C1A" w14:textId="77777777" w:rsidTr="00114AF5">
        <w:trPr>
          <w:trHeight w:val="3393"/>
        </w:trPr>
        <w:tc>
          <w:tcPr>
            <w:tcW w:w="1135" w:type="dxa"/>
            <w:shd w:val="clear" w:color="auto" w:fill="auto"/>
            <w:vAlign w:val="center"/>
            <w:hideMark/>
          </w:tcPr>
          <w:p w14:paraId="29745ED4" w14:textId="77777777" w:rsidR="00C53143" w:rsidRPr="00BC17DB" w:rsidRDefault="006226A8"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lastRenderedPageBreak/>
              <w:t>Jayaraman et al, 2020</w:t>
            </w:r>
            <w:r w:rsidR="0008652B" w:rsidRPr="005C470C">
              <w:rPr>
                <w:rFonts w:ascii="Times New Roman" w:eastAsia="Times New Roman" w:hAnsi="Times New Roman" w:cs="Times New Roman"/>
                <w:sz w:val="20"/>
                <w:szCs w:val="20"/>
                <w:lang w:eastAsia="pt-BR"/>
              </w:rPr>
              <w:fldChar w:fldCharType="begin"/>
            </w:r>
            <w:r w:rsidR="0008652B" w:rsidRPr="00C53143">
              <w:rPr>
                <w:rFonts w:ascii="Times New Roman" w:eastAsia="Times New Roman" w:hAnsi="Times New Roman" w:cs="Times New Roman"/>
                <w:sz w:val="20"/>
                <w:szCs w:val="20"/>
                <w:lang w:val="en-US" w:eastAsia="pt-BR"/>
              </w:rPr>
              <w:instrText xml:space="preserve"> ADDIN EN.CITE &lt;EndNote&gt;&lt;Cite&gt;&lt;Author&gt;Jayaraman&lt;/Author&gt;&lt;Year&gt;2020&lt;/Year&gt;&lt;RecNum&gt;20931&lt;/RecNum&gt;&lt;DisplayText&gt;&lt;style face="superscript"&gt;48&lt;/style&gt;&lt;/DisplayText&gt;&lt;record&gt;&lt;rec-number&gt;20931&lt;/rec-number&gt;&lt;foreign-keys&gt;&lt;key app="EN" db-id="f5fv5a2shx52dqesxzmpffeqzt5ffxae2vev" timestamp="1607902564"&gt;20931&lt;/key&gt;&lt;/foreign-keys&gt;&lt;ref-type name="Journal Article"&gt;17&lt;/ref-type&gt;&lt;contributors&gt;&lt;authors&gt;&lt;author&gt;Jayaraman, Jayakumar&lt;/author&gt;&lt;author&gt;Nagendrababu, Venkateshbabu&lt;/author&gt;&lt;author&gt;Pulikkotil, Shaju Jacob&lt;/author&gt;&lt;author&gt;Veettil, Sajesh K&lt;/author&gt;&lt;author&gt;Dhar, Vineet&lt;/author&gt;&lt;/authors&gt;&lt;/contributors&gt;&lt;titles&gt;&lt;title&gt;Effectiveness of formocresol and ferric sulfate as pulpotomy material in primary molars: a systematic review and meta-analysis with trial sequential analysis of randomized clinical trials&lt;/title&gt;&lt;secondary-title&gt;Quintessence International&lt;/secondary-title&gt;&lt;/titles&gt;&lt;periodical&gt;&lt;full-title&gt;Quintessence International&lt;/full-title&gt;&lt;/periodical&gt;&lt;volume&gt;51&lt;/volume&gt;&lt;number&gt;1&lt;/number&gt;&lt;dates&gt;&lt;year&gt;2020&lt;/year&gt;&lt;/dates&gt;&lt;isbn&gt;0033-6572&lt;/isbn&gt;&lt;urls&gt;&lt;/urls&gt;&lt;/record&gt;&lt;/Cite&gt;&lt;/EndNote&gt;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C53143">
              <w:rPr>
                <w:rFonts w:ascii="Times New Roman" w:eastAsia="Times New Roman" w:hAnsi="Times New Roman" w:cs="Times New Roman"/>
                <w:noProof/>
                <w:sz w:val="20"/>
                <w:szCs w:val="20"/>
                <w:vertAlign w:val="superscript"/>
                <w:lang w:val="en-US" w:eastAsia="pt-BR"/>
              </w:rPr>
              <w:t>48</w:t>
            </w:r>
            <w:r w:rsidR="0008652B" w:rsidRPr="005C470C">
              <w:rPr>
                <w:rFonts w:ascii="Times New Roman" w:eastAsia="Times New Roman" w:hAnsi="Times New Roman" w:cs="Times New Roman"/>
                <w:sz w:val="20"/>
                <w:szCs w:val="20"/>
                <w:lang w:eastAsia="pt-BR"/>
              </w:rPr>
              <w:fldChar w:fldCharType="end"/>
            </w:r>
          </w:p>
          <w:p w14:paraId="5FC9E37B" w14:textId="3D70BFA1" w:rsidR="006226A8" w:rsidRPr="00C53143" w:rsidRDefault="00C53143"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(United States)</w:t>
            </w:r>
          </w:p>
        </w:tc>
        <w:tc>
          <w:tcPr>
            <w:tcW w:w="992" w:type="dxa"/>
            <w:shd w:val="clear" w:color="auto" w:fill="auto"/>
            <w:vAlign w:val="center"/>
            <w:hideMark/>
          </w:tcPr>
          <w:p w14:paraId="3F933590"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Quintessence International</w:t>
            </w:r>
          </w:p>
          <w:p w14:paraId="5F28CC69" w14:textId="20A64BF4"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(1.460)</w:t>
            </w:r>
          </w:p>
        </w:tc>
        <w:tc>
          <w:tcPr>
            <w:tcW w:w="1418" w:type="dxa"/>
            <w:shd w:val="clear" w:color="auto" w:fill="auto"/>
            <w:vAlign w:val="center"/>
            <w:hideMark/>
          </w:tcPr>
          <w:p w14:paraId="3B36B31C" w14:textId="06E33091"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Endodontics/</w:t>
            </w:r>
            <w:r w:rsidR="00C53143">
              <w:rPr>
                <w:rFonts w:ascii="Times New Roman" w:eastAsia="Times New Roman" w:hAnsi="Times New Roman" w:cs="Times New Roman"/>
                <w:sz w:val="20"/>
                <w:szCs w:val="20"/>
                <w:lang w:eastAsia="pt-BR"/>
              </w:rPr>
              <w:t xml:space="preserve"> </w:t>
            </w:r>
            <w:r w:rsidRPr="005C470C">
              <w:rPr>
                <w:rFonts w:ascii="Times New Roman" w:eastAsia="Times New Roman" w:hAnsi="Times New Roman" w:cs="Times New Roman"/>
                <w:sz w:val="20"/>
                <w:szCs w:val="20"/>
                <w:lang w:eastAsia="pt-BR"/>
              </w:rPr>
              <w:t>Pediatric Dentistry</w:t>
            </w:r>
          </w:p>
        </w:tc>
        <w:tc>
          <w:tcPr>
            <w:tcW w:w="1275" w:type="dxa"/>
            <w:shd w:val="clear" w:color="auto" w:fill="auto"/>
            <w:vAlign w:val="center"/>
            <w:hideMark/>
          </w:tcPr>
          <w:p w14:paraId="3C820048" w14:textId="5993905C"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 xml:space="preserve">evaluate the clinical and radiographic success rate of formocresol and ferric sulfate when used as pulpotomy material using </w:t>
            </w:r>
            <w:r w:rsidR="00434FEC" w:rsidRPr="005C470C">
              <w:rPr>
                <w:rFonts w:ascii="Times New Roman" w:eastAsia="Times New Roman" w:hAnsi="Times New Roman" w:cs="Times New Roman"/>
                <w:sz w:val="20"/>
                <w:szCs w:val="20"/>
                <w:lang w:val="en-US" w:eastAsia="pt-BR"/>
              </w:rPr>
              <w:t>MA</w:t>
            </w:r>
            <w:r w:rsidR="006226A8" w:rsidRPr="005C470C">
              <w:rPr>
                <w:rFonts w:ascii="Times New Roman" w:eastAsia="Times New Roman" w:hAnsi="Times New Roman" w:cs="Times New Roman"/>
                <w:sz w:val="20"/>
                <w:szCs w:val="20"/>
                <w:lang w:val="en-US" w:eastAsia="pt-BR"/>
              </w:rPr>
              <w:t xml:space="preserve"> with (TSA)</w:t>
            </w:r>
          </w:p>
        </w:tc>
        <w:tc>
          <w:tcPr>
            <w:tcW w:w="1134" w:type="dxa"/>
            <w:shd w:val="clear" w:color="auto" w:fill="auto"/>
            <w:vAlign w:val="center"/>
            <w:hideMark/>
          </w:tcPr>
          <w:p w14:paraId="62518C17" w14:textId="207EB6CC"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Primary molar pulpotomy</w:t>
            </w:r>
          </w:p>
        </w:tc>
        <w:tc>
          <w:tcPr>
            <w:tcW w:w="1276" w:type="dxa"/>
            <w:shd w:val="clear" w:color="auto" w:fill="auto"/>
            <w:vAlign w:val="center"/>
            <w:hideMark/>
          </w:tcPr>
          <w:p w14:paraId="6D784890" w14:textId="448ECE24"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Ferric sulfate</w:t>
            </w:r>
          </w:p>
        </w:tc>
        <w:tc>
          <w:tcPr>
            <w:tcW w:w="1418" w:type="dxa"/>
            <w:shd w:val="clear" w:color="auto" w:fill="auto"/>
            <w:vAlign w:val="center"/>
            <w:hideMark/>
          </w:tcPr>
          <w:p w14:paraId="3A849FF8" w14:textId="19E9D0AB"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Formocresol</w:t>
            </w:r>
          </w:p>
        </w:tc>
        <w:tc>
          <w:tcPr>
            <w:tcW w:w="1275" w:type="dxa"/>
            <w:shd w:val="clear" w:color="auto" w:fill="auto"/>
            <w:vAlign w:val="center"/>
            <w:hideMark/>
          </w:tcPr>
          <w:p w14:paraId="0CF9B70D" w14:textId="4F807683"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Better clin</w:t>
            </w:r>
            <w:r w:rsidR="006226A8" w:rsidRPr="005C470C">
              <w:rPr>
                <w:rFonts w:ascii="Times New Roman" w:eastAsia="Times New Roman" w:hAnsi="Times New Roman" w:cs="Times New Roman"/>
                <w:color w:val="000000"/>
                <w:sz w:val="20"/>
                <w:szCs w:val="20"/>
                <w:lang w:val="en-US" w:eastAsia="pt-BR"/>
              </w:rPr>
              <w:t>ical and radiographic success</w:t>
            </w:r>
          </w:p>
        </w:tc>
        <w:tc>
          <w:tcPr>
            <w:tcW w:w="1134" w:type="dxa"/>
            <w:shd w:val="clear" w:color="auto" w:fill="auto"/>
            <w:vAlign w:val="center"/>
            <w:hideMark/>
          </w:tcPr>
          <w:p w14:paraId="62F02BE9"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(n=8)</w:t>
            </w:r>
          </w:p>
        </w:tc>
        <w:tc>
          <w:tcPr>
            <w:tcW w:w="567" w:type="dxa"/>
            <w:shd w:val="clear" w:color="auto" w:fill="auto"/>
            <w:vAlign w:val="center"/>
            <w:hideMark/>
          </w:tcPr>
          <w:p w14:paraId="32D180B5"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2A436B49" w14:textId="03591A8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TSA demonstrated that the evidence of the </w:t>
            </w:r>
            <w:r w:rsidR="008466C6" w:rsidRPr="005C470C">
              <w:rPr>
                <w:rFonts w:ascii="Times New Roman" w:eastAsia="Times New Roman" w:hAnsi="Times New Roman" w:cs="Times New Roman"/>
                <w:color w:val="000000"/>
                <w:sz w:val="20"/>
                <w:szCs w:val="20"/>
                <w:lang w:val="en-US" w:eastAsia="pt-BR"/>
              </w:rPr>
              <w:t xml:space="preserve">MA </w:t>
            </w:r>
            <w:r w:rsidRPr="005C470C">
              <w:rPr>
                <w:rFonts w:ascii="Times New Roman" w:eastAsia="Times New Roman" w:hAnsi="Times New Roman" w:cs="Times New Roman"/>
                <w:color w:val="000000"/>
                <w:sz w:val="20"/>
                <w:szCs w:val="20"/>
                <w:lang w:val="en-US" w:eastAsia="pt-BR"/>
              </w:rPr>
              <w:t>was conclusive for an anticipated radiographic success rate of 10% for formocresol over ferric sulfate. Overall, formocresol and ferric sulfate show comparable clinical and radiographic success rates as pulpotomy medicament in primary molars at all time intervals based on low- to moderate-quality evidence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7778697" w14:textId="0C5B941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2B33BC" w:rsidRPr="005C470C">
              <w:rPr>
                <w:rFonts w:ascii="Times New Roman" w:eastAsia="Times New Roman" w:hAnsi="Times New Roman" w:cs="Times New Roman"/>
                <w:color w:val="000000"/>
                <w:sz w:val="20"/>
                <w:szCs w:val="20"/>
                <w:lang w:val="en-US" w:eastAsia="pt-BR"/>
              </w:rPr>
              <w:t xml:space="preserve"> - Further studies are required to confirm any difference in the anticipated clinical success between formocresol and ferric sulfate</w:t>
            </w:r>
            <w:r w:rsidR="00B0457E">
              <w:rPr>
                <w:rFonts w:ascii="Times New Roman" w:eastAsia="Times New Roman" w:hAnsi="Times New Roman" w:cs="Times New Roman"/>
                <w:color w:val="000000"/>
                <w:sz w:val="20"/>
                <w:szCs w:val="20"/>
                <w:lang w:val="en-US" w:eastAsia="pt-BR"/>
              </w:rPr>
              <w:t>.</w:t>
            </w:r>
          </w:p>
        </w:tc>
      </w:tr>
      <w:tr w:rsidR="00F439CD" w:rsidRPr="00114AF5" w14:paraId="0F6B5DC5" w14:textId="77777777" w:rsidTr="00114AF5">
        <w:trPr>
          <w:trHeight w:val="72"/>
        </w:trPr>
        <w:tc>
          <w:tcPr>
            <w:tcW w:w="1135" w:type="dxa"/>
            <w:shd w:val="clear" w:color="auto" w:fill="auto"/>
            <w:vAlign w:val="center"/>
            <w:hideMark/>
          </w:tcPr>
          <w:p w14:paraId="02F4FF88"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Jazayeri et al, 2019</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&lt;EndNote&gt;&lt;Cite&gt;&lt;Author&gt;Jazayeri&lt;/Author&gt;&lt;Year&gt;2019&lt;/Year&gt;&lt;RecNum&gt;20933&lt;/RecNum&gt;&lt;DisplayText&gt;&lt;style face="superscript"&gt;49&lt;/style&gt;&lt;/DisplayText&gt;&lt;record&gt;&lt;rec-number&gt;20933&lt;/rec-number&gt;&lt;foreign-keys&gt;&lt;key app="EN" db-id="f5fv5a2shx52dqesxzmpffeqzt5ffxae2vev" timestamp="1607902564"&gt;20933&lt;/key&gt;&lt;/foreign-keys&gt;&lt;ref-type name="Journal Article"&gt;17&lt;/ref-type&gt;&lt;contributors&gt;&lt;authors&gt;&lt;author&gt;Jazayeri, Hossein E&lt;/author&gt;&lt;author&gt;Khavanin, Nima&lt;/author&gt;&lt;author&gt;Jason, W Yu&lt;/author&gt;&lt;author&gt;Lopez, Joseph&lt;/author&gt;&lt;author&gt;Shamliyan, Tatyana&lt;/author&gt;&lt;author&gt;Peacock, Zachary S&lt;/author&gt;&lt;author&gt;Dorafshar, Amir H&lt;/author&gt;&lt;/authors&gt;&lt;/contributors&gt;&lt;titles&gt;&lt;title&gt;Fixation Points in the Treatment of Traumatic Zygomaticomaxillary Complex Fractures: A Systematic Review and Meta-Analysis&lt;/title&gt;&lt;secondary-title&gt;Journal of Oral and Maxillofacial Surgery&lt;/secondary-title&gt;&lt;/titles&gt;&lt;periodical&gt;&lt;full-title&gt;Journal of Oral and Maxillofacial Surgery&lt;/full-title&gt;&lt;/periodical&gt;&lt;pages&gt;2064-2073&lt;/pages&gt;&lt;volume&gt;77&lt;/volume&gt;&lt;number&gt;10&lt;/number&gt;&lt;dates&gt;&lt;year&gt;2019&lt;/year&gt;&lt;/dates&gt;&lt;isbn&gt;0278-2391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49</w:t>
            </w:r>
            <w:r w:rsidR="0008652B" w:rsidRPr="005C470C">
              <w:rPr>
                <w:rFonts w:ascii="Times New Roman" w:eastAsia="Times New Roman" w:hAnsi="Times New Roman" w:cs="Times New Roman"/>
                <w:sz w:val="20"/>
                <w:szCs w:val="20"/>
                <w:lang w:eastAsia="pt-BR"/>
              </w:rPr>
              <w:fldChar w:fldCharType="end"/>
            </w:r>
          </w:p>
          <w:p w14:paraId="42D584FE" w14:textId="0BFBAFCB" w:rsidR="00C53143" w:rsidRPr="00BC17DB" w:rsidRDefault="00C53143" w:rsidP="006226A8">
            <w:pPr>
              <w:rPr>
                <w:rFonts w:ascii="Times New Roman" w:eastAsia="Times New Roman" w:hAnsi="Times New Roman" w:cs="Times New Roman"/>
                <w:sz w:val="20"/>
                <w:szCs w:val="20"/>
                <w:lang w:val="en-US" w:eastAsia="pt-BR"/>
              </w:rPr>
            </w:pPr>
            <w:r w:rsidRPr="00C53143">
              <w:rPr>
                <w:rFonts w:ascii="Times New Roman" w:eastAsia="Times New Roman" w:hAnsi="Times New Roman" w:cs="Times New Roman"/>
                <w:sz w:val="20"/>
                <w:szCs w:val="20"/>
                <w:lang w:val="en-US" w:eastAsia="pt-BR"/>
              </w:rPr>
              <w:t>(United States)</w:t>
            </w:r>
          </w:p>
        </w:tc>
        <w:tc>
          <w:tcPr>
            <w:tcW w:w="992" w:type="dxa"/>
            <w:shd w:val="clear" w:color="auto" w:fill="auto"/>
            <w:vAlign w:val="center"/>
            <w:hideMark/>
          </w:tcPr>
          <w:p w14:paraId="314A284E" w14:textId="77777777"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Journal of Oral and Maxillofacial Surgery</w:t>
            </w:r>
          </w:p>
          <w:p w14:paraId="145BCC0F" w14:textId="722169C2"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(2.068)</w:t>
            </w:r>
          </w:p>
        </w:tc>
        <w:tc>
          <w:tcPr>
            <w:tcW w:w="1418" w:type="dxa"/>
            <w:shd w:val="clear" w:color="auto" w:fill="auto"/>
            <w:vAlign w:val="center"/>
            <w:hideMark/>
          </w:tcPr>
          <w:p w14:paraId="20B00F60"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1D4AAAFF" w14:textId="701BF79B"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compare the patient outcomes, including the complication rates and</w:t>
            </w:r>
            <w:r w:rsidR="002B33BC" w:rsidRPr="005C470C">
              <w:rPr>
                <w:rFonts w:ascii="Times New Roman" w:eastAsia="Times New Roman" w:hAnsi="Times New Roman" w:cs="Times New Roman"/>
                <w:sz w:val="20"/>
                <w:szCs w:val="20"/>
                <w:lang w:val="en-US" w:eastAsia="pt-BR"/>
              </w:rPr>
              <w:t xml:space="preserve"> </w:t>
            </w:r>
            <w:r w:rsidR="006226A8" w:rsidRPr="005C470C">
              <w:rPr>
                <w:rFonts w:ascii="Times New Roman" w:eastAsia="Times New Roman" w:hAnsi="Times New Roman" w:cs="Times New Roman"/>
                <w:sz w:val="20"/>
                <w:szCs w:val="20"/>
                <w:lang w:val="en-US" w:eastAsia="pt-BR"/>
              </w:rPr>
              <w:t>patient-reported satisfaction, after various degrees of Zygomaticom</w:t>
            </w:r>
            <w:r w:rsidR="006226A8" w:rsidRPr="005C470C">
              <w:rPr>
                <w:rFonts w:ascii="Times New Roman" w:eastAsia="Times New Roman" w:hAnsi="Times New Roman" w:cs="Times New Roman"/>
                <w:sz w:val="20"/>
                <w:szCs w:val="20"/>
                <w:lang w:val="en-US" w:eastAsia="pt-BR"/>
              </w:rPr>
              <w:lastRenderedPageBreak/>
              <w:t>axillary complex (ZMC) exposure and fixation using titanium plates and screws</w:t>
            </w:r>
          </w:p>
        </w:tc>
        <w:tc>
          <w:tcPr>
            <w:tcW w:w="1134" w:type="dxa"/>
            <w:shd w:val="clear" w:color="auto" w:fill="auto"/>
            <w:vAlign w:val="center"/>
            <w:hideMark/>
          </w:tcPr>
          <w:p w14:paraId="548EB94D" w14:textId="667DCFDB"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 xml:space="preserve">Adults with </w:t>
            </w:r>
            <w:r w:rsidR="002B33BC" w:rsidRPr="005C470C">
              <w:rPr>
                <w:rFonts w:ascii="Times New Roman" w:eastAsia="Times New Roman" w:hAnsi="Times New Roman" w:cs="Times New Roman"/>
                <w:color w:val="000000"/>
                <w:sz w:val="20"/>
                <w:szCs w:val="20"/>
                <w:lang w:eastAsia="pt-BR"/>
              </w:rPr>
              <w:t>ZMC</w:t>
            </w:r>
            <w:r w:rsidRPr="005C470C">
              <w:rPr>
                <w:rFonts w:ascii="Times New Roman" w:eastAsia="Times New Roman" w:hAnsi="Times New Roman" w:cs="Times New Roman"/>
                <w:color w:val="000000"/>
                <w:sz w:val="20"/>
                <w:szCs w:val="20"/>
                <w:lang w:eastAsia="pt-BR"/>
              </w:rPr>
              <w:t xml:space="preserve"> fractures (quadripod fracture, quadramalar fracture, tripod fracture, or trimalar fracture); unilateral or </w:t>
            </w:r>
            <w:r w:rsidRPr="005C470C">
              <w:rPr>
                <w:rFonts w:ascii="Times New Roman" w:eastAsia="Times New Roman" w:hAnsi="Times New Roman" w:cs="Times New Roman"/>
                <w:color w:val="000000"/>
                <w:sz w:val="20"/>
                <w:szCs w:val="20"/>
                <w:lang w:eastAsia="pt-BR"/>
              </w:rPr>
              <w:lastRenderedPageBreak/>
              <w:t>bilateral f</w:t>
            </w:r>
            <w:r w:rsidR="00881560" w:rsidRPr="005C470C">
              <w:rPr>
                <w:rFonts w:ascii="Times New Roman" w:eastAsia="Times New Roman" w:hAnsi="Times New Roman" w:cs="Times New Roman"/>
                <w:color w:val="000000"/>
                <w:sz w:val="20"/>
                <w:szCs w:val="20"/>
                <w:lang w:eastAsia="pt-BR"/>
              </w:rPr>
              <w:t>r</w:t>
            </w:r>
            <w:r w:rsidRPr="005C470C">
              <w:rPr>
                <w:rFonts w:ascii="Times New Roman" w:eastAsia="Times New Roman" w:hAnsi="Times New Roman" w:cs="Times New Roman"/>
                <w:color w:val="000000"/>
                <w:sz w:val="20"/>
                <w:szCs w:val="20"/>
                <w:lang w:eastAsia="pt-BR"/>
              </w:rPr>
              <w:t>actures</w:t>
            </w:r>
          </w:p>
        </w:tc>
        <w:tc>
          <w:tcPr>
            <w:tcW w:w="1276" w:type="dxa"/>
            <w:shd w:val="clear" w:color="auto" w:fill="auto"/>
            <w:vAlign w:val="center"/>
            <w:hideMark/>
          </w:tcPr>
          <w:p w14:paraId="02678F73"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1-, 2-, 3-, or 4-point fixation with miniplates after fracture reduction</w:t>
            </w:r>
          </w:p>
        </w:tc>
        <w:tc>
          <w:tcPr>
            <w:tcW w:w="1418" w:type="dxa"/>
            <w:shd w:val="clear" w:color="auto" w:fill="auto"/>
            <w:vAlign w:val="center"/>
            <w:hideMark/>
          </w:tcPr>
          <w:p w14:paraId="59F6E566"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Active comparators as different point fixation after fracture reduction</w:t>
            </w:r>
          </w:p>
        </w:tc>
        <w:tc>
          <w:tcPr>
            <w:tcW w:w="1275" w:type="dxa"/>
            <w:shd w:val="clear" w:color="auto" w:fill="auto"/>
            <w:vAlign w:val="center"/>
            <w:hideMark/>
          </w:tcPr>
          <w:p w14:paraId="6FCB63DA" w14:textId="51D78DF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 satisfaction with function and cosmetic results; stable fracture fixation; pain; quality of life; surgical complications </w:t>
            </w:r>
          </w:p>
        </w:tc>
        <w:tc>
          <w:tcPr>
            <w:tcW w:w="1134" w:type="dxa"/>
            <w:shd w:val="clear" w:color="auto" w:fill="auto"/>
            <w:vAlign w:val="center"/>
            <w:hideMark/>
          </w:tcPr>
          <w:p w14:paraId="68C2A55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(n=2) and case series (n=11)</w:t>
            </w:r>
          </w:p>
        </w:tc>
        <w:tc>
          <w:tcPr>
            <w:tcW w:w="567" w:type="dxa"/>
            <w:shd w:val="clear" w:color="auto" w:fill="auto"/>
            <w:vAlign w:val="center"/>
            <w:hideMark/>
          </w:tcPr>
          <w:p w14:paraId="0E4D0FD6"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D653E70" w14:textId="304C470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Although the quality of evidence for the management of ZMC fractures was very low, the results suggested that 3 points of exposure and fixation of ZMC fractures could result in improved </w:t>
            </w:r>
            <w:r w:rsidRPr="005C470C">
              <w:rPr>
                <w:rFonts w:ascii="Times New Roman" w:eastAsia="Times New Roman" w:hAnsi="Times New Roman" w:cs="Times New Roman"/>
                <w:color w:val="000000"/>
                <w:sz w:val="20"/>
                <w:szCs w:val="20"/>
                <w:lang w:val="en-US" w:eastAsia="pt-BR"/>
              </w:rPr>
              <w:lastRenderedPageBreak/>
              <w:t>fracture stability and less vertical orbital dystopia. Even when 2 points appear to provide stable fixation, the potential benefits of a third point should be weighed against the cost, operative time, exposure/</w:t>
            </w:r>
            <w:r w:rsidR="00881560"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periosteal stripping, and morbidity associated with an additional incision, such as eyelid malpositioning, on a case-by-case basis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0192347" w14:textId="794D1B1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2B33BC" w:rsidRPr="005C470C">
              <w:rPr>
                <w:rFonts w:ascii="Times New Roman" w:eastAsia="Times New Roman" w:hAnsi="Times New Roman" w:cs="Times New Roman"/>
                <w:color w:val="000000"/>
                <w:sz w:val="20"/>
                <w:szCs w:val="20"/>
                <w:lang w:val="en-US" w:eastAsia="pt-BR"/>
              </w:rPr>
              <w:t xml:space="preserve"> - Additional high-quality studies are needed to further elucidate the criteria for differential exposure and fixation and to evaluate the esthetic and </w:t>
            </w:r>
            <w:r w:rsidR="002B33BC" w:rsidRPr="005C470C">
              <w:rPr>
                <w:rFonts w:ascii="Times New Roman" w:eastAsia="Times New Roman" w:hAnsi="Times New Roman" w:cs="Times New Roman"/>
                <w:color w:val="000000"/>
                <w:sz w:val="20"/>
                <w:szCs w:val="20"/>
                <w:lang w:val="en-US" w:eastAsia="pt-BR"/>
              </w:rPr>
              <w:lastRenderedPageBreak/>
              <w:t>functional outcomes of treatment</w:t>
            </w:r>
            <w:r w:rsidR="00B0457E">
              <w:rPr>
                <w:rFonts w:ascii="Times New Roman" w:eastAsia="Times New Roman" w:hAnsi="Times New Roman" w:cs="Times New Roman"/>
                <w:color w:val="000000"/>
                <w:sz w:val="20"/>
                <w:szCs w:val="20"/>
                <w:lang w:val="en-US" w:eastAsia="pt-BR"/>
              </w:rPr>
              <w:t>.</w:t>
            </w:r>
          </w:p>
        </w:tc>
      </w:tr>
      <w:tr w:rsidR="00F439CD" w:rsidRPr="00114AF5" w14:paraId="6052B166" w14:textId="77777777" w:rsidTr="00114AF5">
        <w:trPr>
          <w:trHeight w:val="20"/>
        </w:trPr>
        <w:tc>
          <w:tcPr>
            <w:tcW w:w="1135" w:type="dxa"/>
            <w:shd w:val="clear" w:color="auto" w:fill="auto"/>
            <w:vAlign w:val="center"/>
            <w:hideMark/>
          </w:tcPr>
          <w:p w14:paraId="5C061017"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lastRenderedPageBreak/>
              <w:t>Khalaf et al, 2020</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&lt;EndNote&gt;&lt;Cite&gt;&lt;Author&gt;Khalaf&lt;/Author&gt;&lt;Year&gt;2020&lt;/Year&gt;&lt;RecNum&gt;20929&lt;/RecNum&gt;&lt;DisplayText&gt;&lt;style face="superscript"&gt;51&lt;/style&gt;&lt;/DisplayText&gt;&lt;record&gt;&lt;rec-number&gt;20929&lt;/rec-number&gt;&lt;foreign-keys&gt;&lt;key app="EN" db-id="f5fv5a2shx52dqesxzmpffeqzt5ffxae2vev" timestamp="1607902564"&gt;20929&lt;/key&gt;&lt;/foreign-keys&gt;&lt;ref-type name="Journal Article"&gt;17&lt;/ref-type&gt;&lt;contributors&gt;&lt;authors&gt;&lt;author&gt;Khalaf, Khaled&lt;/author&gt;&lt;author&gt;Mando, Mahmoud&lt;/author&gt;&lt;/authors&gt;&lt;/contributors&gt;&lt;titles&gt;&lt;title&gt;Removable appliances to correct anterior crossbites in the mixed dentition: a systematic review&lt;/title&gt;&lt;secondary-title&gt;Acta Odontologica Scandinavica&lt;/secondary-title&gt;&lt;/titles&gt;&lt;periodical&gt;&lt;full-title&gt;Acta Odontol Scand&lt;/full-title&gt;&lt;abbr-1&gt;Acta odontologica Scandinavica&lt;/abbr-1&gt;&lt;/periodical&gt;&lt;pages&gt;118-125&lt;/pages&gt;&lt;volume&gt;78&lt;/volume&gt;&lt;number&gt;2&lt;/number&gt;&lt;dates&gt;&lt;year&gt;2020&lt;/year&gt;&lt;/dates&gt;&lt;isbn&gt;0001-6357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51</w:t>
            </w:r>
            <w:r w:rsidR="0008652B" w:rsidRPr="005C470C">
              <w:rPr>
                <w:rFonts w:ascii="Times New Roman" w:eastAsia="Times New Roman" w:hAnsi="Times New Roman" w:cs="Times New Roman"/>
                <w:sz w:val="20"/>
                <w:szCs w:val="20"/>
                <w:lang w:eastAsia="pt-BR"/>
              </w:rPr>
              <w:fldChar w:fldCharType="end"/>
            </w:r>
          </w:p>
          <w:p w14:paraId="4732693A" w14:textId="4D5FE388"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(United Arab Emirates)</w:t>
            </w:r>
          </w:p>
        </w:tc>
        <w:tc>
          <w:tcPr>
            <w:tcW w:w="992" w:type="dxa"/>
            <w:shd w:val="clear" w:color="auto" w:fill="auto"/>
            <w:vAlign w:val="center"/>
            <w:hideMark/>
          </w:tcPr>
          <w:p w14:paraId="663A81C0"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Acta odontologica Scandinavica</w:t>
            </w:r>
          </w:p>
          <w:p w14:paraId="73FB9EF9" w14:textId="0814B0A0"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(1.573)</w:t>
            </w:r>
          </w:p>
        </w:tc>
        <w:tc>
          <w:tcPr>
            <w:tcW w:w="1418" w:type="dxa"/>
            <w:shd w:val="clear" w:color="auto" w:fill="auto"/>
            <w:vAlign w:val="center"/>
            <w:hideMark/>
          </w:tcPr>
          <w:p w14:paraId="170EAC8C"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28FE3487"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investigate the effectiveness of an upper removable appliance in the treatment of an anterior crossbite in term of quality of life, effectiveness, </w:t>
            </w:r>
            <w:r w:rsidRPr="005C470C">
              <w:rPr>
                <w:rFonts w:ascii="Times New Roman" w:eastAsia="Times New Roman" w:hAnsi="Times New Roman" w:cs="Times New Roman"/>
                <w:sz w:val="20"/>
                <w:szCs w:val="20"/>
                <w:lang w:val="en-US" w:eastAsia="pt-BR"/>
              </w:rPr>
              <w:lastRenderedPageBreak/>
              <w:t>treatment time, long term stability and cost minimization</w:t>
            </w:r>
          </w:p>
        </w:tc>
        <w:tc>
          <w:tcPr>
            <w:tcW w:w="1134" w:type="dxa"/>
            <w:shd w:val="clear" w:color="auto" w:fill="auto"/>
            <w:vAlign w:val="center"/>
            <w:hideMark/>
          </w:tcPr>
          <w:p w14:paraId="3B31E554"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Children in the early or late mixed dentition with an anterior crossbite affecting one or more incisors, and no underlying skeletal </w:t>
            </w:r>
            <w:r w:rsidRPr="005C470C">
              <w:rPr>
                <w:rFonts w:ascii="Times New Roman" w:eastAsia="Times New Roman" w:hAnsi="Times New Roman" w:cs="Times New Roman"/>
                <w:color w:val="000000"/>
                <w:sz w:val="20"/>
                <w:szCs w:val="20"/>
                <w:lang w:val="en-US" w:eastAsia="pt-BR"/>
              </w:rPr>
              <w:lastRenderedPageBreak/>
              <w:t>class III pattern</w:t>
            </w:r>
          </w:p>
        </w:tc>
        <w:tc>
          <w:tcPr>
            <w:tcW w:w="1276" w:type="dxa"/>
            <w:shd w:val="clear" w:color="auto" w:fill="auto"/>
            <w:vAlign w:val="center"/>
            <w:hideMark/>
          </w:tcPr>
          <w:p w14:paraId="0437898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Upper removable appliance</w:t>
            </w:r>
          </w:p>
        </w:tc>
        <w:tc>
          <w:tcPr>
            <w:tcW w:w="1418" w:type="dxa"/>
            <w:shd w:val="clear" w:color="auto" w:fill="auto"/>
            <w:vAlign w:val="center"/>
            <w:hideMark/>
          </w:tcPr>
          <w:p w14:paraId="61A3DADB" w14:textId="09542C80"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Other orthodontic appliances</w:t>
            </w:r>
          </w:p>
        </w:tc>
        <w:tc>
          <w:tcPr>
            <w:tcW w:w="1275" w:type="dxa"/>
            <w:shd w:val="clear" w:color="auto" w:fill="auto"/>
            <w:vAlign w:val="center"/>
            <w:hideMark/>
          </w:tcPr>
          <w:p w14:paraId="660FE317" w14:textId="02867034"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Correction of the dental crossbi</w:t>
            </w:r>
            <w:r w:rsidR="006226A8" w:rsidRPr="005C470C">
              <w:rPr>
                <w:rFonts w:ascii="Times New Roman" w:eastAsia="Times New Roman" w:hAnsi="Times New Roman" w:cs="Times New Roman"/>
                <w:color w:val="000000"/>
                <w:sz w:val="20"/>
                <w:szCs w:val="20"/>
                <w:lang w:val="en-US" w:eastAsia="pt-BR"/>
              </w:rPr>
              <w:t xml:space="preserve">te or anterior crossbite with a functional shift in terms of quality of life, effectiveness, treatment time, long term stability </w:t>
            </w:r>
            <w:r w:rsidR="006226A8" w:rsidRPr="005C470C">
              <w:rPr>
                <w:rFonts w:ascii="Times New Roman" w:eastAsia="Times New Roman" w:hAnsi="Times New Roman" w:cs="Times New Roman"/>
                <w:color w:val="000000"/>
                <w:sz w:val="20"/>
                <w:szCs w:val="20"/>
                <w:lang w:val="en-US" w:eastAsia="pt-BR"/>
              </w:rPr>
              <w:lastRenderedPageBreak/>
              <w:t>and cost minimization</w:t>
            </w:r>
          </w:p>
        </w:tc>
        <w:tc>
          <w:tcPr>
            <w:tcW w:w="1134" w:type="dxa"/>
            <w:shd w:val="clear" w:color="auto" w:fill="auto"/>
            <w:vAlign w:val="center"/>
            <w:hideMark/>
          </w:tcPr>
          <w:p w14:paraId="0A87D9E7"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(n=3)</w:t>
            </w:r>
          </w:p>
        </w:tc>
        <w:tc>
          <w:tcPr>
            <w:tcW w:w="567" w:type="dxa"/>
            <w:shd w:val="clear" w:color="auto" w:fill="auto"/>
            <w:vAlign w:val="center"/>
            <w:hideMark/>
          </w:tcPr>
          <w:p w14:paraId="18BF1FA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772E0E00" w14:textId="5B0FCBC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Both upper removable appliance and cemented bite pads are effective in the treatment of an anterior dental crossbite without having any side effects over a follow-up period of 1</w:t>
            </w:r>
            <w:r w:rsidR="002B33BC" w:rsidRPr="005C470C">
              <w:rPr>
                <w:rFonts w:ascii="Times New Roman" w:eastAsia="Times New Roman" w:hAnsi="Times New Roman" w:cs="Times New Roman"/>
                <w:color w:val="000000"/>
                <w:sz w:val="20"/>
                <w:szCs w:val="20"/>
                <w:lang w:val="en-US" w:eastAsia="pt-BR"/>
              </w:rPr>
              <w:t>2mo</w:t>
            </w:r>
            <w:r w:rsidRPr="005C470C">
              <w:rPr>
                <w:rFonts w:ascii="Times New Roman" w:eastAsia="Times New Roman" w:hAnsi="Times New Roman" w:cs="Times New Roman"/>
                <w:color w:val="000000"/>
                <w:sz w:val="20"/>
                <w:szCs w:val="20"/>
                <w:lang w:val="en-US" w:eastAsia="pt-BR"/>
              </w:rPr>
              <w:t xml:space="preserve">; </w:t>
            </w:r>
            <w:r w:rsidR="00881560" w:rsidRPr="005C470C">
              <w:rPr>
                <w:rFonts w:ascii="Times New Roman" w:eastAsia="Times New Roman" w:hAnsi="Times New Roman" w:cs="Times New Roman"/>
                <w:color w:val="000000"/>
                <w:sz w:val="20"/>
                <w:szCs w:val="20"/>
                <w:lang w:val="en-US" w:eastAsia="pt-BR"/>
              </w:rPr>
              <w:t>A</w:t>
            </w:r>
            <w:r w:rsidRPr="005C470C">
              <w:rPr>
                <w:rFonts w:ascii="Times New Roman" w:eastAsia="Times New Roman" w:hAnsi="Times New Roman" w:cs="Times New Roman"/>
                <w:color w:val="000000"/>
                <w:sz w:val="20"/>
                <w:szCs w:val="20"/>
                <w:lang w:val="en-US" w:eastAsia="pt-BR"/>
              </w:rPr>
              <w:t xml:space="preserve"> fixed appliance is more cost-effective and </w:t>
            </w:r>
            <w:r w:rsidRPr="005C470C">
              <w:rPr>
                <w:rFonts w:ascii="Times New Roman" w:eastAsia="Times New Roman" w:hAnsi="Times New Roman" w:cs="Times New Roman"/>
                <w:color w:val="000000"/>
                <w:sz w:val="20"/>
                <w:szCs w:val="20"/>
                <w:lang w:val="en-US" w:eastAsia="pt-BR"/>
              </w:rPr>
              <w:lastRenderedPageBreak/>
              <w:t xml:space="preserve">has the capability to reduce the treatment time </w:t>
            </w:r>
            <w:r w:rsidR="0088156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20%</w:t>
            </w:r>
            <w:r w:rsidR="00881560"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when compared to a removable appliance; </w:t>
            </w:r>
            <w:r w:rsidR="00881560" w:rsidRPr="005C470C">
              <w:rPr>
                <w:rFonts w:ascii="Times New Roman" w:eastAsia="Times New Roman" w:hAnsi="Times New Roman" w:cs="Times New Roman"/>
                <w:color w:val="000000"/>
                <w:sz w:val="20"/>
                <w:szCs w:val="20"/>
                <w:lang w:val="en-US" w:eastAsia="pt-BR"/>
              </w:rPr>
              <w:t>No</w:t>
            </w:r>
            <w:r w:rsidRPr="005C470C">
              <w:rPr>
                <w:rFonts w:ascii="Times New Roman" w:eastAsia="Times New Roman" w:hAnsi="Times New Roman" w:cs="Times New Roman"/>
                <w:color w:val="000000"/>
                <w:sz w:val="20"/>
                <w:szCs w:val="20"/>
                <w:lang w:val="en-US" w:eastAsia="pt-BR"/>
              </w:rPr>
              <w:t xml:space="preserve"> significant difference in term of quality of life, pain intensity or long-term stability between the two appliances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CDC0904" w14:textId="16266C2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2B33BC" w:rsidRPr="005C470C">
              <w:rPr>
                <w:rFonts w:ascii="Times New Roman" w:eastAsia="Times New Roman" w:hAnsi="Times New Roman" w:cs="Times New Roman"/>
                <w:color w:val="000000"/>
                <w:sz w:val="20"/>
                <w:szCs w:val="20"/>
                <w:lang w:val="en-US" w:eastAsia="pt-BR"/>
              </w:rPr>
              <w:t xml:space="preserve"> - Based on the limited number of high</w:t>
            </w:r>
            <w:r w:rsidR="00AF5F1B" w:rsidRPr="005C470C">
              <w:rPr>
                <w:rFonts w:ascii="Times New Roman" w:eastAsia="Times New Roman" w:hAnsi="Times New Roman" w:cs="Times New Roman"/>
                <w:color w:val="000000"/>
                <w:sz w:val="20"/>
                <w:szCs w:val="20"/>
                <w:lang w:val="en-US" w:eastAsia="pt-BR"/>
              </w:rPr>
              <w:t>-</w:t>
            </w:r>
            <w:r w:rsidR="002B33BC" w:rsidRPr="005C470C">
              <w:rPr>
                <w:rFonts w:ascii="Times New Roman" w:eastAsia="Times New Roman" w:hAnsi="Times New Roman" w:cs="Times New Roman"/>
                <w:color w:val="000000"/>
                <w:sz w:val="20"/>
                <w:szCs w:val="20"/>
                <w:lang w:val="en-US" w:eastAsia="pt-BR"/>
              </w:rPr>
              <w:t xml:space="preserve">quality of the included studies in this </w:t>
            </w:r>
            <w:r w:rsidR="00434FEC" w:rsidRPr="005C470C">
              <w:rPr>
                <w:rFonts w:ascii="Times New Roman" w:eastAsia="Times New Roman" w:hAnsi="Times New Roman" w:cs="Times New Roman"/>
                <w:color w:val="000000"/>
                <w:sz w:val="20"/>
                <w:szCs w:val="20"/>
                <w:lang w:val="en-US" w:eastAsia="pt-BR"/>
              </w:rPr>
              <w:t>SR</w:t>
            </w:r>
            <w:r w:rsidR="002B33BC" w:rsidRPr="005C470C">
              <w:rPr>
                <w:rFonts w:ascii="Times New Roman" w:eastAsia="Times New Roman" w:hAnsi="Times New Roman" w:cs="Times New Roman"/>
                <w:color w:val="000000"/>
                <w:sz w:val="20"/>
                <w:szCs w:val="20"/>
                <w:lang w:val="en-US" w:eastAsia="pt-BR"/>
              </w:rPr>
              <w:t xml:space="preserve"> the above conclusions should be interpreted with caution, and well</w:t>
            </w:r>
            <w:r w:rsidR="00AF5F1B" w:rsidRPr="005C470C">
              <w:rPr>
                <w:rFonts w:ascii="Times New Roman" w:eastAsia="Times New Roman" w:hAnsi="Times New Roman" w:cs="Times New Roman"/>
                <w:color w:val="000000"/>
                <w:sz w:val="20"/>
                <w:szCs w:val="20"/>
                <w:lang w:val="en-US" w:eastAsia="pt-BR"/>
              </w:rPr>
              <w:t>-</w:t>
            </w:r>
            <w:r w:rsidR="002B33BC" w:rsidRPr="005C470C">
              <w:rPr>
                <w:rFonts w:ascii="Times New Roman" w:eastAsia="Times New Roman" w:hAnsi="Times New Roman" w:cs="Times New Roman"/>
                <w:color w:val="000000"/>
                <w:sz w:val="20"/>
                <w:szCs w:val="20"/>
                <w:lang w:val="en-US" w:eastAsia="pt-BR"/>
              </w:rPr>
              <w:t>designed RCTs are needed</w:t>
            </w:r>
            <w:r w:rsidR="00B0457E">
              <w:rPr>
                <w:rFonts w:ascii="Times New Roman" w:eastAsia="Times New Roman" w:hAnsi="Times New Roman" w:cs="Times New Roman"/>
                <w:color w:val="000000"/>
                <w:sz w:val="20"/>
                <w:szCs w:val="20"/>
                <w:lang w:val="en-US" w:eastAsia="pt-BR"/>
              </w:rPr>
              <w:t>.</w:t>
            </w:r>
          </w:p>
        </w:tc>
      </w:tr>
      <w:tr w:rsidR="00F439CD" w:rsidRPr="00114AF5" w14:paraId="702C251B" w14:textId="77777777" w:rsidTr="00114AF5">
        <w:trPr>
          <w:trHeight w:val="20"/>
        </w:trPr>
        <w:tc>
          <w:tcPr>
            <w:tcW w:w="1135" w:type="dxa"/>
            <w:shd w:val="clear" w:color="auto" w:fill="auto"/>
            <w:vAlign w:val="center"/>
            <w:hideMark/>
          </w:tcPr>
          <w:p w14:paraId="53AC5675"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Khijmatgar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&lt;EndNote&gt;&lt;Cite&gt;&lt;Author&gt;Khijmatgar&lt;/Author&gt;&lt;Year&gt;2020&lt;/Year&gt;&lt;RecNum&gt;20928&lt;/RecNum&gt;&lt;DisplayText&gt;&lt;style face="superscript"&gt;52&lt;/style&gt;&lt;/DisplayText&gt;&lt;record&gt;&lt;rec-number&gt;20928&lt;/rec-number&gt;&lt;foreign-keys&gt;&lt;key app="EN" db-id="f5fv5a2shx52dqesxzmpffeqzt5ffxae2vev" timestamp="1607902564"&gt;20928&lt;/key&gt;&lt;/foreign-keys&gt;&lt;ref-type name="Journal Article"&gt;17&lt;/ref-type&gt;&lt;contributors&gt;&lt;authors&gt;&lt;author&gt;Khijmatgar, Shahnawaz&lt;/author&gt;&lt;author&gt;Reddy, Upasana&lt;/author&gt;&lt;author&gt;John, Stephin&lt;/author&gt;&lt;author&gt;Badavannavar, Anand N&lt;/author&gt;&lt;author&gt;Souza, Teena D&lt;/author&gt;&lt;/authors&gt;&lt;/contributors&gt;&lt;titles&gt;&lt;title&gt;Is there evidence for Novamin application in remineralization?: A Systematic review&lt;/title&gt;&lt;secondary-title&gt;Journal of Oral Biology and Craniofacial Research&lt;/secondary-title&gt;&lt;/titles&gt;&lt;periodical&gt;&lt;full-title&gt;Journal of Oral Biology and Craniofacial Research&lt;/full-title&gt;&lt;/periodical&gt;&lt;pages&gt;87-92&lt;/pages&gt;&lt;volume&gt;10&lt;/volume&gt;&lt;number&gt;2&lt;/number&gt;&lt;dates&gt;&lt;year&gt;2020&lt;/year&gt;&lt;/dates&gt;&lt;isbn&gt;2212-4268&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52</w:t>
            </w:r>
            <w:r w:rsidR="0008652B" w:rsidRPr="005C470C">
              <w:rPr>
                <w:rFonts w:ascii="Times New Roman" w:eastAsia="Times New Roman" w:hAnsi="Times New Roman" w:cs="Times New Roman"/>
                <w:sz w:val="20"/>
                <w:szCs w:val="20"/>
                <w:lang w:eastAsia="pt-BR"/>
              </w:rPr>
              <w:fldChar w:fldCharType="end"/>
            </w:r>
          </w:p>
          <w:p w14:paraId="5F6C72D0" w14:textId="07B92EA4"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India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26A1BAA8" w14:textId="77777777"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Journal of Oral Biology and Craniofacial Research</w:t>
            </w:r>
          </w:p>
          <w:p w14:paraId="5E7D90D1" w14:textId="100ECC41"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w:t>
            </w:r>
            <w:r w:rsidR="00EF5009">
              <w:rPr>
                <w:rFonts w:ascii="Times New Roman" w:eastAsia="Times New Roman" w:hAnsi="Times New Roman" w:cs="Times New Roman"/>
                <w:sz w:val="20"/>
                <w:szCs w:val="20"/>
                <w:lang w:eastAsia="pt-BR"/>
              </w:rPr>
              <w:t>NR</w:t>
            </w:r>
            <w:r w:rsidRPr="00C53143">
              <w:rPr>
                <w:rFonts w:ascii="Times New Roman" w:eastAsia="Times New Roman" w:hAnsi="Times New Roman" w:cs="Times New Roman"/>
                <w:sz w:val="20"/>
                <w:szCs w:val="20"/>
                <w:lang w:eastAsia="pt-BR"/>
              </w:rPr>
              <w:t>)</w:t>
            </w:r>
          </w:p>
        </w:tc>
        <w:tc>
          <w:tcPr>
            <w:tcW w:w="1418" w:type="dxa"/>
            <w:shd w:val="clear" w:color="auto" w:fill="auto"/>
            <w:vAlign w:val="center"/>
            <w:hideMark/>
          </w:tcPr>
          <w:p w14:paraId="12299A6A"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61158AFB" w14:textId="5C37E075"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analyze the previous published RCT's articles to find out an evidence of Novamin's use in remineralization of the tooth</w:t>
            </w:r>
          </w:p>
        </w:tc>
        <w:tc>
          <w:tcPr>
            <w:tcW w:w="1134" w:type="dxa"/>
            <w:shd w:val="clear" w:color="auto" w:fill="auto"/>
            <w:vAlign w:val="center"/>
            <w:hideMark/>
          </w:tcPr>
          <w:p w14:paraId="12819B0C" w14:textId="3EC9CBC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Live human with evidence of demineralization (white spot lesions and/or cavitation on teeth)</w:t>
            </w:r>
          </w:p>
        </w:tc>
        <w:tc>
          <w:tcPr>
            <w:tcW w:w="1276" w:type="dxa"/>
            <w:shd w:val="clear" w:color="auto" w:fill="auto"/>
            <w:vAlign w:val="center"/>
            <w:hideMark/>
          </w:tcPr>
          <w:p w14:paraId="1125E95D" w14:textId="039C045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Various types of Novamin without any limitation </w:t>
            </w:r>
            <w:r w:rsidR="00963C0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formulation, concentration, vehicles, method, duration and frequency of application</w:t>
            </w:r>
            <w:r w:rsidR="00963C08" w:rsidRPr="005C470C">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6764BA1"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Negative control</w:t>
            </w:r>
          </w:p>
        </w:tc>
        <w:tc>
          <w:tcPr>
            <w:tcW w:w="1275" w:type="dxa"/>
            <w:shd w:val="clear" w:color="auto" w:fill="auto"/>
            <w:vAlign w:val="center"/>
            <w:hideMark/>
          </w:tcPr>
          <w:p w14:paraId="33405E31" w14:textId="6621A58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Remineralization of teeth</w:t>
            </w:r>
          </w:p>
        </w:tc>
        <w:tc>
          <w:tcPr>
            <w:tcW w:w="1134" w:type="dxa"/>
            <w:shd w:val="clear" w:color="auto" w:fill="auto"/>
            <w:vAlign w:val="center"/>
            <w:hideMark/>
          </w:tcPr>
          <w:p w14:paraId="476A5DA2"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w:t>
            </w:r>
          </w:p>
        </w:tc>
        <w:tc>
          <w:tcPr>
            <w:tcW w:w="567" w:type="dxa"/>
            <w:shd w:val="clear" w:color="auto" w:fill="auto"/>
            <w:vAlign w:val="center"/>
            <w:hideMark/>
          </w:tcPr>
          <w:p w14:paraId="5696F5E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786487E4" w14:textId="0808EF81" w:rsidR="006226A8" w:rsidRPr="005C470C" w:rsidRDefault="00AF5F1B"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w:t>
            </w:r>
            <w:r w:rsidR="006226A8" w:rsidRPr="005C470C">
              <w:rPr>
                <w:rFonts w:ascii="Times New Roman" w:eastAsia="Times New Roman" w:hAnsi="Times New Roman" w:cs="Times New Roman"/>
                <w:color w:val="000000"/>
                <w:sz w:val="20"/>
                <w:szCs w:val="20"/>
                <w:lang w:val="en-US" w:eastAsia="pt-BR"/>
              </w:rPr>
              <w:t xml:space="preserve"> evidence states that there is no significant scientific data to support the remineralizing capacity of Novamin when compared to traditional toothpaste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3BE2206" w14:textId="59D8DE6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AF5F1B" w:rsidRPr="005C470C">
              <w:rPr>
                <w:rFonts w:ascii="Times New Roman" w:eastAsia="Times New Roman" w:hAnsi="Times New Roman" w:cs="Times New Roman"/>
                <w:color w:val="000000"/>
                <w:sz w:val="20"/>
                <w:szCs w:val="20"/>
                <w:lang w:val="en-US" w:eastAsia="pt-BR"/>
              </w:rPr>
              <w:t xml:space="preserve"> - before any definitive recommendation can be made more studies with scientific evidence should be carried out</w:t>
            </w:r>
            <w:r w:rsidR="00B0457E">
              <w:rPr>
                <w:rFonts w:ascii="Times New Roman" w:eastAsia="Times New Roman" w:hAnsi="Times New Roman" w:cs="Times New Roman"/>
                <w:color w:val="000000"/>
                <w:sz w:val="20"/>
                <w:szCs w:val="20"/>
                <w:lang w:val="en-US" w:eastAsia="pt-BR"/>
              </w:rPr>
              <w:t>.</w:t>
            </w:r>
          </w:p>
        </w:tc>
      </w:tr>
      <w:tr w:rsidR="00F439CD" w:rsidRPr="00114AF5" w14:paraId="33776BD5" w14:textId="77777777" w:rsidTr="00114AF5">
        <w:trPr>
          <w:trHeight w:val="20"/>
        </w:trPr>
        <w:tc>
          <w:tcPr>
            <w:tcW w:w="1135" w:type="dxa"/>
            <w:shd w:val="clear" w:color="auto" w:fill="auto"/>
            <w:vAlign w:val="center"/>
            <w:hideMark/>
          </w:tcPr>
          <w:p w14:paraId="6E9F668E"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Klinge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&lt;EndNote&gt;&lt;Cite&gt;&lt;Author&gt;Klinge&lt;/Author&gt;&lt;Year&gt;2020&lt;/Year&gt;&lt;RecNum&gt;20927&lt;/RecNum&gt;&lt;DisplayText&gt;&lt;style face="superscript"&gt;53&lt;/style&gt;&lt;/DisplayText&gt;&lt;record&gt;&lt;rec-number&gt;20927&lt;/rec-number&gt;&lt;foreign-keys&gt;&lt;key app="EN" db-id="f5fv5a2shx52dqesxzmpffeqzt5ffxae2vev" timestamp="1607902564"&gt;20927&lt;/key&gt;&lt;/foreign-keys&gt;&lt;ref-type name="Journal Article"&gt;17&lt;/ref-type&gt;&lt;contributors&gt;&lt;authors&gt;&lt;author&gt;Klinge, Anna&lt;/author&gt;&lt;author&gt;Khalil, Dalia&lt;/author&gt;&lt;author&gt;Klinge, Björn&lt;/author&gt;&lt;author&gt;Lund, Bodil&lt;/author&gt;&lt;author&gt;Naimi-Akbar, Aron&lt;/author&gt;&lt;author&gt;Tranaeus, Sofia&lt;/author&gt;&lt;author&gt;Hultin, Margareta&lt;/author&gt;&lt;/authors&gt;&lt;/contributors&gt;&lt;titles&gt;&lt;title&gt;Prophylactic antibiotics for staged bone augmentation in implant dentistry&lt;/title&gt;&lt;secondary-title&gt;Acta Odontologica Scandinavica&lt;/secondary-title&gt;&lt;/titles&gt;&lt;periodical&gt;&lt;full-title&gt;Acta Odontol Scand&lt;/full-title&gt;&lt;abbr-1&gt;Acta odontologica Scandinavica&lt;/abbr-1&gt;&lt;/periodical&gt;&lt;pages&gt;64-73&lt;/pages&gt;&lt;volume&gt;78&lt;/volume&gt;&lt;number&gt;1&lt;/number&gt;&lt;dates&gt;&lt;year&gt;2020&lt;/year&gt;&lt;/dates&gt;&lt;isbn&gt;0001-6357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53</w:t>
            </w:r>
            <w:r w:rsidR="0008652B" w:rsidRPr="005C470C">
              <w:rPr>
                <w:rFonts w:ascii="Times New Roman" w:eastAsia="Times New Roman" w:hAnsi="Times New Roman" w:cs="Times New Roman"/>
                <w:sz w:val="20"/>
                <w:szCs w:val="20"/>
                <w:lang w:eastAsia="pt-BR"/>
              </w:rPr>
              <w:fldChar w:fldCharType="end"/>
            </w:r>
          </w:p>
          <w:p w14:paraId="68987059" w14:textId="01D7F714"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Sweden</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54873B97" w14:textId="7777777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Acta odontologica Scandinavica</w:t>
            </w:r>
          </w:p>
          <w:p w14:paraId="3B1AE3C5" w14:textId="6305EAAB"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(1.573)</w:t>
            </w:r>
          </w:p>
        </w:tc>
        <w:tc>
          <w:tcPr>
            <w:tcW w:w="1418" w:type="dxa"/>
            <w:shd w:val="clear" w:color="auto" w:fill="auto"/>
            <w:vAlign w:val="center"/>
            <w:hideMark/>
          </w:tcPr>
          <w:p w14:paraId="11A0C374"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5F76E62C" w14:textId="6AFE846A"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 xml:space="preserve">assess the available scientific literature regarding the efficacy of prophylactic antibiotics at bone augmentation procedures </w:t>
            </w:r>
            <w:r w:rsidR="006226A8" w:rsidRPr="005C470C">
              <w:rPr>
                <w:rFonts w:ascii="Times New Roman" w:eastAsia="Times New Roman" w:hAnsi="Times New Roman" w:cs="Times New Roman"/>
                <w:sz w:val="20"/>
                <w:szCs w:val="20"/>
                <w:lang w:val="en-US" w:eastAsia="pt-BR"/>
              </w:rPr>
              <w:lastRenderedPageBreak/>
              <w:t>and subsequent dental implant placement</w:t>
            </w:r>
          </w:p>
        </w:tc>
        <w:tc>
          <w:tcPr>
            <w:tcW w:w="1134" w:type="dxa"/>
            <w:shd w:val="clear" w:color="auto" w:fill="auto"/>
            <w:vAlign w:val="center"/>
            <w:hideMark/>
          </w:tcPr>
          <w:p w14:paraId="6F69063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Patients subjected to bone augmentation procedures with or without simultaneous implant placement</w:t>
            </w:r>
          </w:p>
        </w:tc>
        <w:tc>
          <w:tcPr>
            <w:tcW w:w="1276" w:type="dxa"/>
            <w:shd w:val="clear" w:color="auto" w:fill="auto"/>
            <w:vAlign w:val="center"/>
            <w:hideMark/>
          </w:tcPr>
          <w:p w14:paraId="2B1F6855" w14:textId="7DC0E6D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Antibiotics on day of surgery </w:t>
            </w:r>
            <w:r w:rsidR="00963C0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short-termed prophylaxis</w:t>
            </w:r>
            <w:r w:rsidR="00963C0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Antibiotics more than day of surgery </w:t>
            </w:r>
            <w:r w:rsidR="00963C0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extended” prophylaxis</w:t>
            </w:r>
            <w:r w:rsidR="00963C0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lastRenderedPageBreak/>
              <w:t>Head-to-head comparison of different antibiotic compounds or regiments</w:t>
            </w:r>
          </w:p>
        </w:tc>
        <w:tc>
          <w:tcPr>
            <w:tcW w:w="1418" w:type="dxa"/>
            <w:shd w:val="clear" w:color="auto" w:fill="auto"/>
            <w:vAlign w:val="center"/>
            <w:hideMark/>
          </w:tcPr>
          <w:p w14:paraId="6EF25952" w14:textId="24C40A1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No antibiotic treatment; Placebo; Other nonantibiotic treatment </w:t>
            </w:r>
            <w:r w:rsidR="00963C0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antibacterial rinsing</w:t>
            </w:r>
            <w:r w:rsidR="00963C0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Other/comparing antibiotic treatment (alternative </w:t>
            </w:r>
            <w:r w:rsidRPr="005C470C">
              <w:rPr>
                <w:rFonts w:ascii="Times New Roman" w:eastAsia="Times New Roman" w:hAnsi="Times New Roman" w:cs="Times New Roman"/>
                <w:color w:val="000000"/>
                <w:sz w:val="20"/>
                <w:szCs w:val="20"/>
                <w:lang w:val="en-US" w:eastAsia="pt-BR"/>
              </w:rPr>
              <w:lastRenderedPageBreak/>
              <w:t>compound); Same compound, different dose/duration</w:t>
            </w:r>
          </w:p>
        </w:tc>
        <w:tc>
          <w:tcPr>
            <w:tcW w:w="1275" w:type="dxa"/>
            <w:shd w:val="clear" w:color="auto" w:fill="auto"/>
            <w:vAlign w:val="center"/>
            <w:hideMark/>
          </w:tcPr>
          <w:p w14:paraId="625993D3" w14:textId="45E6CC5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Infection; Quality of life; Pain; Implant loss; Loss of transplant; Sequestrum/se</w:t>
            </w:r>
            <w:r w:rsidR="00963C08" w:rsidRPr="005C470C">
              <w:rPr>
                <w:rFonts w:ascii="Times New Roman" w:eastAsia="Times New Roman" w:hAnsi="Times New Roman" w:cs="Times New Roman"/>
                <w:color w:val="000000"/>
                <w:sz w:val="20"/>
                <w:szCs w:val="20"/>
                <w:lang w:val="en-US" w:eastAsia="pt-BR"/>
              </w:rPr>
              <w:t>q</w:t>
            </w:r>
            <w:r w:rsidRPr="005C470C">
              <w:rPr>
                <w:rFonts w:ascii="Times New Roman" w:eastAsia="Times New Roman" w:hAnsi="Times New Roman" w:cs="Times New Roman"/>
                <w:color w:val="000000"/>
                <w:sz w:val="20"/>
                <w:szCs w:val="20"/>
                <w:lang w:val="en-US" w:eastAsia="pt-BR"/>
              </w:rPr>
              <w:t xml:space="preserve">uestra; Bone gain assessed by increased </w:t>
            </w:r>
            <w:r w:rsidRPr="005C470C">
              <w:rPr>
                <w:rFonts w:ascii="Times New Roman" w:eastAsia="Times New Roman" w:hAnsi="Times New Roman" w:cs="Times New Roman"/>
                <w:color w:val="000000"/>
                <w:sz w:val="20"/>
                <w:szCs w:val="20"/>
                <w:lang w:val="en-US" w:eastAsia="pt-BR"/>
              </w:rPr>
              <w:lastRenderedPageBreak/>
              <w:t>volume; Health economy; Ethical aspects</w:t>
            </w:r>
          </w:p>
        </w:tc>
        <w:tc>
          <w:tcPr>
            <w:tcW w:w="1134" w:type="dxa"/>
            <w:shd w:val="clear" w:color="auto" w:fill="auto"/>
            <w:vAlign w:val="center"/>
            <w:hideMark/>
          </w:tcPr>
          <w:p w14:paraId="2188FB5E"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(n=4)</w:t>
            </w:r>
          </w:p>
        </w:tc>
        <w:tc>
          <w:tcPr>
            <w:tcW w:w="567" w:type="dxa"/>
            <w:shd w:val="clear" w:color="auto" w:fill="auto"/>
            <w:vAlign w:val="center"/>
            <w:hideMark/>
          </w:tcPr>
          <w:p w14:paraId="1F20065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2A9FEC22" w14:textId="7D37F4B2"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w:t>
            </w:r>
            <w:r w:rsidR="006226A8" w:rsidRPr="005C470C">
              <w:rPr>
                <w:rFonts w:ascii="Times New Roman" w:eastAsia="Times New Roman" w:hAnsi="Times New Roman" w:cs="Times New Roman"/>
                <w:color w:val="000000"/>
                <w:sz w:val="20"/>
                <w:szCs w:val="20"/>
                <w:lang w:val="en-US" w:eastAsia="pt-BR"/>
              </w:rPr>
              <w:t xml:space="preserve">scientific evidence regarding the use of antibiotic prophylaxis for reducing the risk of infection at bone augmentation procedures and subsequent dental implant placement </w:t>
            </w:r>
            <w:r w:rsidR="006226A8" w:rsidRPr="005C470C">
              <w:rPr>
                <w:rFonts w:ascii="Times New Roman" w:eastAsia="Times New Roman" w:hAnsi="Times New Roman" w:cs="Times New Roman"/>
                <w:color w:val="000000"/>
                <w:sz w:val="20"/>
                <w:szCs w:val="20"/>
                <w:lang w:val="en-US" w:eastAsia="pt-BR"/>
              </w:rPr>
              <w:lastRenderedPageBreak/>
              <w:t>is very limited. Infection rate has been shown to be low using a single dose of prophylactic antibiotics. However, the infection rate in comparison to nonusage of prophylactic antibiotics, the compound, and the duration of prophylactic treatment is still not known</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432947D" w14:textId="6FD944F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963C08" w:rsidRPr="005C470C">
              <w:rPr>
                <w:rFonts w:ascii="Times New Roman" w:eastAsia="Times New Roman" w:hAnsi="Times New Roman" w:cs="Times New Roman"/>
                <w:color w:val="000000"/>
                <w:sz w:val="20"/>
                <w:szCs w:val="20"/>
                <w:lang w:val="en-US" w:eastAsia="pt-BR"/>
              </w:rPr>
              <w:t xml:space="preserve"> - There is a need for further primary RCTs</w:t>
            </w:r>
            <w:r w:rsidR="00B0457E">
              <w:rPr>
                <w:rFonts w:ascii="Times New Roman" w:eastAsia="Times New Roman" w:hAnsi="Times New Roman" w:cs="Times New Roman"/>
                <w:color w:val="000000"/>
                <w:sz w:val="20"/>
                <w:szCs w:val="20"/>
                <w:lang w:val="en-US" w:eastAsia="pt-BR"/>
              </w:rPr>
              <w:t>.</w:t>
            </w:r>
          </w:p>
        </w:tc>
      </w:tr>
      <w:tr w:rsidR="002914BB" w:rsidRPr="005C470C" w14:paraId="2C0C68B5" w14:textId="77777777" w:rsidTr="00114AF5">
        <w:trPr>
          <w:trHeight w:val="3909"/>
        </w:trPr>
        <w:tc>
          <w:tcPr>
            <w:tcW w:w="1135" w:type="dxa"/>
            <w:shd w:val="clear" w:color="auto" w:fill="auto"/>
            <w:vAlign w:val="center"/>
            <w:hideMark/>
          </w:tcPr>
          <w:p w14:paraId="4950F394"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Knösel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&lt;EndNote&gt;&lt;Cite&gt;&lt;Author&gt;Knoesel&lt;/Author&gt;&lt;Year&gt;2020&lt;/Year&gt;&lt;RecNum&gt;20926&lt;/RecNum&gt;&lt;DisplayText&gt;&lt;style face="superscript"&gt;54&lt;/style&gt;&lt;/DisplayText&gt;&lt;record&gt;&lt;rec-number&gt;20926&lt;/rec-number&gt;&lt;foreign-keys&gt;&lt;key app="EN" db-id="f5fv5a2shx52dqesxzmpffeqzt5ffxae2vev" timestamp="1607902564"&gt;20926&lt;/key&gt;&lt;/foreign-keys&gt;&lt;ref-type name="Journal Article"&gt;17&lt;/ref-type&gt;&lt;contributors&gt;&lt;authors&gt;&lt;author&gt;Knoesel, Michael&lt;/author&gt;&lt;author&gt;Espinoza-Espinoza, Gerardo Enrique&lt;/author&gt;&lt;author&gt;Sandoval-Vidal, Paulo&lt;/author&gt;&lt;author&gt;Zaror, Carlos&lt;/author&gt;&lt;/authors&gt;&lt;/contributors&gt;&lt;titles&gt;&lt;title&gt;Angle class II correction: stepwise mandibular advancement or bite jumping?: A systematic review and meta-analysis of skeletal, dental and condylar effects&lt;/title&gt;&lt;secondary-title&gt;Journal of orofacial orthopedics= Fortschritte der Kieferorthopadie: Organ/official journal Deutsche Gesellschaft fur Kieferorthopadie&lt;/secondary-title&gt;&lt;/titles&gt;&lt;periodical&gt;&lt;full-title&gt;Journal of orofacial orthopedics= Fortschritte der Kieferorthopadie: Organ/official journal Deutsche Gesellschaft fur Kieferorthopadie&lt;/full-title&gt;&lt;/periodical&gt;&lt;dates&gt;&lt;year&gt;2020&lt;/year&gt;&lt;/dates&gt;&lt;isbn&gt;1434-5293&lt;/isbn&gt;&lt;urls&gt;&lt;/urls&gt;&lt;/record&gt;&lt;/Cite&gt;&lt;/EndNote&gt;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54</w:t>
            </w:r>
            <w:r w:rsidR="0008652B" w:rsidRPr="005C470C">
              <w:rPr>
                <w:rFonts w:ascii="Times New Roman" w:eastAsia="Times New Roman" w:hAnsi="Times New Roman" w:cs="Times New Roman"/>
                <w:sz w:val="20"/>
                <w:szCs w:val="20"/>
                <w:lang w:eastAsia="pt-BR"/>
              </w:rPr>
              <w:fldChar w:fldCharType="end"/>
            </w:r>
          </w:p>
          <w:p w14:paraId="07709DDA" w14:textId="1C955A06"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Chile</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1421F4F8"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orofacial orthopedics</w:t>
            </w:r>
          </w:p>
          <w:p w14:paraId="06647503" w14:textId="02DB391B"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(1.286)</w:t>
            </w:r>
          </w:p>
        </w:tc>
        <w:tc>
          <w:tcPr>
            <w:tcW w:w="1418" w:type="dxa"/>
            <w:shd w:val="clear" w:color="auto" w:fill="auto"/>
            <w:vAlign w:val="center"/>
            <w:hideMark/>
          </w:tcPr>
          <w:p w14:paraId="56E9AC23"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5D7D8F75" w14:textId="456ACD8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To compare the mode of activation (stepwise vs. bite-jumping)</w:t>
            </w:r>
            <w:r w:rsidR="00963C08"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of Angle class II correcting appliances</w:t>
            </w:r>
          </w:p>
        </w:tc>
        <w:tc>
          <w:tcPr>
            <w:tcW w:w="1134" w:type="dxa"/>
            <w:shd w:val="clear" w:color="auto" w:fill="auto"/>
            <w:vAlign w:val="center"/>
            <w:hideMark/>
          </w:tcPr>
          <w:p w14:paraId="34F5660E" w14:textId="55303726"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Pre</w:t>
            </w:r>
            <w:r w:rsidR="006226A8" w:rsidRPr="005C470C">
              <w:rPr>
                <w:rFonts w:ascii="Times New Roman" w:eastAsia="Times New Roman" w:hAnsi="Times New Roman" w:cs="Times New Roman"/>
                <w:color w:val="000000"/>
                <w:sz w:val="20"/>
                <w:szCs w:val="20"/>
                <w:lang w:val="en-US" w:eastAsia="pt-BR"/>
              </w:rPr>
              <w:t>-adolescent, adolescent,</w:t>
            </w:r>
            <w:r w:rsidR="00963C08"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and adult humans with i</w:t>
            </w:r>
            <w:r w:rsidR="00963C08" w:rsidRPr="005C470C">
              <w:rPr>
                <w:rFonts w:ascii="Times New Roman" w:eastAsia="Times New Roman" w:hAnsi="Times New Roman" w:cs="Times New Roman"/>
                <w:color w:val="000000"/>
                <w:sz w:val="20"/>
                <w:szCs w:val="20"/>
                <w:lang w:val="en-US" w:eastAsia="pt-BR"/>
              </w:rPr>
              <w:t>ni</w:t>
            </w:r>
            <w:r w:rsidR="006226A8" w:rsidRPr="005C470C">
              <w:rPr>
                <w:rFonts w:ascii="Times New Roman" w:eastAsia="Times New Roman" w:hAnsi="Times New Roman" w:cs="Times New Roman"/>
                <w:color w:val="000000"/>
                <w:sz w:val="20"/>
                <w:szCs w:val="20"/>
                <w:lang w:val="en-US" w:eastAsia="pt-BR"/>
              </w:rPr>
              <w:t>tial (pretreatment) Angle class II malocclusion, without further restriction</w:t>
            </w:r>
          </w:p>
        </w:tc>
        <w:tc>
          <w:tcPr>
            <w:tcW w:w="1276" w:type="dxa"/>
            <w:shd w:val="clear" w:color="auto" w:fill="auto"/>
            <w:vAlign w:val="center"/>
            <w:hideMark/>
          </w:tcPr>
          <w:p w14:paraId="4558E5CD" w14:textId="6B2BE86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Orthodontic fixed or removable bimaxillary</w:t>
            </w:r>
            <w:r w:rsidR="00963C08"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functional appliances for Angle class II malocclusion</w:t>
            </w:r>
            <w:r w:rsidR="00963C08"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correction used in stepwise mode</w:t>
            </w:r>
          </w:p>
        </w:tc>
        <w:tc>
          <w:tcPr>
            <w:tcW w:w="1418" w:type="dxa"/>
            <w:shd w:val="clear" w:color="auto" w:fill="auto"/>
            <w:vAlign w:val="center"/>
            <w:hideMark/>
          </w:tcPr>
          <w:p w14:paraId="7E74C495" w14:textId="4669D22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Orthodontic fixed or removable bimaxillary</w:t>
            </w:r>
            <w:r w:rsidR="00963C08"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functional appliances for Angle class II malocclusion</w:t>
            </w:r>
            <w:r w:rsidR="00963C08"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correction used in bite-jumping mode</w:t>
            </w:r>
          </w:p>
        </w:tc>
        <w:tc>
          <w:tcPr>
            <w:tcW w:w="1275" w:type="dxa"/>
            <w:shd w:val="clear" w:color="auto" w:fill="auto"/>
            <w:vAlign w:val="center"/>
            <w:hideMark/>
          </w:tcPr>
          <w:p w14:paraId="60A68389" w14:textId="17C313E2" w:rsidR="006226A8" w:rsidRPr="005C470C" w:rsidRDefault="00963C0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w:t>
            </w:r>
            <w:r w:rsidR="006226A8" w:rsidRPr="005C470C">
              <w:rPr>
                <w:rFonts w:ascii="Times New Roman" w:eastAsia="Times New Roman" w:hAnsi="Times New Roman" w:cs="Times New Roman"/>
                <w:color w:val="000000"/>
                <w:sz w:val="20"/>
                <w:szCs w:val="20"/>
                <w:lang w:val="en-US" w:eastAsia="pt-BR"/>
              </w:rPr>
              <w:t>keletal</w:t>
            </w:r>
            <w:r w:rsidR="0088156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dental class</w:t>
            </w:r>
            <w:r w:rsidR="0088156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II</w:t>
            </w:r>
            <w:r w:rsidR="0088156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correction,</w:t>
            </w:r>
            <w:r w:rsidR="00881560"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effects on condylar growth, lower incisor proclination, overjet</w:t>
            </w:r>
            <w:r w:rsidR="00881560"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overbite reduction</w:t>
            </w:r>
            <w:r w:rsidRPr="005C470C">
              <w:rPr>
                <w:rFonts w:ascii="Times New Roman" w:eastAsia="Times New Roman" w:hAnsi="Times New Roman" w:cs="Times New Roman"/>
                <w:color w:val="000000"/>
                <w:sz w:val="20"/>
                <w:szCs w:val="20"/>
                <w:lang w:val="en-US" w:eastAsia="pt-BR"/>
              </w:rPr>
              <w:t xml:space="preserve">; </w:t>
            </w:r>
            <w:r w:rsidR="00881560" w:rsidRPr="005C470C">
              <w:rPr>
                <w:rFonts w:ascii="Times New Roman" w:eastAsia="Times New Roman" w:hAnsi="Times New Roman" w:cs="Times New Roman"/>
                <w:color w:val="000000"/>
                <w:sz w:val="20"/>
                <w:szCs w:val="20"/>
                <w:lang w:val="en-US" w:eastAsia="pt-BR"/>
              </w:rPr>
              <w:t>l</w:t>
            </w:r>
            <w:r w:rsidR="006226A8" w:rsidRPr="005C470C">
              <w:rPr>
                <w:rFonts w:ascii="Times New Roman" w:eastAsia="Times New Roman" w:hAnsi="Times New Roman" w:cs="Times New Roman"/>
                <w:color w:val="000000"/>
                <w:sz w:val="20"/>
                <w:szCs w:val="20"/>
                <w:lang w:val="en-US" w:eastAsia="pt-BR"/>
              </w:rPr>
              <w:t>ong-term occlusal stability,</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pain, discomfort,</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tolerance due to tech</w:t>
            </w:r>
            <w:r w:rsidR="00A70A8C" w:rsidRPr="005C470C">
              <w:rPr>
                <w:rFonts w:ascii="Times New Roman" w:eastAsia="Times New Roman" w:hAnsi="Times New Roman" w:cs="Times New Roman"/>
                <w:color w:val="000000"/>
                <w:sz w:val="20"/>
                <w:szCs w:val="20"/>
                <w:lang w:val="en-US" w:eastAsia="pt-BR"/>
              </w:rPr>
              <w:t>ni</w:t>
            </w:r>
            <w:r w:rsidR="006226A8" w:rsidRPr="005C470C">
              <w:rPr>
                <w:rFonts w:ascii="Times New Roman" w:eastAsia="Times New Roman" w:hAnsi="Times New Roman" w:cs="Times New Roman"/>
                <w:color w:val="000000"/>
                <w:sz w:val="20"/>
                <w:szCs w:val="20"/>
                <w:lang w:val="en-US" w:eastAsia="pt-BR"/>
              </w:rPr>
              <w:t>cal appliance</w:t>
            </w:r>
            <w:r w:rsidRPr="005C470C">
              <w:rPr>
                <w:rFonts w:ascii="Times New Roman" w:eastAsia="Times New Roman" w:hAnsi="Times New Roman" w:cs="Times New Roman"/>
                <w:color w:val="000000"/>
                <w:sz w:val="20"/>
                <w:szCs w:val="20"/>
                <w:lang w:val="en-US" w:eastAsia="pt-BR"/>
              </w:rPr>
              <w:t xml:space="preserve">, </w:t>
            </w:r>
            <w:r w:rsidR="00881560" w:rsidRPr="005C470C">
              <w:rPr>
                <w:rFonts w:ascii="Times New Roman" w:eastAsia="Times New Roman" w:hAnsi="Times New Roman" w:cs="Times New Roman"/>
                <w:color w:val="000000"/>
                <w:sz w:val="20"/>
                <w:szCs w:val="20"/>
                <w:lang w:val="en-US" w:eastAsia="pt-BR"/>
              </w:rPr>
              <w:lastRenderedPageBreak/>
              <w:t>p</w:t>
            </w:r>
            <w:r w:rsidR="006226A8" w:rsidRPr="005C470C">
              <w:rPr>
                <w:rFonts w:ascii="Times New Roman" w:eastAsia="Times New Roman" w:hAnsi="Times New Roman" w:cs="Times New Roman"/>
                <w:color w:val="000000"/>
                <w:sz w:val="20"/>
                <w:szCs w:val="20"/>
                <w:lang w:val="en-US" w:eastAsia="pt-BR"/>
              </w:rPr>
              <w:t>atient satisfaction,</w:t>
            </w:r>
            <w:r w:rsidRPr="005C470C">
              <w:rPr>
                <w:rFonts w:ascii="Times New Roman" w:eastAsia="Times New Roman" w:hAnsi="Times New Roman" w:cs="Times New Roman"/>
                <w:color w:val="000000"/>
                <w:sz w:val="20"/>
                <w:szCs w:val="20"/>
                <w:lang w:val="en-US" w:eastAsia="pt-BR"/>
              </w:rPr>
              <w:t xml:space="preserve"> </w:t>
            </w:r>
            <w:r w:rsidR="00881560" w:rsidRPr="005C470C">
              <w:rPr>
                <w:rFonts w:ascii="Times New Roman" w:eastAsia="Times New Roman" w:hAnsi="Times New Roman" w:cs="Times New Roman"/>
                <w:color w:val="000000"/>
                <w:sz w:val="20"/>
                <w:szCs w:val="20"/>
                <w:lang w:val="en-US" w:eastAsia="pt-BR"/>
              </w:rPr>
              <w:t>t</w:t>
            </w:r>
            <w:r w:rsidR="006226A8" w:rsidRPr="005C470C">
              <w:rPr>
                <w:rFonts w:ascii="Times New Roman" w:eastAsia="Times New Roman" w:hAnsi="Times New Roman" w:cs="Times New Roman"/>
                <w:color w:val="000000"/>
                <w:sz w:val="20"/>
                <w:szCs w:val="20"/>
                <w:lang w:val="en-US" w:eastAsia="pt-BR"/>
              </w:rPr>
              <w:t>reatment costs</w:t>
            </w:r>
            <w:r w:rsidR="00881560" w:rsidRPr="005C470C">
              <w:rPr>
                <w:rFonts w:ascii="Times New Roman" w:eastAsia="Times New Roman" w:hAnsi="Times New Roman" w:cs="Times New Roman"/>
                <w:color w:val="000000"/>
                <w:sz w:val="20"/>
                <w:szCs w:val="20"/>
                <w:lang w:val="en-US" w:eastAsia="pt-BR"/>
              </w:rPr>
              <w:t>, a</w:t>
            </w:r>
            <w:r w:rsidR="006226A8" w:rsidRPr="005C470C">
              <w:rPr>
                <w:rFonts w:ascii="Times New Roman" w:eastAsia="Times New Roman" w:hAnsi="Times New Roman" w:cs="Times New Roman"/>
                <w:color w:val="000000"/>
                <w:sz w:val="20"/>
                <w:szCs w:val="20"/>
                <w:lang w:val="en-US" w:eastAsia="pt-BR"/>
              </w:rPr>
              <w:t>ny adverse effects/harms</w:t>
            </w:r>
          </w:p>
        </w:tc>
        <w:tc>
          <w:tcPr>
            <w:tcW w:w="1134" w:type="dxa"/>
            <w:shd w:val="clear" w:color="auto" w:fill="auto"/>
            <w:vAlign w:val="center"/>
            <w:hideMark/>
          </w:tcPr>
          <w:p w14:paraId="6F10FEE6" w14:textId="0139155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RCTs (n=5)</w:t>
            </w:r>
          </w:p>
        </w:tc>
        <w:tc>
          <w:tcPr>
            <w:tcW w:w="567" w:type="dxa"/>
            <w:shd w:val="clear" w:color="auto" w:fill="auto"/>
            <w:vAlign w:val="center"/>
            <w:hideMark/>
          </w:tcPr>
          <w:p w14:paraId="7A0FBF7A"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Y</w:t>
            </w:r>
          </w:p>
        </w:tc>
        <w:tc>
          <w:tcPr>
            <w:tcW w:w="1701" w:type="dxa"/>
            <w:shd w:val="clear" w:color="auto" w:fill="auto"/>
            <w:vAlign w:val="center"/>
            <w:hideMark/>
          </w:tcPr>
          <w:p w14:paraId="4931AA53" w14:textId="66B354C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There is weak evidence indicating a slightly increased reduction of the ANB and less lower incisor proclination with SW advancement compared to BJ, but the clinical relevance of these findings is debatable due to their small overall magnitude and the small number of included high-quality papers as </w:t>
            </w:r>
            <w:r w:rsidRPr="005C470C">
              <w:rPr>
                <w:rFonts w:ascii="Times New Roman" w:eastAsia="Times New Roman" w:hAnsi="Times New Roman" w:cs="Times New Roman"/>
                <w:color w:val="000000"/>
                <w:sz w:val="20"/>
                <w:szCs w:val="20"/>
                <w:lang w:val="en-US" w:eastAsia="pt-BR"/>
              </w:rPr>
              <w:lastRenderedPageBreak/>
              <w:t>well as their quality of evidence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1600780"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758E28F7" w14:textId="77777777" w:rsidTr="00114AF5">
        <w:trPr>
          <w:trHeight w:val="20"/>
        </w:trPr>
        <w:tc>
          <w:tcPr>
            <w:tcW w:w="1135" w:type="dxa"/>
            <w:shd w:val="clear" w:color="auto" w:fill="auto"/>
            <w:vAlign w:val="center"/>
            <w:hideMark/>
          </w:tcPr>
          <w:p w14:paraId="13262481"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Kruse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&lt;EndNote&gt;&lt;Cite&gt;&lt;Author&gt;Kruse&lt;/Author&gt;&lt;Year&gt;2020&lt;/Year&gt;&lt;RecNum&gt;20925&lt;/RecNum&gt;&lt;DisplayText&gt;&lt;style face="superscript"&gt;55&lt;/style&gt;&lt;/DisplayText&gt;&lt;record&gt;&lt;rec-number&gt;20925&lt;/rec-number&gt;&lt;foreign-keys&gt;&lt;key app="EN" db-id="f5fv5a2shx52dqesxzmpffeqzt5ffxae2vev" timestamp="1607902564"&gt;20925&lt;/key&gt;&lt;/foreign-keys&gt;&lt;ref-type name="Journal Article"&gt;17&lt;/ref-type&gt;&lt;contributors&gt;&lt;authors&gt;&lt;author&gt;Kruse, Anne B&lt;/author&gt;&lt;author&gt;Kowalski, Carolyn D&lt;/author&gt;&lt;author&gt;Leuthold, Sylvia&lt;/author&gt;&lt;author&gt;Vach, Kirstin&lt;/author&gt;&lt;author&gt;Ratka-Krüger, Petra&lt;/author&gt;&lt;author&gt;Woelber, Johan P&lt;/author&gt;&lt;/authors&gt;&lt;/contributors&gt;&lt;titles&gt;&lt;title&gt;What is the impact of the adjunctive use of omega-3 fatty acids in the treatment of periodontitis? A systematic review and meta-analysis&lt;/title&gt;&lt;secondary-title&gt;Lipids in Health and Disease&lt;/secondary-title&gt;&lt;/titles&gt;&lt;periodical&gt;&lt;full-title&gt;Lipids in Health and Disease&lt;/full-title&gt;&lt;/periodical&gt;&lt;pages&gt;1-16&lt;/pages&gt;&lt;volume&gt;19&lt;/volume&gt;&lt;number&gt;1&lt;/number&gt;&lt;dates&gt;&lt;year&gt;2020&lt;/year&gt;&lt;/dates&gt;&lt;isbn&gt;1476-511X&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55</w:t>
            </w:r>
            <w:r w:rsidR="0008652B" w:rsidRPr="005C470C">
              <w:rPr>
                <w:rFonts w:ascii="Times New Roman" w:eastAsia="Times New Roman" w:hAnsi="Times New Roman" w:cs="Times New Roman"/>
                <w:sz w:val="20"/>
                <w:szCs w:val="20"/>
                <w:lang w:eastAsia="pt-BR"/>
              </w:rPr>
              <w:fldChar w:fldCharType="end"/>
            </w:r>
          </w:p>
          <w:p w14:paraId="7319ABDC" w14:textId="6E4BA542"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Germany</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0737B1AB" w14:textId="77777777"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Lipids in Health and Disease</w:t>
            </w:r>
          </w:p>
          <w:p w14:paraId="3AE31B65" w14:textId="773BBB5D" w:rsidR="00C53143"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(2.906)</w:t>
            </w:r>
          </w:p>
        </w:tc>
        <w:tc>
          <w:tcPr>
            <w:tcW w:w="1418" w:type="dxa"/>
            <w:shd w:val="clear" w:color="auto" w:fill="auto"/>
            <w:vAlign w:val="center"/>
            <w:hideMark/>
          </w:tcPr>
          <w:p w14:paraId="359ED0E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28C1E8C5" w14:textId="47125E34"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evaluate the effects of adjunctive administration of omega-3 fatty acids in periodontal therapy.</w:t>
            </w:r>
          </w:p>
        </w:tc>
        <w:tc>
          <w:tcPr>
            <w:tcW w:w="1134" w:type="dxa"/>
            <w:shd w:val="clear" w:color="auto" w:fill="auto"/>
            <w:vAlign w:val="center"/>
            <w:hideMark/>
          </w:tcPr>
          <w:p w14:paraId="320B8AC9"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 with periodontitis or periodontal disease</w:t>
            </w:r>
          </w:p>
        </w:tc>
        <w:tc>
          <w:tcPr>
            <w:tcW w:w="1276" w:type="dxa"/>
            <w:shd w:val="clear" w:color="auto" w:fill="auto"/>
            <w:vAlign w:val="center"/>
            <w:hideMark/>
          </w:tcPr>
          <w:p w14:paraId="7FD803DA"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Omega-3 fatty acids</w:t>
            </w:r>
          </w:p>
        </w:tc>
        <w:tc>
          <w:tcPr>
            <w:tcW w:w="1418" w:type="dxa"/>
            <w:shd w:val="clear" w:color="auto" w:fill="auto"/>
            <w:vAlign w:val="center"/>
            <w:hideMark/>
          </w:tcPr>
          <w:p w14:paraId="1D18C34D"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Placebo</w:t>
            </w:r>
          </w:p>
        </w:tc>
        <w:tc>
          <w:tcPr>
            <w:tcW w:w="1275" w:type="dxa"/>
            <w:shd w:val="clear" w:color="auto" w:fill="auto"/>
            <w:vAlign w:val="center"/>
            <w:hideMark/>
          </w:tcPr>
          <w:p w14:paraId="5A091340" w14:textId="02284A38"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Clinical </w:t>
            </w:r>
            <w:r w:rsidR="006226A8" w:rsidRPr="005C470C">
              <w:rPr>
                <w:rFonts w:ascii="Times New Roman" w:eastAsia="Times New Roman" w:hAnsi="Times New Roman" w:cs="Times New Roman"/>
                <w:color w:val="000000"/>
                <w:sz w:val="20"/>
                <w:szCs w:val="20"/>
                <w:lang w:val="en-US" w:eastAsia="pt-BR"/>
              </w:rPr>
              <w:t>attachment level (CAL), probing depth (PD), gingival index (GI), bleeding on probing (BOP) and plaque index (PI).</w:t>
            </w:r>
          </w:p>
        </w:tc>
        <w:tc>
          <w:tcPr>
            <w:tcW w:w="1134" w:type="dxa"/>
            <w:shd w:val="clear" w:color="auto" w:fill="auto"/>
            <w:vAlign w:val="center"/>
            <w:hideMark/>
          </w:tcPr>
          <w:p w14:paraId="29345385"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(n=5)</w:t>
            </w:r>
          </w:p>
        </w:tc>
        <w:tc>
          <w:tcPr>
            <w:tcW w:w="567" w:type="dxa"/>
            <w:shd w:val="clear" w:color="auto" w:fill="auto"/>
            <w:vAlign w:val="center"/>
            <w:hideMark/>
          </w:tcPr>
          <w:p w14:paraId="5774E3EA"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A58769A" w14:textId="620ADA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literature review and </w:t>
            </w:r>
            <w:r w:rsidR="00434FEC" w:rsidRPr="005C470C">
              <w:rPr>
                <w:rFonts w:ascii="Times New Roman" w:eastAsia="Times New Roman" w:hAnsi="Times New Roman" w:cs="Times New Roman"/>
                <w:color w:val="000000"/>
                <w:sz w:val="20"/>
                <w:szCs w:val="20"/>
                <w:lang w:val="en-US" w:eastAsia="pt-BR"/>
              </w:rPr>
              <w:t>MA</w:t>
            </w:r>
            <w:r w:rsidRPr="005C470C">
              <w:rPr>
                <w:rFonts w:ascii="Times New Roman" w:eastAsia="Times New Roman" w:hAnsi="Times New Roman" w:cs="Times New Roman"/>
                <w:color w:val="000000"/>
                <w:sz w:val="20"/>
                <w:szCs w:val="20"/>
                <w:lang w:val="en-US" w:eastAsia="pt-BR"/>
              </w:rPr>
              <w:t xml:space="preserve"> showed that omega-3 fatty acids as an adjunct to periodontal therapy showed significant benefits with regard to pocket depth reduction and attachment gain.</w:t>
            </w:r>
          </w:p>
        </w:tc>
        <w:tc>
          <w:tcPr>
            <w:tcW w:w="1418" w:type="dxa"/>
            <w:shd w:val="clear" w:color="auto" w:fill="auto"/>
            <w:vAlign w:val="center"/>
            <w:hideMark/>
          </w:tcPr>
          <w:p w14:paraId="6ECACFAE" w14:textId="08C79FA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 - omega-3 fatty acids as an adjunct to periodontal therapy showed significant benefits with regard to pocket depth reduction and attachment gain</w:t>
            </w:r>
            <w:r w:rsidR="00B0457E">
              <w:rPr>
                <w:rFonts w:ascii="Times New Roman" w:eastAsia="Times New Roman" w:hAnsi="Times New Roman" w:cs="Times New Roman"/>
                <w:color w:val="000000"/>
                <w:sz w:val="20"/>
                <w:szCs w:val="20"/>
                <w:lang w:val="en-US" w:eastAsia="pt-BR"/>
              </w:rPr>
              <w:t>.</w:t>
            </w:r>
          </w:p>
        </w:tc>
      </w:tr>
      <w:tr w:rsidR="001607B9" w:rsidRPr="00114AF5" w14:paraId="2C9C9C88" w14:textId="77777777" w:rsidTr="00114AF5">
        <w:trPr>
          <w:trHeight w:val="20"/>
        </w:trPr>
        <w:tc>
          <w:tcPr>
            <w:tcW w:w="1135" w:type="dxa"/>
            <w:shd w:val="clear" w:color="auto" w:fill="auto"/>
            <w:vAlign w:val="center"/>
            <w:hideMark/>
          </w:tcPr>
          <w:p w14:paraId="030E0F4A"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Lam et al, 2020</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&lt;EndNote&gt;&lt;Cite&gt;&lt;Author&gt;Lam&lt;/Author&gt;&lt;Year&gt;2020&lt;/Year&gt;&lt;RecNum&gt;20924&lt;/RecNum&gt;&lt;DisplayText&gt;&lt;style face="superscript"&gt;56&lt;/style&gt;&lt;/DisplayText&gt;&lt;record&gt;&lt;rec-number&gt;20924&lt;/rec-number&gt;&lt;foreign-keys&gt;&lt;key app="EN" db-id="f5fv5a2shx52dqesxzmpffeqzt5ffxae2vev" timestamp="1607902564"&gt;20924&lt;/key&gt;&lt;/foreign-keys&gt;&lt;ref-type name="Journal Article"&gt;17&lt;/ref-type&gt;&lt;contributors&gt;&lt;authors&gt;&lt;author&gt;Lam, Phoebe PY&lt;/author&gt;&lt;author&gt;Sardana, Divesh&lt;/author&gt;&lt;author&gt;Ekambaram, Manikandan&lt;/author&gt;&lt;author&gt;Lee, Gillian HM&lt;/author&gt;&lt;author&gt;Yiu, Cynthia KY&lt;/author&gt;&lt;/authors&gt;&lt;/contributors&gt;&lt;titles&gt;&lt;title&gt;Effectiveness of Pit and Fissure Sealants for Preventing and Arresting Occlusal Caries in Primary Molars: A Systematic Review and Meta-Analysis&lt;/title&gt;&lt;secondary-title&gt;Journal of Evidence Based Dental Practice&lt;/secondary-title&gt;&lt;/titles&gt;&lt;periodical&gt;&lt;full-title&gt;Journal of Evidence Based Dental Practice&lt;/full-title&gt;&lt;/periodical&gt;&lt;pages&gt;101404&lt;/pages&gt;&lt;volume&gt;20&lt;/volume&gt;&lt;number&gt;2&lt;/number&gt;&lt;dates&gt;&lt;year&gt;2020&lt;/year&gt;&lt;/dates&gt;&lt;isbn&gt;1532-3382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56</w:t>
            </w:r>
            <w:r w:rsidR="0008652B" w:rsidRPr="005C470C">
              <w:rPr>
                <w:rFonts w:ascii="Times New Roman" w:eastAsia="Times New Roman" w:hAnsi="Times New Roman" w:cs="Times New Roman"/>
                <w:sz w:val="20"/>
                <w:szCs w:val="20"/>
                <w:lang w:eastAsia="pt-BR"/>
              </w:rPr>
              <w:fldChar w:fldCharType="end"/>
            </w:r>
          </w:p>
          <w:p w14:paraId="69C67527" w14:textId="2763FBF5"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(Hong Kong)</w:t>
            </w:r>
          </w:p>
        </w:tc>
        <w:tc>
          <w:tcPr>
            <w:tcW w:w="992" w:type="dxa"/>
            <w:shd w:val="clear" w:color="auto" w:fill="auto"/>
            <w:vAlign w:val="center"/>
            <w:hideMark/>
          </w:tcPr>
          <w:p w14:paraId="20EA38F7" w14:textId="77777777" w:rsidR="006226A8"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Journal of Evidence Based Dental Practice</w:t>
            </w:r>
          </w:p>
          <w:p w14:paraId="7D8948E2" w14:textId="6BE472FE" w:rsidR="00C53143"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(2.426)</w:t>
            </w:r>
          </w:p>
        </w:tc>
        <w:tc>
          <w:tcPr>
            <w:tcW w:w="1418" w:type="dxa"/>
            <w:shd w:val="clear" w:color="auto" w:fill="auto"/>
            <w:vAlign w:val="center"/>
            <w:hideMark/>
          </w:tcPr>
          <w:p w14:paraId="16BDFFA3" w14:textId="0494BD8F"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Pediatric Dentistry/</w:t>
            </w:r>
            <w:r w:rsidR="00C53143">
              <w:rPr>
                <w:rFonts w:ascii="Times New Roman" w:eastAsia="Times New Roman" w:hAnsi="Times New Roman" w:cs="Times New Roman"/>
                <w:sz w:val="20"/>
                <w:szCs w:val="20"/>
                <w:lang w:eastAsia="pt-BR"/>
              </w:rPr>
              <w:t xml:space="preserve"> </w:t>
            </w: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1204DBAC"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evaluate the effectiveness of different types of pit and fissure sealants, in </w:t>
            </w:r>
            <w:r w:rsidRPr="005C470C">
              <w:rPr>
                <w:rFonts w:ascii="Times New Roman" w:eastAsia="Times New Roman" w:hAnsi="Times New Roman" w:cs="Times New Roman"/>
                <w:sz w:val="20"/>
                <w:szCs w:val="20"/>
                <w:lang w:val="en-US" w:eastAsia="pt-BR"/>
              </w:rPr>
              <w:lastRenderedPageBreak/>
              <w:t>preventing and arresting occlusal caries in primary molars, as compared with no treatment or other preventive measures among children and adolescents</w:t>
            </w:r>
          </w:p>
        </w:tc>
        <w:tc>
          <w:tcPr>
            <w:tcW w:w="1134" w:type="dxa"/>
            <w:shd w:val="clear" w:color="auto" w:fill="auto"/>
            <w:vAlign w:val="center"/>
            <w:hideMark/>
          </w:tcPr>
          <w:p w14:paraId="5F6C0596" w14:textId="478AA3B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Children and adolescents from the general population</w:t>
            </w:r>
            <w:r w:rsidRPr="005C470C">
              <w:rPr>
                <w:rFonts w:ascii="Times New Roman" w:eastAsia="Times New Roman" w:hAnsi="Times New Roman" w:cs="Times New Roman"/>
                <w:color w:val="000000"/>
                <w:sz w:val="20"/>
                <w:szCs w:val="20"/>
                <w:lang w:val="en-US" w:eastAsia="pt-BR"/>
              </w:rPr>
              <w:br/>
              <w:t xml:space="preserve">younger </w:t>
            </w:r>
            <w:r w:rsidRPr="005C470C">
              <w:rPr>
                <w:rFonts w:ascii="Times New Roman" w:eastAsia="Times New Roman" w:hAnsi="Times New Roman" w:cs="Times New Roman"/>
                <w:color w:val="000000"/>
                <w:sz w:val="20"/>
                <w:szCs w:val="20"/>
                <w:lang w:val="en-US" w:eastAsia="pt-BR"/>
              </w:rPr>
              <w:lastRenderedPageBreak/>
              <w:t>than 18</w:t>
            </w:r>
            <w:r w:rsidR="00DC29BB" w:rsidRPr="005C470C">
              <w:rPr>
                <w:rFonts w:ascii="Times New Roman" w:eastAsia="Times New Roman" w:hAnsi="Times New Roman" w:cs="Times New Roman"/>
                <w:color w:val="000000"/>
                <w:sz w:val="20"/>
                <w:szCs w:val="20"/>
                <w:lang w:val="en-US" w:eastAsia="pt-BR"/>
              </w:rPr>
              <w:t xml:space="preserve">y </w:t>
            </w:r>
            <w:r w:rsidRPr="005C470C">
              <w:rPr>
                <w:rFonts w:ascii="Times New Roman" w:eastAsia="Times New Roman" w:hAnsi="Times New Roman" w:cs="Times New Roman"/>
                <w:color w:val="000000"/>
                <w:sz w:val="20"/>
                <w:szCs w:val="20"/>
                <w:lang w:val="en-US" w:eastAsia="pt-BR"/>
              </w:rPr>
              <w:t>whose primary molars included were either sound, having</w:t>
            </w:r>
            <w:r w:rsidRPr="005C470C">
              <w:rPr>
                <w:rFonts w:ascii="Times New Roman" w:eastAsia="Times New Roman" w:hAnsi="Times New Roman" w:cs="Times New Roman"/>
                <w:color w:val="000000"/>
                <w:sz w:val="20"/>
                <w:szCs w:val="20"/>
                <w:lang w:val="en-US" w:eastAsia="pt-BR"/>
              </w:rPr>
              <w:br/>
              <w:t>incipient occlusal carious lesions, or noncavitated carious</w:t>
            </w:r>
            <w:r w:rsidRPr="005C470C">
              <w:rPr>
                <w:rFonts w:ascii="Times New Roman" w:eastAsia="Times New Roman" w:hAnsi="Times New Roman" w:cs="Times New Roman"/>
                <w:color w:val="000000"/>
                <w:sz w:val="20"/>
                <w:szCs w:val="20"/>
                <w:lang w:val="en-US" w:eastAsia="pt-BR"/>
              </w:rPr>
              <w:br/>
              <w:t>lesions were included</w:t>
            </w:r>
          </w:p>
        </w:tc>
        <w:tc>
          <w:tcPr>
            <w:tcW w:w="1276" w:type="dxa"/>
            <w:shd w:val="clear" w:color="auto" w:fill="auto"/>
            <w:vAlign w:val="center"/>
            <w:hideMark/>
          </w:tcPr>
          <w:p w14:paraId="4E1F3CD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Pit and fissure sealants in any primary molars</w:t>
            </w:r>
          </w:p>
        </w:tc>
        <w:tc>
          <w:tcPr>
            <w:tcW w:w="1418" w:type="dxa"/>
            <w:shd w:val="clear" w:color="auto" w:fill="auto"/>
            <w:vAlign w:val="center"/>
            <w:hideMark/>
          </w:tcPr>
          <w:p w14:paraId="1F6E96F2" w14:textId="2CB84F4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control teeth or control groups were those that did not</w:t>
            </w:r>
            <w:r w:rsidRPr="005C470C">
              <w:rPr>
                <w:rFonts w:ascii="Times New Roman" w:eastAsia="Times New Roman" w:hAnsi="Times New Roman" w:cs="Times New Roman"/>
                <w:color w:val="000000"/>
                <w:sz w:val="20"/>
                <w:szCs w:val="20"/>
                <w:lang w:val="en-US" w:eastAsia="pt-BR"/>
              </w:rPr>
              <w:br/>
              <w:t xml:space="preserve">receive sealant or received </w:t>
            </w:r>
            <w:r w:rsidRPr="005C470C">
              <w:rPr>
                <w:rFonts w:ascii="Times New Roman" w:eastAsia="Times New Roman" w:hAnsi="Times New Roman" w:cs="Times New Roman"/>
                <w:color w:val="000000"/>
                <w:sz w:val="20"/>
                <w:szCs w:val="20"/>
                <w:lang w:val="en-US" w:eastAsia="pt-BR"/>
              </w:rPr>
              <w:lastRenderedPageBreak/>
              <w:t>professional topical fluoride</w:t>
            </w:r>
            <w:r w:rsidRPr="005C470C">
              <w:rPr>
                <w:rFonts w:ascii="Times New Roman" w:eastAsia="Times New Roman" w:hAnsi="Times New Roman" w:cs="Times New Roman"/>
                <w:color w:val="000000"/>
                <w:sz w:val="20"/>
                <w:szCs w:val="20"/>
                <w:lang w:val="en-US" w:eastAsia="pt-BR"/>
              </w:rPr>
              <w:br/>
              <w:t>application alone</w:t>
            </w:r>
          </w:p>
        </w:tc>
        <w:tc>
          <w:tcPr>
            <w:tcW w:w="1275" w:type="dxa"/>
            <w:shd w:val="clear" w:color="auto" w:fill="auto"/>
            <w:vAlign w:val="center"/>
            <w:hideMark/>
          </w:tcPr>
          <w:p w14:paraId="70A17F47" w14:textId="35C5DA17"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Primary </w:t>
            </w:r>
            <w:r w:rsidR="006226A8" w:rsidRPr="005C470C">
              <w:rPr>
                <w:rFonts w:ascii="Times New Roman" w:eastAsia="Times New Roman" w:hAnsi="Times New Roman" w:cs="Times New Roman"/>
                <w:color w:val="000000"/>
                <w:sz w:val="20"/>
                <w:szCs w:val="20"/>
                <w:lang w:val="en-US" w:eastAsia="pt-BR"/>
              </w:rPr>
              <w:t xml:space="preserve">outcome: caries prevention and arrest. Secondary outcome: </w:t>
            </w:r>
            <w:r w:rsidR="006226A8" w:rsidRPr="005C470C">
              <w:rPr>
                <w:rFonts w:ascii="Times New Roman" w:eastAsia="Times New Roman" w:hAnsi="Times New Roman" w:cs="Times New Roman"/>
                <w:color w:val="000000"/>
                <w:sz w:val="20"/>
                <w:szCs w:val="20"/>
                <w:lang w:val="en-US" w:eastAsia="pt-BR"/>
              </w:rPr>
              <w:lastRenderedPageBreak/>
              <w:t>direct head-to-head comparison of retention rate</w:t>
            </w:r>
          </w:p>
        </w:tc>
        <w:tc>
          <w:tcPr>
            <w:tcW w:w="1134" w:type="dxa"/>
            <w:shd w:val="clear" w:color="auto" w:fill="auto"/>
            <w:vAlign w:val="center"/>
            <w:hideMark/>
          </w:tcPr>
          <w:p w14:paraId="7E9CBDED"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RCTs / split-mouth studies (n=7)</w:t>
            </w:r>
          </w:p>
        </w:tc>
        <w:tc>
          <w:tcPr>
            <w:tcW w:w="567" w:type="dxa"/>
            <w:shd w:val="clear" w:color="auto" w:fill="auto"/>
            <w:vAlign w:val="center"/>
            <w:hideMark/>
          </w:tcPr>
          <w:p w14:paraId="5E2F261B"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51D5C122" w14:textId="6D45535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There are currently insufficient well-controlled </w:t>
            </w:r>
            <w:r w:rsidR="001607B9" w:rsidRPr="005C470C">
              <w:rPr>
                <w:rFonts w:ascii="Times New Roman" w:eastAsia="Times New Roman" w:hAnsi="Times New Roman" w:cs="Times New Roman"/>
                <w:color w:val="000000"/>
                <w:sz w:val="20"/>
                <w:szCs w:val="20"/>
                <w:lang w:val="en-US" w:eastAsia="pt-BR"/>
              </w:rPr>
              <w:t>RCT</w:t>
            </w:r>
            <w:r w:rsidRPr="005C470C">
              <w:rPr>
                <w:rFonts w:ascii="Times New Roman" w:eastAsia="Times New Roman" w:hAnsi="Times New Roman" w:cs="Times New Roman"/>
                <w:color w:val="000000"/>
                <w:sz w:val="20"/>
                <w:szCs w:val="20"/>
                <w:lang w:val="en-US" w:eastAsia="pt-BR"/>
              </w:rPr>
              <w:t xml:space="preserve"> to determine the benefits of pit and fissure sealants to prevent occlusal </w:t>
            </w:r>
            <w:r w:rsidRPr="005C470C">
              <w:rPr>
                <w:rFonts w:ascii="Times New Roman" w:eastAsia="Times New Roman" w:hAnsi="Times New Roman" w:cs="Times New Roman"/>
                <w:color w:val="000000"/>
                <w:sz w:val="20"/>
                <w:szCs w:val="20"/>
                <w:lang w:val="en-US" w:eastAsia="pt-BR"/>
              </w:rPr>
              <w:lastRenderedPageBreak/>
              <w:t>caries or arrest noncavitated occlusal carious lesions in primary molars. This review identified no currently available evidence regarding the effectiveness of different sealants in preventing and arresting pit and fissure caries in primary molars in children and adolescents compared with no sealants. Limited evidence was also found in suggestion of any superiority among different types of sealants or with other kinds of caries-preventive measures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05F21B3" w14:textId="179BF46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1607B9" w:rsidRPr="005C470C">
              <w:rPr>
                <w:rFonts w:ascii="Times New Roman" w:eastAsia="Times New Roman" w:hAnsi="Times New Roman" w:cs="Times New Roman"/>
                <w:color w:val="000000"/>
                <w:sz w:val="20"/>
                <w:szCs w:val="20"/>
                <w:lang w:val="en-US" w:eastAsia="pt-BR"/>
              </w:rPr>
              <w:t xml:space="preserve"> - High-quality clinical trials are required in the future to generate reliable </w:t>
            </w:r>
            <w:r w:rsidR="001607B9" w:rsidRPr="005C470C">
              <w:rPr>
                <w:rFonts w:ascii="Times New Roman" w:eastAsia="Times New Roman" w:hAnsi="Times New Roman" w:cs="Times New Roman"/>
                <w:color w:val="000000"/>
                <w:sz w:val="20"/>
                <w:szCs w:val="20"/>
                <w:lang w:val="en-US" w:eastAsia="pt-BR"/>
              </w:rPr>
              <w:lastRenderedPageBreak/>
              <w:t>evidence to support the use of pit and fissure sealants to prevent occlusal caries or arrest of noncavitated occlusal carious lesions in primary molars</w:t>
            </w:r>
            <w:r w:rsidR="00B0457E">
              <w:rPr>
                <w:rFonts w:ascii="Times New Roman" w:eastAsia="Times New Roman" w:hAnsi="Times New Roman" w:cs="Times New Roman"/>
                <w:color w:val="000000"/>
                <w:sz w:val="20"/>
                <w:szCs w:val="20"/>
                <w:lang w:val="en-US" w:eastAsia="pt-BR"/>
              </w:rPr>
              <w:t>.</w:t>
            </w:r>
          </w:p>
        </w:tc>
      </w:tr>
      <w:tr w:rsidR="001607B9" w:rsidRPr="00114AF5" w14:paraId="0D937778" w14:textId="77777777" w:rsidTr="00114AF5">
        <w:trPr>
          <w:trHeight w:val="20"/>
        </w:trPr>
        <w:tc>
          <w:tcPr>
            <w:tcW w:w="1135" w:type="dxa"/>
            <w:shd w:val="clear" w:color="auto" w:fill="auto"/>
            <w:vAlign w:val="center"/>
            <w:hideMark/>
          </w:tcPr>
          <w:p w14:paraId="49AB80A9"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Li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&lt;EndNote&gt;&lt;Cite&gt;&lt;Author&gt;Li&lt;/Author&gt;&lt;Year&gt;2020&lt;/Year&gt;&lt;RecNum&gt;20949&lt;/RecNum&gt;&lt;DisplayText&gt;&lt;style face="superscript"&gt;57&lt;/style&gt;&lt;/DisplayText&gt;&lt;record&gt;&lt;rec-number&gt;20949&lt;/rec-number&gt;&lt;foreign-keys&gt;&lt;key app="EN" db-id="f5fv5a2shx52dqesxzmpffeqzt5ffxae2vev" timestamp="1607902573"&gt;20949&lt;/key&gt;&lt;/foreign-keys&gt;&lt;ref-type name="Journal Article"&gt;17&lt;/ref-type&gt;&lt;contributors&gt;&lt;authors&gt;&lt;author&gt;Li, Fulong&lt;/author&gt;&lt;author&gt;Wu, Chuanbin&lt;/author&gt;&lt;author&gt;Sun, Haijiang&lt;/author&gt;&lt;author&gt;Zhou, Qing&lt;/author&gt;&lt;/authors&gt;&lt;/contributors&gt;&lt;titles&gt;&lt;title&gt;Effect of Platelet-Rich Plasma Injections on Pain Reduction in Patients with Temporomandibular Joint Osteoarthrosis: A Meta-Analysis of Randomized Controlled Trials&lt;/title&gt;&lt;secondary-title&gt;Journal of Oral &amp;amp; Facial Pain &amp;amp; Headache&lt;/secondary-title&gt;&lt;/titles&gt;&lt;periodical&gt;&lt;full-title&gt;Journal of Oral &amp;amp; Facial Pain &amp;amp; Headache&lt;/full-title&gt;&lt;/periodical&gt;&lt;volume&gt;34&lt;/volume&gt;&lt;number&gt;2&lt;/number&gt;&lt;dates&gt;&lt;year&gt;2020&lt;/year&gt;&lt;/dates&gt;&lt;isbn&gt;2333-0384&lt;/isbn&gt;&lt;urls&gt;&lt;/urls&gt;&lt;/record&gt;&lt;/Cite&gt;&lt;/EndNote&gt;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57</w:t>
            </w:r>
            <w:r w:rsidR="0008652B" w:rsidRPr="005C470C">
              <w:rPr>
                <w:rFonts w:ascii="Times New Roman" w:eastAsia="Times New Roman" w:hAnsi="Times New Roman" w:cs="Times New Roman"/>
                <w:sz w:val="20"/>
                <w:szCs w:val="20"/>
                <w:lang w:eastAsia="pt-BR"/>
              </w:rPr>
              <w:fldChar w:fldCharType="end"/>
            </w:r>
          </w:p>
          <w:p w14:paraId="0F2DD258" w14:textId="70ECF8DD"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China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19368F28" w14:textId="77777777"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Journal of Oral &amp; Facial Pain &amp; Headache</w:t>
            </w:r>
          </w:p>
          <w:p w14:paraId="6BEB31A3" w14:textId="28144CA2"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(1.260)</w:t>
            </w:r>
          </w:p>
        </w:tc>
        <w:tc>
          <w:tcPr>
            <w:tcW w:w="1418" w:type="dxa"/>
            <w:shd w:val="clear" w:color="auto" w:fill="auto"/>
            <w:vAlign w:val="center"/>
            <w:hideMark/>
          </w:tcPr>
          <w:p w14:paraId="38DC38D8"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Orofacial Pain</w:t>
            </w:r>
          </w:p>
        </w:tc>
        <w:tc>
          <w:tcPr>
            <w:tcW w:w="1275" w:type="dxa"/>
            <w:shd w:val="clear" w:color="auto" w:fill="auto"/>
            <w:vAlign w:val="center"/>
            <w:hideMark/>
          </w:tcPr>
          <w:p w14:paraId="737D8F68" w14:textId="4D464DD1" w:rsidR="006226A8" w:rsidRPr="005C470C" w:rsidRDefault="006226A8" w:rsidP="005E7510">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study the effect of platelet-rich plasma (PRP) injections on pain reduction in temporomand</w:t>
            </w:r>
            <w:r w:rsidRPr="005C470C">
              <w:rPr>
                <w:rFonts w:ascii="Times New Roman" w:eastAsia="Times New Roman" w:hAnsi="Times New Roman" w:cs="Times New Roman"/>
                <w:sz w:val="20"/>
                <w:szCs w:val="20"/>
                <w:lang w:val="en-US" w:eastAsia="pt-BR"/>
              </w:rPr>
              <w:lastRenderedPageBreak/>
              <w:t>ibular joint osteoarthritis (TMJ OA)</w:t>
            </w:r>
            <w:r w:rsidR="00F3196E" w:rsidRPr="005C470C">
              <w:rPr>
                <w:rFonts w:ascii="Times New Roman" w:eastAsia="Times New Roman" w:hAnsi="Times New Roman" w:cs="Times New Roman"/>
                <w:sz w:val="20"/>
                <w:szCs w:val="20"/>
                <w:lang w:val="en-US" w:eastAsia="pt-BR"/>
              </w:rPr>
              <w:t xml:space="preserve"> patients</w:t>
            </w:r>
          </w:p>
        </w:tc>
        <w:tc>
          <w:tcPr>
            <w:tcW w:w="1134" w:type="dxa"/>
            <w:shd w:val="clear" w:color="auto" w:fill="auto"/>
            <w:vAlign w:val="center"/>
            <w:hideMark/>
          </w:tcPr>
          <w:p w14:paraId="32F379ED" w14:textId="63585BE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Patients with </w:t>
            </w:r>
            <w:r w:rsidR="001607B9" w:rsidRPr="005C470C">
              <w:rPr>
                <w:rFonts w:ascii="Times New Roman" w:eastAsia="Times New Roman" w:hAnsi="Times New Roman" w:cs="Times New Roman"/>
                <w:color w:val="000000"/>
                <w:sz w:val="20"/>
                <w:szCs w:val="20"/>
                <w:lang w:val="en-US" w:eastAsia="pt-BR"/>
              </w:rPr>
              <w:t>TMJ OA</w:t>
            </w:r>
          </w:p>
        </w:tc>
        <w:tc>
          <w:tcPr>
            <w:tcW w:w="1276" w:type="dxa"/>
            <w:shd w:val="clear" w:color="auto" w:fill="auto"/>
            <w:vAlign w:val="center"/>
            <w:hideMark/>
          </w:tcPr>
          <w:p w14:paraId="4199375D" w14:textId="36E02441"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Platelet</w:t>
            </w:r>
            <w:r w:rsidR="006226A8" w:rsidRPr="005C470C">
              <w:rPr>
                <w:rFonts w:ascii="Times New Roman" w:eastAsia="Times New Roman" w:hAnsi="Times New Roman" w:cs="Times New Roman"/>
                <w:color w:val="000000"/>
                <w:sz w:val="20"/>
                <w:szCs w:val="20"/>
                <w:lang w:val="en-US" w:eastAsia="pt-BR"/>
              </w:rPr>
              <w:t>-rich plasma (PRP) injections</w:t>
            </w:r>
          </w:p>
        </w:tc>
        <w:tc>
          <w:tcPr>
            <w:tcW w:w="1418" w:type="dxa"/>
            <w:shd w:val="clear" w:color="auto" w:fill="auto"/>
            <w:vAlign w:val="center"/>
            <w:hideMark/>
          </w:tcPr>
          <w:p w14:paraId="2DEDC274" w14:textId="24701353"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Placebo </w:t>
            </w:r>
            <w:r w:rsidR="006226A8" w:rsidRPr="005C470C">
              <w:rPr>
                <w:rFonts w:ascii="Times New Roman" w:eastAsia="Times New Roman" w:hAnsi="Times New Roman" w:cs="Times New Roman"/>
                <w:color w:val="000000"/>
                <w:sz w:val="20"/>
                <w:szCs w:val="20"/>
                <w:lang w:val="en-US" w:eastAsia="pt-BR"/>
              </w:rPr>
              <w:t>or hyaluronic acid injections</w:t>
            </w:r>
          </w:p>
        </w:tc>
        <w:tc>
          <w:tcPr>
            <w:tcW w:w="1275" w:type="dxa"/>
            <w:shd w:val="clear" w:color="auto" w:fill="auto"/>
            <w:vAlign w:val="center"/>
            <w:hideMark/>
          </w:tcPr>
          <w:p w14:paraId="1549A38D" w14:textId="492AFED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 Pain outcomes</w:t>
            </w:r>
            <w:r w:rsidRPr="005C470C">
              <w:rPr>
                <w:rFonts w:ascii="Times New Roman" w:eastAsia="Times New Roman" w:hAnsi="Times New Roman" w:cs="Times New Roman"/>
                <w:color w:val="000000"/>
                <w:sz w:val="20"/>
                <w:szCs w:val="20"/>
                <w:lang w:val="en-US" w:eastAsia="pt-BR"/>
              </w:rPr>
              <w:br/>
              <w:t>(visual analog scale scores)/</w:t>
            </w:r>
            <w:r w:rsidRPr="005C470C">
              <w:rPr>
                <w:rFonts w:ascii="Times New Roman" w:eastAsia="Times New Roman" w:hAnsi="Times New Roman" w:cs="Times New Roman"/>
                <w:sz w:val="20"/>
                <w:szCs w:val="20"/>
                <w:lang w:val="en-US" w:eastAsia="pt-BR"/>
              </w:rPr>
              <w:t>complications after PRP injections</w:t>
            </w:r>
          </w:p>
        </w:tc>
        <w:tc>
          <w:tcPr>
            <w:tcW w:w="1134" w:type="dxa"/>
            <w:shd w:val="clear" w:color="auto" w:fill="auto"/>
            <w:vAlign w:val="center"/>
            <w:hideMark/>
          </w:tcPr>
          <w:p w14:paraId="45140FA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(n=6)</w:t>
            </w:r>
          </w:p>
        </w:tc>
        <w:tc>
          <w:tcPr>
            <w:tcW w:w="567" w:type="dxa"/>
            <w:shd w:val="clear" w:color="auto" w:fill="auto"/>
            <w:vAlign w:val="center"/>
            <w:hideMark/>
          </w:tcPr>
          <w:p w14:paraId="2DA9FCD9"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D55CF9F" w14:textId="074402C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Based on current evidence, PRP injections might be effective in reducing pain in TMJ OA. However, the safety and clinical </w:t>
            </w:r>
            <w:r w:rsidRPr="005C470C">
              <w:rPr>
                <w:rFonts w:ascii="Times New Roman" w:eastAsia="Times New Roman" w:hAnsi="Times New Roman" w:cs="Times New Roman"/>
                <w:color w:val="000000"/>
                <w:sz w:val="20"/>
                <w:szCs w:val="20"/>
                <w:lang w:val="en-US" w:eastAsia="pt-BR"/>
              </w:rPr>
              <w:lastRenderedPageBreak/>
              <w:t>feasibility of PRP still need further research to be confirmed</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00AE8D9" w14:textId="310E28E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1607B9" w:rsidRPr="005C470C">
              <w:rPr>
                <w:rFonts w:ascii="Times New Roman" w:eastAsia="Times New Roman" w:hAnsi="Times New Roman" w:cs="Times New Roman"/>
                <w:color w:val="000000"/>
                <w:sz w:val="20"/>
                <w:szCs w:val="20"/>
                <w:lang w:val="en-US" w:eastAsia="pt-BR"/>
              </w:rPr>
              <w:t xml:space="preserve"> - Larger, randomized, high-quality, low-bias studies are needed</w:t>
            </w:r>
            <w:r w:rsidR="00B0457E">
              <w:rPr>
                <w:rFonts w:ascii="Times New Roman" w:eastAsia="Times New Roman" w:hAnsi="Times New Roman" w:cs="Times New Roman"/>
                <w:color w:val="000000"/>
                <w:sz w:val="20"/>
                <w:szCs w:val="20"/>
                <w:lang w:val="en-US" w:eastAsia="pt-BR"/>
              </w:rPr>
              <w:t>.</w:t>
            </w:r>
          </w:p>
        </w:tc>
      </w:tr>
      <w:tr w:rsidR="002914BB" w:rsidRPr="005C470C" w14:paraId="02175D5F" w14:textId="77777777" w:rsidTr="00114AF5">
        <w:trPr>
          <w:trHeight w:val="20"/>
        </w:trPr>
        <w:tc>
          <w:tcPr>
            <w:tcW w:w="1135" w:type="dxa"/>
            <w:shd w:val="clear" w:color="auto" w:fill="auto"/>
            <w:vAlign w:val="center"/>
            <w:hideMark/>
          </w:tcPr>
          <w:p w14:paraId="122CF0EC"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Limones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&lt;EndNote&gt;&lt;Cite&gt;&lt;Author&gt;Limones&lt;/Author&gt;&lt;Year&gt;2020&lt;/Year&gt;&lt;RecNum&gt;20948&lt;/RecNum&gt;&lt;DisplayText&gt;&lt;style face="superscript"&gt;58&lt;/style&gt;&lt;/DisplayText&gt;&lt;record&gt;&lt;rec-number&gt;20948&lt;/rec-number&gt;&lt;foreign-keys&gt;&lt;key app="EN" db-id="f5fv5a2shx52dqesxzmpffeqzt5ffxae2vev" timestamp="1607902573"&gt;20948&lt;/key&gt;&lt;/foreign-keys&gt;&lt;ref-type name="Journal Article"&gt;17&lt;/ref-type&gt;&lt;contributors&gt;&lt;authors&gt;&lt;author&gt;Limones, Alvaro&lt;/author&gt;&lt;author&gt;Sáez-Alcaide, Luis Miguel&lt;/author&gt;&lt;author&gt;Díaz-Parreño, Santiago Angulo&lt;/author&gt;&lt;author&gt;Helm, Alexandra&lt;/author&gt;&lt;author&gt;Bornstein, Michael M&lt;/author&gt;&lt;author&gt;Molinero-Mourelle, Pedro&lt;/author&gt;&lt;/authors&gt;&lt;/contributors&gt;&lt;titles&gt;&lt;title&gt;Medication-related osteonecrosis of the jaws (MRONJ) in cancer patients treated with denosumab VS. zoledronic acid: A systematic review and meta-analysis&lt;/title&gt;&lt;secondary-title&gt;Medicina Oral, Patología Oral y Cirugía Bucal&lt;/secondary-title&gt;&lt;/titles&gt;&lt;periodical&gt;&lt;full-title&gt;Med Oral Patol Oral Cir Bucal&lt;/full-title&gt;&lt;abbr-1&gt;Medicina oral, patologia oral y cirugia bucal&lt;/abbr-1&gt;&lt;/periodical&gt;&lt;pages&gt;e326&lt;/pages&gt;&lt;volume&gt;25&lt;/volume&gt;&lt;number&gt;3&lt;/number&gt;&lt;dates&gt;&lt;year&gt;2020&lt;/year&gt;&lt;/dates&gt;&lt;urls&gt;&lt;/urls&gt;&lt;/record&gt;&lt;/Cite&gt;&lt;/EndNote&gt;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58</w:t>
            </w:r>
            <w:r w:rsidR="0008652B" w:rsidRPr="005C470C">
              <w:rPr>
                <w:rFonts w:ascii="Times New Roman" w:eastAsia="Times New Roman" w:hAnsi="Times New Roman" w:cs="Times New Roman"/>
                <w:sz w:val="20"/>
                <w:szCs w:val="20"/>
                <w:lang w:eastAsia="pt-BR"/>
              </w:rPr>
              <w:fldChar w:fldCharType="end"/>
            </w:r>
          </w:p>
          <w:p w14:paraId="6D5AF7A1" w14:textId="5E4EF450"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Spain</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14B6AD8A" w14:textId="77777777" w:rsidR="006226A8"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Medicina oral, patologia oral y cirugia bucal</w:t>
            </w:r>
          </w:p>
          <w:p w14:paraId="55DACECD" w14:textId="04CE7D5D" w:rsidR="00C53143" w:rsidRPr="005C470C"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(1.596)</w:t>
            </w:r>
          </w:p>
        </w:tc>
        <w:tc>
          <w:tcPr>
            <w:tcW w:w="1418" w:type="dxa"/>
            <w:shd w:val="clear" w:color="auto" w:fill="auto"/>
            <w:vAlign w:val="center"/>
            <w:hideMark/>
          </w:tcPr>
          <w:p w14:paraId="463C7D4B"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Pathology</w:t>
            </w:r>
          </w:p>
        </w:tc>
        <w:tc>
          <w:tcPr>
            <w:tcW w:w="1275" w:type="dxa"/>
            <w:shd w:val="clear" w:color="auto" w:fill="auto"/>
            <w:vAlign w:val="center"/>
            <w:hideMark/>
          </w:tcPr>
          <w:p w14:paraId="199F7287" w14:textId="0D5E7669" w:rsidR="005E7510" w:rsidRPr="005C470C" w:rsidRDefault="005E7510" w:rsidP="005E7510">
            <w:pPr>
              <w:autoSpaceDE w:val="0"/>
              <w:autoSpaceDN w:val="0"/>
              <w:adjustRightInd w:val="0"/>
              <w:jc w:val="center"/>
              <w:rPr>
                <w:rFonts w:ascii="Times New Roman" w:hAnsi="Times New Roman" w:cs="Times New Roman"/>
                <w:sz w:val="20"/>
                <w:szCs w:val="20"/>
                <w:lang w:val="en-US"/>
              </w:rPr>
            </w:pPr>
            <w:r w:rsidRPr="005C470C">
              <w:rPr>
                <w:rFonts w:ascii="Times New Roman" w:hAnsi="Times New Roman" w:cs="Times New Roman"/>
                <w:sz w:val="20"/>
                <w:szCs w:val="20"/>
                <w:lang w:val="en-US"/>
              </w:rPr>
              <w:t>To analyse the incidence, risk ratio (RR) and prognoses of two types of medication-related osteonecrosis of the jaws (MRONJ): denosumab-related osteonecrosis of the jaws (DRONJ) and Bisphosphonate-Related Osteonecrosis of the Jaws (BRONJ) in cancer patients under treatment with denosumab or zoledronic acid (ZA)</w:t>
            </w:r>
          </w:p>
        </w:tc>
        <w:tc>
          <w:tcPr>
            <w:tcW w:w="1134" w:type="dxa"/>
            <w:shd w:val="clear" w:color="auto" w:fill="auto"/>
            <w:vAlign w:val="center"/>
            <w:hideMark/>
          </w:tcPr>
          <w:p w14:paraId="14F95513" w14:textId="350A2496" w:rsidR="006226A8" w:rsidRPr="005C470C" w:rsidRDefault="006226A8" w:rsidP="005E7510">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Adult patients (&gt;18</w:t>
            </w:r>
            <w:r w:rsidR="001607B9" w:rsidRPr="005C470C">
              <w:rPr>
                <w:rFonts w:ascii="Times New Roman" w:eastAsia="Times New Roman" w:hAnsi="Times New Roman" w:cs="Times New Roman"/>
                <w:sz w:val="20"/>
                <w:szCs w:val="20"/>
                <w:lang w:val="en-US" w:eastAsia="pt-BR"/>
              </w:rPr>
              <w:t xml:space="preserve">y </w:t>
            </w:r>
            <w:r w:rsidRPr="005C470C">
              <w:rPr>
                <w:rFonts w:ascii="Times New Roman" w:eastAsia="Times New Roman" w:hAnsi="Times New Roman" w:cs="Times New Roman"/>
                <w:sz w:val="20"/>
                <w:szCs w:val="20"/>
                <w:lang w:val="en-US" w:eastAsia="pt-BR"/>
              </w:rPr>
              <w:t xml:space="preserve">old) who were diagnosed with a solid </w:t>
            </w:r>
            <w:r w:rsidR="00DC29BB" w:rsidRPr="005C470C">
              <w:rPr>
                <w:rFonts w:ascii="Times New Roman" w:eastAsia="Times New Roman" w:hAnsi="Times New Roman" w:cs="Times New Roman"/>
                <w:sz w:val="20"/>
                <w:szCs w:val="20"/>
                <w:lang w:val="en-US" w:eastAsia="pt-BR"/>
              </w:rPr>
              <w:t>tumor</w:t>
            </w:r>
            <w:r w:rsidRPr="005C470C">
              <w:rPr>
                <w:rFonts w:ascii="Times New Roman" w:eastAsia="Times New Roman" w:hAnsi="Times New Roman" w:cs="Times New Roman"/>
                <w:sz w:val="20"/>
                <w:szCs w:val="20"/>
                <w:lang w:val="en-US" w:eastAsia="pt-BR"/>
              </w:rPr>
              <w:t xml:space="preserve"> or with bone metastasis</w:t>
            </w:r>
          </w:p>
        </w:tc>
        <w:tc>
          <w:tcPr>
            <w:tcW w:w="1276" w:type="dxa"/>
            <w:shd w:val="clear" w:color="auto" w:fill="auto"/>
            <w:vAlign w:val="center"/>
            <w:hideMark/>
          </w:tcPr>
          <w:p w14:paraId="3C417DF0" w14:textId="3EBE9583"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Subcutaneous </w:t>
            </w:r>
            <w:r w:rsidR="00F3196E" w:rsidRPr="005C470C">
              <w:rPr>
                <w:rFonts w:ascii="Times New Roman" w:hAnsi="Times New Roman" w:cs="Times New Roman"/>
                <w:sz w:val="20"/>
                <w:szCs w:val="20"/>
                <w:lang w:val="en-US"/>
              </w:rPr>
              <w:t>denosumab</w:t>
            </w:r>
            <w:r w:rsidR="00F3196E"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 120 mg doses every 4</w:t>
            </w:r>
            <w:r w:rsidR="001607B9" w:rsidRPr="005C470C">
              <w:rPr>
                <w:rFonts w:ascii="Times New Roman" w:eastAsia="Times New Roman" w:hAnsi="Times New Roman" w:cs="Times New Roman"/>
                <w:color w:val="000000"/>
                <w:sz w:val="20"/>
                <w:szCs w:val="20"/>
                <w:lang w:val="en-US" w:eastAsia="pt-BR"/>
              </w:rPr>
              <w:t>w</w:t>
            </w:r>
          </w:p>
        </w:tc>
        <w:tc>
          <w:tcPr>
            <w:tcW w:w="1418" w:type="dxa"/>
            <w:shd w:val="clear" w:color="auto" w:fill="auto"/>
            <w:vAlign w:val="center"/>
            <w:hideMark/>
          </w:tcPr>
          <w:p w14:paraId="37893754" w14:textId="435FBC2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Intravenous ZA </w:t>
            </w:r>
            <w:r w:rsidR="00F3196E"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4 mg doses every 4</w:t>
            </w:r>
            <w:r w:rsidR="001607B9" w:rsidRPr="005C470C">
              <w:rPr>
                <w:rFonts w:ascii="Times New Roman" w:eastAsia="Times New Roman" w:hAnsi="Times New Roman" w:cs="Times New Roman"/>
                <w:color w:val="000000"/>
                <w:sz w:val="20"/>
                <w:szCs w:val="20"/>
                <w:lang w:val="en-US" w:eastAsia="pt-BR"/>
              </w:rPr>
              <w:t>w</w:t>
            </w:r>
          </w:p>
        </w:tc>
        <w:tc>
          <w:tcPr>
            <w:tcW w:w="1275" w:type="dxa"/>
            <w:shd w:val="clear" w:color="auto" w:fill="auto"/>
            <w:vAlign w:val="center"/>
            <w:hideMark/>
          </w:tcPr>
          <w:p w14:paraId="261C74DF" w14:textId="76C91F44" w:rsidR="005E7510" w:rsidRPr="005C470C" w:rsidRDefault="001607B9" w:rsidP="005E7510">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w:t>
            </w:r>
            <w:r w:rsidR="006226A8" w:rsidRPr="005C470C">
              <w:rPr>
                <w:rFonts w:ascii="Times New Roman" w:eastAsia="Times New Roman" w:hAnsi="Times New Roman" w:cs="Times New Roman"/>
                <w:color w:val="000000"/>
                <w:sz w:val="20"/>
                <w:szCs w:val="20"/>
                <w:lang w:val="en-US" w:eastAsia="pt-BR"/>
              </w:rPr>
              <w:t>ncidence of denosumab and zoledronic acid-related MRONJ; RR of DRONJ compared to ZA-related BRONJ; and the third outcome was the OR of their respective prognoses</w:t>
            </w:r>
          </w:p>
        </w:tc>
        <w:tc>
          <w:tcPr>
            <w:tcW w:w="1134" w:type="dxa"/>
            <w:shd w:val="clear" w:color="auto" w:fill="auto"/>
            <w:vAlign w:val="center"/>
            <w:hideMark/>
          </w:tcPr>
          <w:p w14:paraId="2CBC634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(n=8)</w:t>
            </w:r>
          </w:p>
        </w:tc>
        <w:tc>
          <w:tcPr>
            <w:tcW w:w="567" w:type="dxa"/>
            <w:shd w:val="clear" w:color="auto" w:fill="auto"/>
            <w:vAlign w:val="center"/>
            <w:hideMark/>
          </w:tcPr>
          <w:p w14:paraId="523A8E70"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2B773621" w14:textId="572A81F9" w:rsidR="006226A8" w:rsidRPr="005C470C" w:rsidRDefault="00F3196E"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w:t>
            </w:r>
            <w:r w:rsidR="006226A8" w:rsidRPr="005C470C">
              <w:rPr>
                <w:rFonts w:ascii="Times New Roman" w:eastAsia="Times New Roman" w:hAnsi="Times New Roman" w:cs="Times New Roman"/>
                <w:color w:val="000000"/>
                <w:sz w:val="20"/>
                <w:szCs w:val="20"/>
                <w:lang w:val="en-US" w:eastAsia="pt-BR"/>
              </w:rPr>
              <w:t>he use of denosumab is associated with a significantly higher risk of developing MRONJ compared to ZA. Thus, clinicians should be aware of this risk, and adapt or plan for preventive measures such as thorough dental examinations and interventions prior to the initiation of medication, as well as oral health maintenance and avoidance of surgical procedures during active therapy</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76468DB" w14:textId="151A6F0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w:t>
            </w:r>
          </w:p>
        </w:tc>
      </w:tr>
      <w:tr w:rsidR="002914BB" w:rsidRPr="005C470C" w14:paraId="3C8DBB71" w14:textId="77777777" w:rsidTr="00114AF5">
        <w:trPr>
          <w:trHeight w:val="20"/>
        </w:trPr>
        <w:tc>
          <w:tcPr>
            <w:tcW w:w="1135" w:type="dxa"/>
            <w:shd w:val="clear" w:color="auto" w:fill="auto"/>
            <w:vAlign w:val="center"/>
            <w:hideMark/>
          </w:tcPr>
          <w:p w14:paraId="4ABB45C4"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Lins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&lt;EndNote&gt;&lt;Cite&gt;&lt;Author&gt;Lins&lt;/Author&gt;&lt;Year&gt;2020&lt;/Year&gt;&lt;RecNum&gt;20947&lt;/RecNum&gt;&lt;DisplayText&gt;&lt;style face="superscript"&gt;59&lt;/style&gt;&lt;/DisplayText&gt;&lt;record&gt;&lt;rec-number&gt;20947&lt;/rec-number&gt;&lt;foreign-keys&gt;&lt;key app="EN" db-id="f5fv5a2shx52dqesxzmpffeqzt5ffxae2vev" timestamp="1607902573"&gt;20947&lt;/key&gt;&lt;/foreign-keys&gt;&lt;ref-type name="Journal Article"&gt;17&lt;/ref-type&gt;&lt;contributors&gt;&lt;authors&gt;&lt;author&gt;Lins, Rbe&lt;/author&gt;&lt;author&gt;Sebold, M&lt;/author&gt;&lt;author&gt;Magno, MB&lt;/author&gt;&lt;author&gt;Maia, LC&lt;/author&gt;&lt;author&gt;Martins, Lrm&lt;/author&gt;&lt;author&gt;Giannini, M&lt;/author&gt;&lt;/authors&gt;&lt;/contributors&gt;&lt;titles&gt;&lt;title&gt;Does the Type of Solvent in Dental Adhesives Influence the Clinical Performance of Composite Restorations Placed in Noncarious Cervical Lesions? A Systematic Review and Meta-analysis&lt;/title&gt;&lt;secondary-title&gt;Operative Dentistry&lt;/secondary-title&gt;&lt;/titles&gt;&lt;periodical&gt;&lt;full-title&gt;Oper Dent&lt;/full-title&gt;&lt;abbr-1&gt;Operative dentistry&lt;/abbr-1&gt;&lt;/periodical&gt;&lt;dates&gt;&lt;year&gt;2020&lt;/year&gt;&lt;/dates&gt;&lt;isbn&gt;0361-7734&lt;/isbn&gt;&lt;urls&gt;&lt;/urls&gt;&lt;/record&gt;&lt;/Cite&gt;&lt;/EndNote&gt;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59</w:t>
            </w:r>
            <w:r w:rsidR="0008652B" w:rsidRPr="005C470C">
              <w:rPr>
                <w:rFonts w:ascii="Times New Roman" w:eastAsia="Times New Roman" w:hAnsi="Times New Roman" w:cs="Times New Roman"/>
                <w:sz w:val="20"/>
                <w:szCs w:val="20"/>
                <w:lang w:eastAsia="pt-BR"/>
              </w:rPr>
              <w:fldChar w:fldCharType="end"/>
            </w:r>
          </w:p>
          <w:p w14:paraId="5565C7BF" w14:textId="4E916373"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74453B7C"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Operative dentistry</w:t>
            </w:r>
          </w:p>
          <w:p w14:paraId="3CACDA1C" w14:textId="2CD014DA"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(2.213)</w:t>
            </w:r>
          </w:p>
        </w:tc>
        <w:tc>
          <w:tcPr>
            <w:tcW w:w="1418" w:type="dxa"/>
            <w:shd w:val="clear" w:color="auto" w:fill="auto"/>
            <w:vAlign w:val="center"/>
            <w:hideMark/>
          </w:tcPr>
          <w:p w14:paraId="4E3827FB"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5B62B0C8" w14:textId="5D47B828"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compare the clinical performance and survival </w:t>
            </w:r>
            <w:r w:rsidRPr="005C470C">
              <w:rPr>
                <w:rFonts w:ascii="Times New Roman" w:eastAsia="Times New Roman" w:hAnsi="Times New Roman" w:cs="Times New Roman"/>
                <w:sz w:val="20"/>
                <w:szCs w:val="20"/>
                <w:lang w:val="en-US" w:eastAsia="pt-BR"/>
              </w:rPr>
              <w:lastRenderedPageBreak/>
              <w:t xml:space="preserve">rates of composite restorations placed in NCCLs using dental adhesives containing acetone or </w:t>
            </w:r>
            <w:r w:rsidR="002914BB" w:rsidRPr="005C470C">
              <w:rPr>
                <w:rFonts w:ascii="Times New Roman" w:eastAsia="Times New Roman" w:hAnsi="Times New Roman" w:cs="Times New Roman"/>
                <w:sz w:val="20"/>
                <w:szCs w:val="20"/>
                <w:lang w:val="en-US" w:eastAsia="pt-BR"/>
              </w:rPr>
              <w:t>alcohol-based</w:t>
            </w:r>
            <w:r w:rsidRPr="005C470C">
              <w:rPr>
                <w:rFonts w:ascii="Times New Roman" w:eastAsia="Times New Roman" w:hAnsi="Times New Roman" w:cs="Times New Roman"/>
                <w:sz w:val="20"/>
                <w:szCs w:val="20"/>
                <w:lang w:val="en-US" w:eastAsia="pt-BR"/>
              </w:rPr>
              <w:t xml:space="preserve"> solvents</w:t>
            </w:r>
          </w:p>
        </w:tc>
        <w:tc>
          <w:tcPr>
            <w:tcW w:w="1134" w:type="dxa"/>
            <w:shd w:val="clear" w:color="auto" w:fill="auto"/>
            <w:vAlign w:val="center"/>
            <w:hideMark/>
          </w:tcPr>
          <w:p w14:paraId="312EE697" w14:textId="6F510A7D" w:rsidR="002914BB"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Adult patients with </w:t>
            </w:r>
            <w:r w:rsidR="002914BB" w:rsidRPr="005C470C">
              <w:rPr>
                <w:rFonts w:ascii="Times New Roman" w:eastAsia="Times New Roman" w:hAnsi="Times New Roman" w:cs="Times New Roman"/>
                <w:sz w:val="20"/>
                <w:szCs w:val="20"/>
                <w:lang w:val="en-US" w:eastAsia="pt-BR"/>
              </w:rPr>
              <w:t xml:space="preserve">noncarious </w:t>
            </w:r>
            <w:r w:rsidR="002914BB" w:rsidRPr="005C470C">
              <w:rPr>
                <w:rFonts w:ascii="Times New Roman" w:eastAsia="Times New Roman" w:hAnsi="Times New Roman" w:cs="Times New Roman"/>
                <w:sz w:val="20"/>
                <w:szCs w:val="20"/>
                <w:lang w:val="en-US" w:eastAsia="pt-BR"/>
              </w:rPr>
              <w:lastRenderedPageBreak/>
              <w:t xml:space="preserve">cervical lesions </w:t>
            </w:r>
            <w:r w:rsidR="002914BB"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NCCLs</w:t>
            </w:r>
            <w:r w:rsidR="002914BB" w:rsidRPr="005C470C">
              <w:rPr>
                <w:rFonts w:ascii="Times New Roman" w:eastAsia="Times New Roman" w:hAnsi="Times New Roman" w:cs="Times New Roman"/>
                <w:color w:val="000000"/>
                <w:sz w:val="20"/>
                <w:szCs w:val="20"/>
                <w:lang w:val="en-US" w:eastAsia="pt-BR"/>
              </w:rPr>
              <w:t>)</w:t>
            </w:r>
          </w:p>
          <w:p w14:paraId="7424D85F" w14:textId="4D221FE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(class V)</w:t>
            </w:r>
          </w:p>
        </w:tc>
        <w:tc>
          <w:tcPr>
            <w:tcW w:w="1276" w:type="dxa"/>
            <w:shd w:val="clear" w:color="auto" w:fill="auto"/>
            <w:vAlign w:val="center"/>
            <w:hideMark/>
          </w:tcPr>
          <w:p w14:paraId="448DAE0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Composite restorations performed with dental </w:t>
            </w:r>
            <w:r w:rsidRPr="005C470C">
              <w:rPr>
                <w:rFonts w:ascii="Times New Roman" w:eastAsia="Times New Roman" w:hAnsi="Times New Roman" w:cs="Times New Roman"/>
                <w:color w:val="000000"/>
                <w:sz w:val="20"/>
                <w:szCs w:val="20"/>
                <w:lang w:val="en-US" w:eastAsia="pt-BR"/>
              </w:rPr>
              <w:lastRenderedPageBreak/>
              <w:t>adhesives containing acetone-based solvents</w:t>
            </w:r>
          </w:p>
        </w:tc>
        <w:tc>
          <w:tcPr>
            <w:tcW w:w="1418" w:type="dxa"/>
            <w:shd w:val="clear" w:color="auto" w:fill="auto"/>
            <w:vAlign w:val="center"/>
            <w:hideMark/>
          </w:tcPr>
          <w:p w14:paraId="0A5ACDD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Composite restorations performed with dental </w:t>
            </w:r>
            <w:r w:rsidRPr="005C470C">
              <w:rPr>
                <w:rFonts w:ascii="Times New Roman" w:eastAsia="Times New Roman" w:hAnsi="Times New Roman" w:cs="Times New Roman"/>
                <w:color w:val="000000"/>
                <w:sz w:val="20"/>
                <w:szCs w:val="20"/>
                <w:lang w:val="en-US" w:eastAsia="pt-BR"/>
              </w:rPr>
              <w:lastRenderedPageBreak/>
              <w:t>adhesives containing alcohol-based solvents</w:t>
            </w:r>
          </w:p>
        </w:tc>
        <w:tc>
          <w:tcPr>
            <w:tcW w:w="1275" w:type="dxa"/>
            <w:shd w:val="clear" w:color="auto" w:fill="auto"/>
            <w:vAlign w:val="center"/>
            <w:hideMark/>
          </w:tcPr>
          <w:p w14:paraId="58967B07" w14:textId="18BEA49B"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Clinical </w:t>
            </w:r>
            <w:r w:rsidR="006226A8" w:rsidRPr="005C470C">
              <w:rPr>
                <w:rFonts w:ascii="Times New Roman" w:eastAsia="Times New Roman" w:hAnsi="Times New Roman" w:cs="Times New Roman"/>
                <w:color w:val="000000"/>
                <w:sz w:val="20"/>
                <w:szCs w:val="20"/>
                <w:lang w:val="en-US" w:eastAsia="pt-BR"/>
              </w:rPr>
              <w:t xml:space="preserve">evaluation parameters of composite </w:t>
            </w:r>
            <w:r w:rsidR="006226A8" w:rsidRPr="005C470C">
              <w:rPr>
                <w:rFonts w:ascii="Times New Roman" w:eastAsia="Times New Roman" w:hAnsi="Times New Roman" w:cs="Times New Roman"/>
                <w:color w:val="000000"/>
                <w:sz w:val="20"/>
                <w:szCs w:val="20"/>
                <w:lang w:val="en-US" w:eastAsia="pt-BR"/>
              </w:rPr>
              <w:lastRenderedPageBreak/>
              <w:t>restorations and overall survival rate</w:t>
            </w:r>
          </w:p>
        </w:tc>
        <w:tc>
          <w:tcPr>
            <w:tcW w:w="1134" w:type="dxa"/>
            <w:shd w:val="clear" w:color="auto" w:fill="auto"/>
            <w:vAlign w:val="center"/>
            <w:hideMark/>
          </w:tcPr>
          <w:p w14:paraId="1FFAACE9"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(n=27)</w:t>
            </w:r>
          </w:p>
        </w:tc>
        <w:tc>
          <w:tcPr>
            <w:tcW w:w="567" w:type="dxa"/>
            <w:shd w:val="clear" w:color="auto" w:fill="auto"/>
            <w:vAlign w:val="center"/>
            <w:hideMark/>
          </w:tcPr>
          <w:p w14:paraId="6EC839AA"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259127E" w14:textId="14C921D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Based on the results, there is no significant difference in the </w:t>
            </w:r>
            <w:r w:rsidRPr="005C470C">
              <w:rPr>
                <w:rFonts w:ascii="Times New Roman" w:eastAsia="Times New Roman" w:hAnsi="Times New Roman" w:cs="Times New Roman"/>
                <w:color w:val="000000"/>
                <w:sz w:val="20"/>
                <w:szCs w:val="20"/>
                <w:lang w:val="en-US" w:eastAsia="pt-BR"/>
              </w:rPr>
              <w:lastRenderedPageBreak/>
              <w:t>clinical performance of dental adhesives based on solvent type (alcohol- or acetone-based), regardless of adhesive mode of action or application</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E271641"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2598175E" w14:textId="77777777" w:rsidTr="00114AF5">
        <w:trPr>
          <w:trHeight w:val="4092"/>
        </w:trPr>
        <w:tc>
          <w:tcPr>
            <w:tcW w:w="1135" w:type="dxa"/>
            <w:shd w:val="clear" w:color="auto" w:fill="auto"/>
            <w:vAlign w:val="center"/>
            <w:hideMark/>
          </w:tcPr>
          <w:p w14:paraId="481820E9"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Lockhart et al, 2019</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&lt;EndNote&gt;&lt;Cite&gt;&lt;Author&gt;Lockhart&lt;/Author&gt;&lt;Year&gt;2019&lt;/Year&gt;&lt;RecNum&gt;20953&lt;/RecNum&gt;&lt;DisplayText&gt;&lt;style face="superscript"&gt;60&lt;/style&gt;&lt;/DisplayText&gt;&lt;record&gt;&lt;rec-number&gt;20953&lt;/rec-number&gt;&lt;foreign-keys&gt;&lt;key app="EN" db-id="f5fv5a2shx52dqesxzmpffeqzt5ffxae2vev" timestamp="1607902573"&gt;20953&lt;/key&gt;&lt;/foreign-keys&gt;&lt;ref-type name="Journal Article"&gt;17&lt;/ref-type&gt;&lt;contributors&gt;&lt;authors&gt;&lt;author&gt;Lockhart, Peter B&lt;/author&gt;&lt;author&gt;DeLong, Hillary R&lt;/author&gt;&lt;author&gt;Lipman, Ruth D&lt;/author&gt;&lt;author&gt;Abt, Elliot&lt;/author&gt;&lt;author&gt;Baddour, Larry M&lt;/author&gt;&lt;author&gt;Colvin, Monica&lt;/author&gt;&lt;author&gt;Miller, Craig S&lt;/author&gt;&lt;author&gt;Sollecito, Thomas&lt;/author&gt;&lt;author&gt;O’Brien, Kelly&lt;/author&gt;&lt;author&gt;Estrich, Cameron G&lt;/author&gt;&lt;/authors&gt;&lt;/contributors&gt;&lt;titles&gt;&lt;title&gt;Effect of dental treatment before cardiac valve surgery: systematic review and meta-analysis&lt;/title&gt;&lt;secondary-title&gt;The Journal of the American Dental Association&lt;/secondary-title&gt;&lt;/titles&gt;&lt;periodical&gt;&lt;full-title&gt;The Journal of the American Dental Association&lt;/full-title&gt;&lt;/periodical&gt;&lt;pages&gt;739-747. e9&lt;/pages&gt;&lt;volume&gt;150&lt;/volume&gt;&lt;number&gt;9&lt;/number&gt;&lt;dates&gt;&lt;year&gt;2019&lt;/year&gt;&lt;/dates&gt;&lt;isbn&gt;0002-8177&lt;/isbn&gt;&lt;urls&gt;&lt;/urls&gt;&lt;/record&gt;&lt;/Cite&gt;&lt;/EndNote&gt;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60</w:t>
            </w:r>
            <w:r w:rsidR="0008652B" w:rsidRPr="005C470C">
              <w:rPr>
                <w:rFonts w:ascii="Times New Roman" w:eastAsia="Times New Roman" w:hAnsi="Times New Roman" w:cs="Times New Roman"/>
                <w:sz w:val="20"/>
                <w:szCs w:val="20"/>
                <w:lang w:eastAsia="pt-BR"/>
              </w:rPr>
              <w:fldChar w:fldCharType="end"/>
            </w:r>
          </w:p>
          <w:p w14:paraId="245CB365" w14:textId="5F8F7975"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(United States)</w:t>
            </w:r>
          </w:p>
        </w:tc>
        <w:tc>
          <w:tcPr>
            <w:tcW w:w="992" w:type="dxa"/>
            <w:shd w:val="clear" w:color="auto" w:fill="auto"/>
            <w:vAlign w:val="center"/>
            <w:hideMark/>
          </w:tcPr>
          <w:p w14:paraId="05FC32CF" w14:textId="77777777" w:rsidR="006226A8"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The Journal of the American Dental Association</w:t>
            </w:r>
          </w:p>
          <w:p w14:paraId="135AFF43" w14:textId="4BFA008C" w:rsidR="00C53143"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(2.803)</w:t>
            </w:r>
          </w:p>
        </w:tc>
        <w:tc>
          <w:tcPr>
            <w:tcW w:w="1418" w:type="dxa"/>
            <w:shd w:val="clear" w:color="auto" w:fill="auto"/>
            <w:vAlign w:val="center"/>
            <w:hideMark/>
          </w:tcPr>
          <w:p w14:paraId="24FF7174"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Medicine</w:t>
            </w:r>
          </w:p>
        </w:tc>
        <w:tc>
          <w:tcPr>
            <w:tcW w:w="1275" w:type="dxa"/>
            <w:shd w:val="clear" w:color="auto" w:fill="auto"/>
            <w:vAlign w:val="center"/>
            <w:hideMark/>
          </w:tcPr>
          <w:p w14:paraId="76B026E2" w14:textId="2370BBB0"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determine the potential effect of dental treatment before cardiac valve surgery (CVS) or left ventricular assist device (LVAD) implantation on morbidity and mortality</w:t>
            </w:r>
          </w:p>
        </w:tc>
        <w:tc>
          <w:tcPr>
            <w:tcW w:w="1134" w:type="dxa"/>
            <w:shd w:val="clear" w:color="auto" w:fill="auto"/>
            <w:vAlign w:val="center"/>
            <w:hideMark/>
          </w:tcPr>
          <w:p w14:paraId="5ED0B1B2" w14:textId="6BD2CD8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Adult patients (defined as 18</w:t>
            </w:r>
            <w:r w:rsidR="00181FB9"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or older) undergoing surgical treatment of cardiac valves (repair or replacement) or LVAD implantation</w:t>
            </w:r>
          </w:p>
        </w:tc>
        <w:tc>
          <w:tcPr>
            <w:tcW w:w="1276" w:type="dxa"/>
            <w:shd w:val="clear" w:color="auto" w:fill="auto"/>
            <w:vAlign w:val="center"/>
            <w:hideMark/>
          </w:tcPr>
          <w:p w14:paraId="073DF4C6" w14:textId="1123C70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Dental procedures performed as presurgical preparation, in any setting</w:t>
            </w:r>
          </w:p>
        </w:tc>
        <w:tc>
          <w:tcPr>
            <w:tcW w:w="1418" w:type="dxa"/>
            <w:shd w:val="clear" w:color="auto" w:fill="auto"/>
            <w:vAlign w:val="center"/>
            <w:hideMark/>
          </w:tcPr>
          <w:p w14:paraId="6EE4141D"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No dental treatment</w:t>
            </w:r>
          </w:p>
        </w:tc>
        <w:tc>
          <w:tcPr>
            <w:tcW w:w="1275" w:type="dxa"/>
            <w:shd w:val="clear" w:color="auto" w:fill="auto"/>
            <w:vAlign w:val="center"/>
            <w:hideMark/>
          </w:tcPr>
          <w:p w14:paraId="3EE4819D"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Morbidity and mortality outcomes (all-cause mortality, IE rates, other infections, and length of stay - LOS in the hospital)</w:t>
            </w:r>
          </w:p>
        </w:tc>
        <w:tc>
          <w:tcPr>
            <w:tcW w:w="1134" w:type="dxa"/>
            <w:shd w:val="clear" w:color="auto" w:fill="auto"/>
            <w:vAlign w:val="center"/>
            <w:hideMark/>
          </w:tcPr>
          <w:p w14:paraId="5F4D3F39"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Prospective cohort studies (n=3) and retrospective cohort studies (n=3) </w:t>
            </w:r>
          </w:p>
        </w:tc>
        <w:tc>
          <w:tcPr>
            <w:tcW w:w="567" w:type="dxa"/>
            <w:shd w:val="clear" w:color="auto" w:fill="auto"/>
            <w:vAlign w:val="center"/>
            <w:hideMark/>
          </w:tcPr>
          <w:p w14:paraId="317F49B8"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B3BF3C7" w14:textId="0323528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available evidence (that is, very low certainty) suggests it is unclear whether dental treatment</w:t>
            </w:r>
            <w:r w:rsidR="00181FB9"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before CVS results in better or worse postoperative outcomes than no dental pretreatment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60414A0" w14:textId="7D20D0D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181FB9" w:rsidRPr="005C470C">
              <w:rPr>
                <w:rFonts w:ascii="Times New Roman" w:eastAsia="Times New Roman" w:hAnsi="Times New Roman" w:cs="Times New Roman"/>
                <w:color w:val="000000"/>
                <w:sz w:val="20"/>
                <w:szCs w:val="20"/>
                <w:lang w:val="en-US" w:eastAsia="pt-BR"/>
              </w:rPr>
              <w:t xml:space="preserve"> - Given the uncertainty of the evidence, a team that includes dental, medical, and surgical care professionals should weigh additional, case-specific factors before proceeding with presurgical dental treatment</w:t>
            </w:r>
            <w:r w:rsidR="00B0457E">
              <w:rPr>
                <w:rFonts w:ascii="Times New Roman" w:eastAsia="Times New Roman" w:hAnsi="Times New Roman" w:cs="Times New Roman"/>
                <w:color w:val="000000"/>
                <w:sz w:val="20"/>
                <w:szCs w:val="20"/>
                <w:lang w:val="en-US" w:eastAsia="pt-BR"/>
              </w:rPr>
              <w:t>.</w:t>
            </w:r>
          </w:p>
        </w:tc>
      </w:tr>
      <w:tr w:rsidR="002914BB" w:rsidRPr="00114AF5" w14:paraId="72329A09" w14:textId="77777777" w:rsidTr="00114AF5">
        <w:trPr>
          <w:trHeight w:val="3682"/>
        </w:trPr>
        <w:tc>
          <w:tcPr>
            <w:tcW w:w="1135" w:type="dxa"/>
            <w:shd w:val="clear" w:color="auto" w:fill="auto"/>
            <w:vAlign w:val="center"/>
            <w:hideMark/>
          </w:tcPr>
          <w:p w14:paraId="58817B75"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lastRenderedPageBreak/>
              <w:t>Lyu, Zhang and Zou, 2019</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&lt;EndNote&gt;&lt;Cite&gt;&lt;Author&gt;Lyu&lt;/Author&gt;&lt;Year&gt;2019&lt;/Year&gt;&lt;RecNum&gt;20952&lt;/RecNum&gt;&lt;DisplayText&gt;&lt;style face="superscript"&gt;61&lt;/style&gt;&lt;/DisplayText&gt;&lt;record&gt;&lt;rec-number&gt;20952&lt;/rec-number&gt;&lt;foreign-keys&gt;&lt;key app="EN" db-id="f5fv5a2shx52dqesxzmpffeqzt5ffxae2vev" timestamp="1607902573"&gt;20952&lt;/key&gt;&lt;/foreign-keys&gt;&lt;ref-type name="Journal Article"&gt;17&lt;/ref-type&gt;&lt;contributors&gt;&lt;authors&gt;&lt;author&gt;Lyu, Chunxiao&lt;/author&gt;&lt;author&gt;Zhang, Li&lt;/author&gt;&lt;author&gt;Zou, Shujuan&lt;/author&gt;&lt;/authors&gt;&lt;/contributors&gt;&lt;titles&gt;&lt;title&gt;The effectiveness of supplemental vibrational force on enhancing orthodontic treatment. A systematic review&lt;/title&gt;&lt;secondary-title&gt;European journal of orthodontics&lt;/secondary-title&gt;&lt;/titles&gt;&lt;periodical&gt;&lt;full-title&gt;Eur J Orthod&lt;/full-title&gt;&lt;abbr-1&gt;European journal of orthodontics&lt;/abbr-1&gt;&lt;/periodical&gt;&lt;pages&gt;502-512&lt;/pages&gt;&lt;volume&gt;41&lt;/volume&gt;&lt;number&gt;5&lt;/number&gt;&lt;dates&gt;&lt;year&gt;2019&lt;/year&gt;&lt;/dates&gt;&lt;isbn&gt;0141-5387&lt;/isbn&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61</w:t>
            </w:r>
            <w:r w:rsidR="0008652B" w:rsidRPr="005C470C">
              <w:rPr>
                <w:rFonts w:ascii="Times New Roman" w:eastAsia="Times New Roman" w:hAnsi="Times New Roman" w:cs="Times New Roman"/>
                <w:sz w:val="20"/>
                <w:szCs w:val="20"/>
                <w:lang w:val="en-US" w:eastAsia="pt-BR"/>
              </w:rPr>
              <w:fldChar w:fldCharType="end"/>
            </w:r>
          </w:p>
          <w:p w14:paraId="56C53170" w14:textId="5D63D086" w:rsidR="00C53143" w:rsidRPr="005C470C" w:rsidRDefault="00C53143" w:rsidP="006226A8">
            <w:pP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t>
            </w:r>
            <w:r w:rsidRPr="00BC17DB">
              <w:rPr>
                <w:rFonts w:ascii="Times New Roman" w:eastAsia="Times New Roman" w:hAnsi="Times New Roman" w:cs="Times New Roman"/>
                <w:sz w:val="20"/>
                <w:szCs w:val="20"/>
                <w:lang w:val="en-US" w:eastAsia="pt-BR"/>
              </w:rPr>
              <w:t>China)</w:t>
            </w:r>
          </w:p>
        </w:tc>
        <w:tc>
          <w:tcPr>
            <w:tcW w:w="992" w:type="dxa"/>
            <w:shd w:val="clear" w:color="auto" w:fill="auto"/>
            <w:vAlign w:val="center"/>
            <w:hideMark/>
          </w:tcPr>
          <w:p w14:paraId="01D94346"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European journal of orthodontics</w:t>
            </w:r>
          </w:p>
          <w:p w14:paraId="660669AE" w14:textId="2CF03C16"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(2.202)</w:t>
            </w:r>
          </w:p>
        </w:tc>
        <w:tc>
          <w:tcPr>
            <w:tcW w:w="1418" w:type="dxa"/>
            <w:shd w:val="clear" w:color="auto" w:fill="auto"/>
            <w:vAlign w:val="center"/>
            <w:hideMark/>
          </w:tcPr>
          <w:p w14:paraId="1F1129CE"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707D8565" w14:textId="43AA8994"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potential positive effects of</w:t>
            </w:r>
            <w:r w:rsidR="00181FB9"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 xml:space="preserve">supplemental vibrational forces </w:t>
            </w:r>
            <w:r w:rsidR="00181FB9" w:rsidRPr="005C470C">
              <w:rPr>
                <w:rFonts w:ascii="Times New Roman" w:eastAsia="Times New Roman" w:hAnsi="Times New Roman" w:cs="Times New Roman"/>
                <w:sz w:val="20"/>
                <w:szCs w:val="20"/>
                <w:lang w:val="en-US" w:eastAsia="pt-BR"/>
              </w:rPr>
              <w:t xml:space="preserve">(SVFs) </w:t>
            </w:r>
            <w:r w:rsidRPr="005C470C">
              <w:rPr>
                <w:rFonts w:ascii="Times New Roman" w:eastAsia="Times New Roman" w:hAnsi="Times New Roman" w:cs="Times New Roman"/>
                <w:sz w:val="20"/>
                <w:szCs w:val="20"/>
                <w:lang w:val="en-US" w:eastAsia="pt-BR"/>
              </w:rPr>
              <w:t>on orthodontic treatment in a scientific evidence-based way</w:t>
            </w:r>
          </w:p>
        </w:tc>
        <w:tc>
          <w:tcPr>
            <w:tcW w:w="1134" w:type="dxa"/>
            <w:shd w:val="clear" w:color="auto" w:fill="auto"/>
            <w:vAlign w:val="center"/>
            <w:hideMark/>
          </w:tcPr>
          <w:p w14:paraId="1A73716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Orthodontic patients with fixed orthodontic brackets or clear aligners</w:t>
            </w:r>
          </w:p>
        </w:tc>
        <w:tc>
          <w:tcPr>
            <w:tcW w:w="1276" w:type="dxa"/>
            <w:shd w:val="clear" w:color="auto" w:fill="auto"/>
            <w:vAlign w:val="center"/>
            <w:hideMark/>
          </w:tcPr>
          <w:p w14:paraId="59D30E4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Fixed brackets or clear aligners with an intraoral vibrational appliance</w:t>
            </w:r>
          </w:p>
        </w:tc>
        <w:tc>
          <w:tcPr>
            <w:tcW w:w="1418" w:type="dxa"/>
            <w:shd w:val="clear" w:color="auto" w:fill="auto"/>
            <w:vAlign w:val="center"/>
            <w:hideMark/>
          </w:tcPr>
          <w:p w14:paraId="10D7B607"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Fixed brackets or clear aligners without an intraoral vibrational appliance</w:t>
            </w:r>
          </w:p>
        </w:tc>
        <w:tc>
          <w:tcPr>
            <w:tcW w:w="1275" w:type="dxa"/>
            <w:shd w:val="clear" w:color="auto" w:fill="auto"/>
            <w:vAlign w:val="center"/>
            <w:hideMark/>
          </w:tcPr>
          <w:p w14:paraId="3E6EE42A" w14:textId="4121BDCF"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Comparison </w:t>
            </w:r>
            <w:r w:rsidR="006226A8" w:rsidRPr="005C470C">
              <w:rPr>
                <w:rFonts w:ascii="Times New Roman" w:eastAsia="Times New Roman" w:hAnsi="Times New Roman" w:cs="Times New Roman"/>
                <w:color w:val="000000"/>
                <w:sz w:val="20"/>
                <w:szCs w:val="20"/>
                <w:lang w:val="en-US" w:eastAsia="pt-BR"/>
              </w:rPr>
              <w:t>of the rate of tooth movement, pain experience, and the condition of orthodontically induced</w:t>
            </w:r>
            <w:r w:rsidR="00181FB9"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inflammatory root resorption (OIIRR) between </w:t>
            </w:r>
            <w:r w:rsidR="00181FB9" w:rsidRPr="005C470C">
              <w:rPr>
                <w:rFonts w:ascii="Times New Roman" w:eastAsia="Times New Roman" w:hAnsi="Times New Roman" w:cs="Times New Roman"/>
                <w:color w:val="000000"/>
                <w:sz w:val="20"/>
                <w:szCs w:val="20"/>
                <w:lang w:val="en-US" w:eastAsia="pt-BR"/>
              </w:rPr>
              <w:t>groups</w:t>
            </w:r>
          </w:p>
        </w:tc>
        <w:tc>
          <w:tcPr>
            <w:tcW w:w="1134" w:type="dxa"/>
            <w:shd w:val="clear" w:color="auto" w:fill="auto"/>
            <w:vAlign w:val="center"/>
            <w:hideMark/>
          </w:tcPr>
          <w:p w14:paraId="3F33ECE2" w14:textId="467B82A5"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w:t>
            </w:r>
            <w:r w:rsidR="00181FB9" w:rsidRPr="005C470C">
              <w:rPr>
                <w:rFonts w:ascii="Times New Roman" w:eastAsia="Times New Roman" w:hAnsi="Times New Roman" w:cs="Times New Roman"/>
                <w:color w:val="000000"/>
                <w:sz w:val="20"/>
                <w:szCs w:val="20"/>
                <w:lang w:eastAsia="pt-BR"/>
              </w:rPr>
              <w:t xml:space="preserve"> </w:t>
            </w:r>
            <w:r w:rsidRPr="005C470C">
              <w:rPr>
                <w:rFonts w:ascii="Times New Roman" w:eastAsia="Times New Roman" w:hAnsi="Times New Roman" w:cs="Times New Roman"/>
                <w:color w:val="000000"/>
                <w:sz w:val="20"/>
                <w:szCs w:val="20"/>
                <w:lang w:eastAsia="pt-BR"/>
              </w:rPr>
              <w:t>/CCT (n=13)</w:t>
            </w:r>
          </w:p>
        </w:tc>
        <w:tc>
          <w:tcPr>
            <w:tcW w:w="567" w:type="dxa"/>
            <w:shd w:val="clear" w:color="auto" w:fill="auto"/>
            <w:vAlign w:val="center"/>
            <w:hideMark/>
          </w:tcPr>
          <w:p w14:paraId="46137AD5"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45C2A52" w14:textId="544CBF7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is insufficient evidence to support the claim that SVFs have positive clinical advantages in the alignment of the anterior teeth. The potential positive effects of vibrational forces on space closure, pain experience, and root resorption in orthodontic patients are inconclusive with no sufficient information at present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0ED0900A" w14:textId="6EF8A7D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181FB9" w:rsidRPr="005C470C">
              <w:rPr>
                <w:rFonts w:ascii="Times New Roman" w:eastAsia="Times New Roman" w:hAnsi="Times New Roman" w:cs="Times New Roman"/>
                <w:color w:val="000000"/>
                <w:sz w:val="20"/>
                <w:szCs w:val="20"/>
                <w:lang w:val="en-US" w:eastAsia="pt-BR"/>
              </w:rPr>
              <w:t xml:space="preserve"> - High-quality clinical trials with larger sample sizes are needed to find more comprehensive evidence of the potential positive effects of vibrational forces</w:t>
            </w:r>
            <w:r w:rsidR="00B0457E">
              <w:rPr>
                <w:rFonts w:ascii="Times New Roman" w:eastAsia="Times New Roman" w:hAnsi="Times New Roman" w:cs="Times New Roman"/>
                <w:color w:val="000000"/>
                <w:sz w:val="20"/>
                <w:szCs w:val="20"/>
                <w:lang w:val="en-US" w:eastAsia="pt-BR"/>
              </w:rPr>
              <w:t>.</w:t>
            </w:r>
          </w:p>
        </w:tc>
      </w:tr>
      <w:tr w:rsidR="002914BB" w:rsidRPr="00114AF5" w14:paraId="1DE75BCF" w14:textId="77777777" w:rsidTr="00114AF5">
        <w:trPr>
          <w:trHeight w:val="20"/>
        </w:trPr>
        <w:tc>
          <w:tcPr>
            <w:tcW w:w="1135" w:type="dxa"/>
            <w:shd w:val="clear" w:color="auto" w:fill="auto"/>
            <w:vAlign w:val="center"/>
            <w:hideMark/>
          </w:tcPr>
          <w:p w14:paraId="49FD66DF"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Machado et al, 20</w:t>
            </w:r>
            <w:r w:rsidR="00925DE6" w:rsidRPr="005C470C">
              <w:rPr>
                <w:rFonts w:ascii="Times New Roman" w:eastAsia="Times New Roman" w:hAnsi="Times New Roman" w:cs="Times New Roman"/>
                <w:sz w:val="20"/>
                <w:szCs w:val="20"/>
                <w:lang w:eastAsia="pt-BR"/>
              </w:rPr>
              <w:t>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&lt;EndNote&gt;&lt;Cite&gt;&lt;Author&gt;Machado&lt;/Author&gt;&lt;Year&gt;2020&lt;/Year&gt;&lt;RecNum&gt;20946&lt;/RecNum&gt;&lt;DisplayText&gt;&lt;style face="superscript"&gt;62&lt;/style&gt;&lt;/DisplayText&gt;&lt;record&gt;&lt;rec-number&gt;20946&lt;/rec-number&gt;&lt;foreign-keys&gt;&lt;key app="EN" db-id="f5fv5a2shx52dqesxzmpffeqzt5ffxae2vev" timestamp="1607902573"&gt;20946&lt;/key&gt;&lt;/foreign-keys&gt;&lt;ref-type name="Journal Article"&gt;17&lt;/ref-type&gt;&lt;contributors&gt;&lt;authors&gt;&lt;author&gt;Machado, Vanessa&lt;/author&gt;&lt;author&gt;Botelho, João&lt;/author&gt;&lt;author&gt;Mascarenhas, Paulo&lt;/author&gt;&lt;author&gt;Mendes, José João&lt;/author&gt;&lt;author&gt;Delgado, Ana&lt;/author&gt;&lt;/authors&gt;&lt;/contributors&gt;&lt;titles&gt;&lt;title&gt;A systematic review and meta-analysis on Bolton’s ratios: Normal occlusion and malocclusion&lt;/title&gt;&lt;secondary-title&gt;Journal of Orthodontics&lt;/secondary-title&gt;&lt;/titles&gt;&lt;periodical&gt;&lt;full-title&gt;J Orthod&lt;/full-title&gt;&lt;abbr-1&gt;Journal of orthodontics&lt;/abbr-1&gt;&lt;/periodical&gt;&lt;pages&gt;7-29&lt;/pages&gt;&lt;volume&gt;47&lt;/volume&gt;&lt;number&gt;1&lt;/number&gt;&lt;dates&gt;&lt;year&gt;2020&lt;/year&gt;&lt;/dates&gt;&lt;isbn&gt;1465-3125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62</w:t>
            </w:r>
            <w:r w:rsidR="0008652B" w:rsidRPr="005C470C">
              <w:rPr>
                <w:rFonts w:ascii="Times New Roman" w:eastAsia="Times New Roman" w:hAnsi="Times New Roman" w:cs="Times New Roman"/>
                <w:sz w:val="20"/>
                <w:szCs w:val="20"/>
                <w:lang w:eastAsia="pt-BR"/>
              </w:rPr>
              <w:fldChar w:fldCharType="end"/>
            </w:r>
          </w:p>
          <w:p w14:paraId="1A4C3346" w14:textId="7DCF0186"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Portugal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7857BC66" w14:textId="0AE83D4A"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orthodontics</w:t>
            </w:r>
            <w:r>
              <w:rPr>
                <w:rFonts w:ascii="Times New Roman" w:eastAsia="Times New Roman" w:hAnsi="Times New Roman" w:cs="Times New Roman"/>
                <w:sz w:val="20"/>
                <w:szCs w:val="20"/>
                <w:lang w:eastAsia="pt-BR"/>
              </w:rPr>
              <w:t xml:space="preserve"> (</w:t>
            </w:r>
            <w:r w:rsidR="00EF5009">
              <w:rPr>
                <w:rFonts w:ascii="Times New Roman" w:eastAsia="Times New Roman" w:hAnsi="Times New Roman" w:cs="Times New Roman"/>
                <w:sz w:val="20"/>
                <w:szCs w:val="20"/>
                <w:lang w:eastAsia="pt-BR"/>
              </w:rPr>
              <w:t>NR</w:t>
            </w:r>
            <w:r>
              <w:rPr>
                <w:rFonts w:ascii="Times New Roman" w:eastAsia="Times New Roman" w:hAnsi="Times New Roman" w:cs="Times New Roman"/>
                <w:sz w:val="20"/>
                <w:szCs w:val="20"/>
                <w:lang w:eastAsia="pt-BR"/>
              </w:rPr>
              <w:t>)</w:t>
            </w:r>
          </w:p>
        </w:tc>
        <w:tc>
          <w:tcPr>
            <w:tcW w:w="1418" w:type="dxa"/>
            <w:shd w:val="clear" w:color="auto" w:fill="auto"/>
            <w:vAlign w:val="center"/>
            <w:hideMark/>
          </w:tcPr>
          <w:p w14:paraId="58E38931"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2C130B9F" w14:textId="657E16B6"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w:t>
            </w:r>
            <w:r w:rsidR="006226A8" w:rsidRPr="005C470C">
              <w:rPr>
                <w:rFonts w:ascii="Times New Roman" w:eastAsia="Times New Roman" w:hAnsi="Times New Roman" w:cs="Times New Roman"/>
                <w:sz w:val="20"/>
                <w:szCs w:val="20"/>
                <w:lang w:val="en-US" w:eastAsia="pt-BR"/>
              </w:rPr>
              <w:t xml:space="preserve">seek and summarise the Bolton overall index (OI) and anterior index (AI) regarding normal occlusion and Angle’s malocclusion according to gender, and to assess if </w:t>
            </w:r>
            <w:r w:rsidR="006226A8" w:rsidRPr="005C470C">
              <w:rPr>
                <w:rFonts w:ascii="Times New Roman" w:eastAsia="Times New Roman" w:hAnsi="Times New Roman" w:cs="Times New Roman"/>
                <w:sz w:val="20"/>
                <w:szCs w:val="20"/>
                <w:lang w:val="en-US" w:eastAsia="pt-BR"/>
              </w:rPr>
              <w:lastRenderedPageBreak/>
              <w:t>these indices support Bolton’s standards as general references</w:t>
            </w:r>
          </w:p>
        </w:tc>
        <w:tc>
          <w:tcPr>
            <w:tcW w:w="1134" w:type="dxa"/>
            <w:shd w:val="clear" w:color="auto" w:fill="auto"/>
            <w:vAlign w:val="center"/>
            <w:hideMark/>
          </w:tcPr>
          <w:p w14:paraId="71B19F09"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Patients with normal occlusion and Angle’s malocclusion </w:t>
            </w:r>
          </w:p>
        </w:tc>
        <w:tc>
          <w:tcPr>
            <w:tcW w:w="1276" w:type="dxa"/>
            <w:shd w:val="clear" w:color="auto" w:fill="auto"/>
            <w:vAlign w:val="center"/>
            <w:hideMark/>
          </w:tcPr>
          <w:p w14:paraId="462F1906" w14:textId="22DD5527"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Overall </w:t>
            </w:r>
            <w:r w:rsidR="006226A8" w:rsidRPr="005C470C">
              <w:rPr>
                <w:rFonts w:ascii="Times New Roman" w:eastAsia="Times New Roman" w:hAnsi="Times New Roman" w:cs="Times New Roman"/>
                <w:color w:val="000000"/>
                <w:sz w:val="20"/>
                <w:szCs w:val="20"/>
                <w:lang w:val="en-US" w:eastAsia="pt-BR"/>
              </w:rPr>
              <w:t>index (OI) and Anterior index (AI) mean values</w:t>
            </w:r>
          </w:p>
        </w:tc>
        <w:tc>
          <w:tcPr>
            <w:tcW w:w="1418" w:type="dxa"/>
            <w:shd w:val="clear" w:color="auto" w:fill="auto"/>
            <w:vAlign w:val="center"/>
            <w:hideMark/>
          </w:tcPr>
          <w:p w14:paraId="17DFE5A8" w14:textId="6828D847"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Values </w:t>
            </w:r>
            <w:r w:rsidR="006226A8" w:rsidRPr="005C470C">
              <w:rPr>
                <w:rFonts w:ascii="Times New Roman" w:eastAsia="Times New Roman" w:hAnsi="Times New Roman" w:cs="Times New Roman"/>
                <w:color w:val="000000"/>
                <w:sz w:val="20"/>
                <w:szCs w:val="20"/>
                <w:lang w:eastAsia="pt-BR"/>
              </w:rPr>
              <w:t>proposed by Bolton</w:t>
            </w:r>
          </w:p>
        </w:tc>
        <w:tc>
          <w:tcPr>
            <w:tcW w:w="1275" w:type="dxa"/>
            <w:shd w:val="clear" w:color="auto" w:fill="auto"/>
            <w:vAlign w:val="center"/>
            <w:hideMark/>
          </w:tcPr>
          <w:p w14:paraId="037A15C8" w14:textId="0AA1ED0A"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Appropriate </w:t>
            </w:r>
            <w:r w:rsidR="006226A8" w:rsidRPr="005C470C">
              <w:rPr>
                <w:rFonts w:ascii="Times New Roman" w:eastAsia="Times New Roman" w:hAnsi="Times New Roman" w:cs="Times New Roman"/>
                <w:color w:val="000000"/>
                <w:sz w:val="20"/>
                <w:szCs w:val="20"/>
                <w:lang w:eastAsia="pt-BR"/>
              </w:rPr>
              <w:t>current standards (validity)</w:t>
            </w:r>
          </w:p>
        </w:tc>
        <w:tc>
          <w:tcPr>
            <w:tcW w:w="1134" w:type="dxa"/>
            <w:shd w:val="clear" w:color="auto" w:fill="auto"/>
            <w:vAlign w:val="center"/>
            <w:hideMark/>
          </w:tcPr>
          <w:p w14:paraId="7DA25286"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Observational studies (n=53)</w:t>
            </w:r>
          </w:p>
        </w:tc>
        <w:tc>
          <w:tcPr>
            <w:tcW w:w="567" w:type="dxa"/>
            <w:shd w:val="clear" w:color="auto" w:fill="auto"/>
            <w:vAlign w:val="center"/>
            <w:hideMark/>
          </w:tcPr>
          <w:p w14:paraId="5744D9B6"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760FEDA" w14:textId="1F59637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results show that overall pooled OI and AI mean values for normal occlusion patients are slightly above Bolton’s original values. Class I, for OI mean values, and Class III, for both OI and AI, are proportionally larger than normal occlusion patients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F1D9B9B" w14:textId="434A7B8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181FB9" w:rsidRPr="005C470C">
              <w:rPr>
                <w:rFonts w:ascii="Times New Roman" w:eastAsia="Times New Roman" w:hAnsi="Times New Roman" w:cs="Times New Roman"/>
                <w:color w:val="000000"/>
                <w:sz w:val="20"/>
                <w:szCs w:val="20"/>
                <w:lang w:val="en-US" w:eastAsia="pt-BR"/>
              </w:rPr>
              <w:t xml:space="preserve"> - there is a clear need for further studies with more stringent methodologies</w:t>
            </w:r>
            <w:r w:rsidR="00B0457E">
              <w:rPr>
                <w:rFonts w:ascii="Times New Roman" w:eastAsia="Times New Roman" w:hAnsi="Times New Roman" w:cs="Times New Roman"/>
                <w:color w:val="000000"/>
                <w:sz w:val="20"/>
                <w:szCs w:val="20"/>
                <w:lang w:val="en-US" w:eastAsia="pt-BR"/>
              </w:rPr>
              <w:t>.</w:t>
            </w:r>
          </w:p>
        </w:tc>
      </w:tr>
      <w:tr w:rsidR="002914BB" w:rsidRPr="005C470C" w14:paraId="034F89C2" w14:textId="77777777" w:rsidTr="00114AF5">
        <w:trPr>
          <w:trHeight w:val="20"/>
        </w:trPr>
        <w:tc>
          <w:tcPr>
            <w:tcW w:w="1135" w:type="dxa"/>
            <w:shd w:val="clear" w:color="auto" w:fill="auto"/>
            <w:vAlign w:val="center"/>
            <w:hideMark/>
          </w:tcPr>
          <w:p w14:paraId="48F38EF4"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Manchanda, Sardana and Yiu,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&lt;EndNote&gt;&lt;Cite&gt;&lt;Author&gt;Manchanda&lt;/Author&gt;&lt;Year&gt;2020&lt;/Year&gt;&lt;RecNum&gt;20945&lt;/RecNum&gt;&lt;DisplayText&gt;&lt;style face="superscript"&gt;63&lt;/style&gt;&lt;/DisplayText&gt;&lt;record&gt;&lt;rec-number&gt;20945&lt;/rec-number&gt;&lt;foreign-keys&gt;&lt;key app="EN" db-id="f5fv5a2shx52dqesxzmpffeqzt5ffxae2vev" timestamp="1607902573"&gt;20945&lt;/key&gt;&lt;/foreign-keys&gt;&lt;ref-type name="Journal Article"&gt;17&lt;/ref-type&gt;&lt;contributors&gt;&lt;authors&gt;&lt;author&gt;Manchanda, S&lt;/author&gt;&lt;author&gt;Sardana, D&lt;/author&gt;&lt;author&gt;Yiu, CKY&lt;/author&gt;&lt;/authors&gt;&lt;/contributors&gt;&lt;titles&gt;&lt;title&gt;A systematic review and meta‐analysis of randomized clinical trials comparing rotary canal instrumentation techniques with manual instrumentation techniques in primary teeth&lt;/title&gt;&lt;secondary-title&gt;International endodontic journal&lt;/secondary-title&gt;&lt;/titles&gt;&lt;periodical&gt;&lt;full-title&gt;Int Endod J&lt;/full-title&gt;&lt;abbr-1&gt;International endodontic journal&lt;/abbr-1&gt;&lt;/periodical&gt;&lt;pages&gt;333-353&lt;/pages&gt;&lt;volume&gt;53&lt;/volume&gt;&lt;number&gt;3&lt;/number&gt;&lt;dates&gt;&lt;year&gt;2020&lt;/year&gt;&lt;/dates&gt;&lt;isbn&gt;0143-2885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63</w:t>
            </w:r>
            <w:r w:rsidR="0008652B" w:rsidRPr="005C470C">
              <w:rPr>
                <w:rFonts w:ascii="Times New Roman" w:eastAsia="Times New Roman" w:hAnsi="Times New Roman" w:cs="Times New Roman"/>
                <w:sz w:val="20"/>
                <w:szCs w:val="20"/>
                <w:lang w:eastAsia="pt-BR"/>
              </w:rPr>
              <w:fldChar w:fldCharType="end"/>
            </w:r>
          </w:p>
          <w:p w14:paraId="4FB9C726" w14:textId="58E4C489"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Hong Kong</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2C7F34CC" w14:textId="77777777" w:rsidR="006226A8"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International endodontic journal</w:t>
            </w:r>
          </w:p>
          <w:p w14:paraId="2519EA6D" w14:textId="40A28EDB" w:rsidR="00C53143" w:rsidRPr="005C470C"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(3.801)</w:t>
            </w:r>
          </w:p>
        </w:tc>
        <w:tc>
          <w:tcPr>
            <w:tcW w:w="1418" w:type="dxa"/>
            <w:shd w:val="clear" w:color="auto" w:fill="auto"/>
            <w:vAlign w:val="center"/>
            <w:hideMark/>
          </w:tcPr>
          <w:p w14:paraId="6E432778"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Endodontics/Pediatric Dentistry</w:t>
            </w:r>
          </w:p>
        </w:tc>
        <w:tc>
          <w:tcPr>
            <w:tcW w:w="1275" w:type="dxa"/>
            <w:shd w:val="clear" w:color="auto" w:fill="auto"/>
            <w:vAlign w:val="center"/>
            <w:hideMark/>
          </w:tcPr>
          <w:p w14:paraId="214E1890" w14:textId="60106B08"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appraise the current literature on the effectiveness of rotary canal preparation techniques compared to manual techniques during root canal treatment in primary teeth</w:t>
            </w:r>
          </w:p>
        </w:tc>
        <w:tc>
          <w:tcPr>
            <w:tcW w:w="1134" w:type="dxa"/>
            <w:shd w:val="clear" w:color="auto" w:fill="auto"/>
            <w:vAlign w:val="center"/>
            <w:hideMark/>
          </w:tcPr>
          <w:p w14:paraId="4C110A6D" w14:textId="2B02BD0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Children with primary teeth (less than</w:t>
            </w:r>
            <w:r w:rsidRPr="005C470C">
              <w:rPr>
                <w:rFonts w:ascii="Times New Roman" w:eastAsia="Times New Roman" w:hAnsi="Times New Roman" w:cs="Times New Roman"/>
                <w:color w:val="000000"/>
                <w:sz w:val="20"/>
                <w:szCs w:val="20"/>
                <w:lang w:val="en-US" w:eastAsia="pt-BR"/>
              </w:rPr>
              <w:br/>
              <w:t>10</w:t>
            </w:r>
            <w:r w:rsidR="009734AA"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of age)</w:t>
            </w:r>
          </w:p>
        </w:tc>
        <w:tc>
          <w:tcPr>
            <w:tcW w:w="1276" w:type="dxa"/>
            <w:shd w:val="clear" w:color="auto" w:fill="auto"/>
            <w:vAlign w:val="center"/>
            <w:hideMark/>
          </w:tcPr>
          <w:p w14:paraId="44C9E7B1" w14:textId="35DFA6D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Any type of rotary root canal instrumentation</w:t>
            </w:r>
          </w:p>
        </w:tc>
        <w:tc>
          <w:tcPr>
            <w:tcW w:w="1418" w:type="dxa"/>
            <w:shd w:val="clear" w:color="auto" w:fill="auto"/>
            <w:vAlign w:val="center"/>
            <w:hideMark/>
          </w:tcPr>
          <w:p w14:paraId="10CA40F4" w14:textId="7AA089E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Manual instrumentation (H-files/ K-files/any other)</w:t>
            </w:r>
          </w:p>
        </w:tc>
        <w:tc>
          <w:tcPr>
            <w:tcW w:w="1275" w:type="dxa"/>
            <w:shd w:val="clear" w:color="auto" w:fill="auto"/>
            <w:vAlign w:val="center"/>
            <w:hideMark/>
          </w:tcPr>
          <w:p w14:paraId="3A2A8757" w14:textId="1519440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Success rates,</w:t>
            </w:r>
            <w:r w:rsidR="009734AA"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quality of the root canal filling, postoperative pain, instrumentation time, root filling time, cleaning effectiveness</w:t>
            </w:r>
            <w:r w:rsidR="00E26A51"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behaviour assessment</w:t>
            </w:r>
            <w:r w:rsidR="009734AA"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 xml:space="preserve">complications </w:t>
            </w:r>
          </w:p>
        </w:tc>
        <w:tc>
          <w:tcPr>
            <w:tcW w:w="1134" w:type="dxa"/>
            <w:shd w:val="clear" w:color="auto" w:fill="auto"/>
            <w:vAlign w:val="center"/>
            <w:hideMark/>
          </w:tcPr>
          <w:p w14:paraId="0C96DF0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(n=13)</w:t>
            </w:r>
          </w:p>
        </w:tc>
        <w:tc>
          <w:tcPr>
            <w:tcW w:w="567" w:type="dxa"/>
            <w:shd w:val="clear" w:color="auto" w:fill="auto"/>
            <w:vAlign w:val="center"/>
            <w:hideMark/>
          </w:tcPr>
          <w:p w14:paraId="12F637BB"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AC4B8E9" w14:textId="1B7241C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Rotary canal instrumentation had a similar clinical and radiographic success rate, less postoperative pain (at 6 and 48 h), and took less instrumentation time compared to manual instrumentation techniques (moderate level of evidence)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7F66A0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114AF5" w14:paraId="345CB5C2" w14:textId="77777777" w:rsidTr="00114AF5">
        <w:trPr>
          <w:trHeight w:val="20"/>
        </w:trPr>
        <w:tc>
          <w:tcPr>
            <w:tcW w:w="1135" w:type="dxa"/>
            <w:shd w:val="clear" w:color="auto" w:fill="auto"/>
            <w:vAlign w:val="center"/>
            <w:hideMark/>
          </w:tcPr>
          <w:p w14:paraId="5B300D99"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Martins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&lt;EndNote&gt;&lt;Cite&gt;&lt;Author&gt;Martins&lt;/Author&gt;&lt;Year&gt;2020&lt;/Year&gt;&lt;RecNum&gt;20944&lt;/RecNum&gt;&lt;DisplayText&gt;&lt;style face="superscript"&gt;64&lt;/style&gt;&lt;/DisplayText&gt;&lt;record&gt;&lt;rec-number&gt;20944&lt;/rec-number&gt;&lt;foreign-keys&gt;&lt;key app="EN" db-id="f5fv5a2shx52dqesxzmpffeqzt5ffxae2vev" timestamp="1607902573"&gt;20944&lt;/key&gt;&lt;/foreign-keys&gt;&lt;ref-type name="Journal Article"&gt;17&lt;/ref-type&gt;&lt;contributors&gt;&lt;authors&gt;&lt;author&gt;Martins, Mariana Leonel&lt;/author&gt;&lt;author&gt;Ribeiro-Lages, Mariana Batista&lt;/author&gt;&lt;author&gt;Masterson, Daniele&lt;/author&gt;&lt;author&gt;Magno, Marcela Baraúno&lt;/author&gt;&lt;author&gt;Cavalcanti, Yuri Wanderley&lt;/author&gt;&lt;author&gt;Maia, Lucianne Cople&lt;/author&gt;&lt;author&gt;Fonseca-Gonçalves, Andréa&lt;/author&gt;&lt;/authors&gt;&lt;/contributors&gt;&lt;titles&gt;&lt;title&gt;Efficacy of natural antimicrobials derived from phenolic compounds in the control of biofilm in children and adolescents compared to synthetic antimicrobials: A systematic review and meta-analysis&lt;/title&gt;&lt;secondary-title&gt;Archives of Oral Biology&lt;/secondary-title&gt;&lt;/titles&gt;&lt;periodical&gt;&lt;full-title&gt;Arch Oral Biol&lt;/full-title&gt;&lt;abbr-1&gt;Archives of oral biology&lt;/abbr-1&gt;&lt;/periodical&gt;&lt;pages&gt;104844&lt;/pages&gt;&lt;dates&gt;&lt;year&gt;2020&lt;/year&gt;&lt;/dates&gt;&lt;isbn&gt;0003-9969&lt;/isbn&gt;&lt;urls&gt;&lt;/urls&gt;&lt;/record&gt;&lt;/Cite&gt;&lt;/EndNote&gt;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64</w:t>
            </w:r>
            <w:r w:rsidR="0008652B" w:rsidRPr="005C470C">
              <w:rPr>
                <w:rFonts w:ascii="Times New Roman" w:eastAsia="Times New Roman" w:hAnsi="Times New Roman" w:cs="Times New Roman"/>
                <w:sz w:val="20"/>
                <w:szCs w:val="20"/>
                <w:lang w:eastAsia="pt-BR"/>
              </w:rPr>
              <w:fldChar w:fldCharType="end"/>
            </w:r>
          </w:p>
          <w:p w14:paraId="1140DB26" w14:textId="526709E0"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FC22D22"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Archives of oral biology</w:t>
            </w:r>
          </w:p>
          <w:p w14:paraId="0023FB7A" w14:textId="49F8280F"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(1.931)</w:t>
            </w:r>
          </w:p>
        </w:tc>
        <w:tc>
          <w:tcPr>
            <w:tcW w:w="1418" w:type="dxa"/>
            <w:shd w:val="clear" w:color="auto" w:fill="auto"/>
            <w:vAlign w:val="center"/>
            <w:hideMark/>
          </w:tcPr>
          <w:p w14:paraId="7F733369"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018836EA" w14:textId="6D496083"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efficacy of natural antimicrobials derived from NAPs, compared to SAs, in the biofilm control and microorganisms count among</w:t>
            </w:r>
            <w:r w:rsidR="00F919C8"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lastRenderedPageBreak/>
              <w:t>children</w:t>
            </w:r>
            <w:r w:rsidR="00F919C8" w:rsidRPr="005C470C">
              <w:rPr>
                <w:rFonts w:ascii="Times New Roman" w:eastAsia="Times New Roman" w:hAnsi="Times New Roman" w:cs="Times New Roman"/>
                <w:sz w:val="20"/>
                <w:szCs w:val="20"/>
                <w:lang w:val="en-US" w:eastAsia="pt-BR"/>
              </w:rPr>
              <w:t>/</w:t>
            </w:r>
            <w:r w:rsidRPr="005C470C">
              <w:rPr>
                <w:rFonts w:ascii="Times New Roman" w:eastAsia="Times New Roman" w:hAnsi="Times New Roman" w:cs="Times New Roman"/>
                <w:sz w:val="20"/>
                <w:szCs w:val="20"/>
                <w:lang w:val="en-US" w:eastAsia="pt-BR"/>
              </w:rPr>
              <w:t>adolescents</w:t>
            </w:r>
          </w:p>
        </w:tc>
        <w:tc>
          <w:tcPr>
            <w:tcW w:w="1134" w:type="dxa"/>
            <w:shd w:val="clear" w:color="auto" w:fill="auto"/>
            <w:vAlign w:val="center"/>
            <w:hideMark/>
          </w:tcPr>
          <w:p w14:paraId="61AF62EE"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 xml:space="preserve">Children and/or adolescents </w:t>
            </w:r>
          </w:p>
        </w:tc>
        <w:tc>
          <w:tcPr>
            <w:tcW w:w="1276" w:type="dxa"/>
            <w:shd w:val="clear" w:color="auto" w:fill="auto"/>
            <w:vAlign w:val="center"/>
            <w:hideMark/>
          </w:tcPr>
          <w:p w14:paraId="20733FF2"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 Phenolic compounds (NAPs)</w:t>
            </w:r>
          </w:p>
        </w:tc>
        <w:tc>
          <w:tcPr>
            <w:tcW w:w="1418" w:type="dxa"/>
            <w:shd w:val="clear" w:color="auto" w:fill="auto"/>
            <w:vAlign w:val="center"/>
            <w:hideMark/>
          </w:tcPr>
          <w:p w14:paraId="0068F30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Synthetic antimicrobials (SAs)</w:t>
            </w:r>
          </w:p>
        </w:tc>
        <w:tc>
          <w:tcPr>
            <w:tcW w:w="1275" w:type="dxa"/>
            <w:shd w:val="clear" w:color="auto" w:fill="auto"/>
            <w:vAlign w:val="center"/>
            <w:hideMark/>
          </w:tcPr>
          <w:p w14:paraId="5540B57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Control of dental biofilm</w:t>
            </w:r>
          </w:p>
        </w:tc>
        <w:tc>
          <w:tcPr>
            <w:tcW w:w="1134" w:type="dxa"/>
            <w:shd w:val="clear" w:color="auto" w:fill="auto"/>
            <w:vAlign w:val="center"/>
            <w:hideMark/>
          </w:tcPr>
          <w:p w14:paraId="2E7DEF6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(n=14) and non-randomized studies (n=2)</w:t>
            </w:r>
          </w:p>
        </w:tc>
        <w:tc>
          <w:tcPr>
            <w:tcW w:w="567" w:type="dxa"/>
            <w:shd w:val="clear" w:color="auto" w:fill="auto"/>
            <w:vAlign w:val="center"/>
            <w:hideMark/>
          </w:tcPr>
          <w:p w14:paraId="3056C0A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B2985E9" w14:textId="1D7A1BA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use of natural products derived from NAPs is less effective than CHX for biofilm control but is similar to CHX in the reduction of the oral </w:t>
            </w:r>
            <w:r w:rsidR="00F919C8" w:rsidRPr="005C470C">
              <w:rPr>
                <w:rFonts w:ascii="Times New Roman" w:eastAsia="Times New Roman" w:hAnsi="Times New Roman" w:cs="Times New Roman"/>
                <w:sz w:val="20"/>
                <w:szCs w:val="20"/>
                <w:lang w:val="en-US" w:eastAsia="pt-BR"/>
              </w:rPr>
              <w:t>microorganisms</w:t>
            </w:r>
            <w:r w:rsidRPr="005C470C">
              <w:rPr>
                <w:rFonts w:ascii="Times New Roman" w:eastAsia="Times New Roman" w:hAnsi="Times New Roman" w:cs="Times New Roman"/>
                <w:color w:val="000000"/>
                <w:sz w:val="20"/>
                <w:szCs w:val="20"/>
                <w:lang w:val="en-US" w:eastAsia="pt-BR"/>
              </w:rPr>
              <w:t xml:space="preserve"> count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302FACF" w14:textId="0951AD8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E26A51" w:rsidRPr="005C470C">
              <w:rPr>
                <w:rFonts w:ascii="Times New Roman" w:eastAsia="Times New Roman" w:hAnsi="Times New Roman" w:cs="Times New Roman"/>
                <w:color w:val="000000"/>
                <w:sz w:val="20"/>
                <w:szCs w:val="20"/>
                <w:lang w:val="en-US" w:eastAsia="pt-BR"/>
              </w:rPr>
              <w:t xml:space="preserve"> - further studies are necessary to confirm these results and to improve the quality of the evidence</w:t>
            </w:r>
            <w:r w:rsidR="00B0457E">
              <w:rPr>
                <w:rFonts w:ascii="Times New Roman" w:eastAsia="Times New Roman" w:hAnsi="Times New Roman" w:cs="Times New Roman"/>
                <w:color w:val="000000"/>
                <w:sz w:val="20"/>
                <w:szCs w:val="20"/>
                <w:lang w:val="en-US" w:eastAsia="pt-BR"/>
              </w:rPr>
              <w:t>.</w:t>
            </w:r>
          </w:p>
        </w:tc>
      </w:tr>
      <w:tr w:rsidR="002914BB" w:rsidRPr="00114AF5" w14:paraId="48B37C87" w14:textId="77777777" w:rsidTr="00114AF5">
        <w:trPr>
          <w:trHeight w:val="20"/>
        </w:trPr>
        <w:tc>
          <w:tcPr>
            <w:tcW w:w="1135" w:type="dxa"/>
            <w:shd w:val="clear" w:color="auto" w:fill="auto"/>
            <w:vAlign w:val="center"/>
            <w:hideMark/>
          </w:tcPr>
          <w:p w14:paraId="5B9B316D"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Marui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&lt;EndNote&gt;&lt;Cite&gt;&lt;Author&gt;Marui&lt;/Author&gt;&lt;Year&gt;2019&lt;/Year&gt;&lt;RecNum&gt;20951&lt;/RecNum&gt;&lt;DisplayText&gt;&lt;style face="superscript"&gt;65&lt;/style&gt;&lt;/DisplayText&gt;&lt;record&gt;&lt;rec-number&gt;20951&lt;/rec-number&gt;&lt;foreign-keys&gt;&lt;key app="EN" db-id="f5fv5a2shx52dqesxzmpffeqzt5ffxae2vev" timestamp="1607902573"&gt;20951&lt;/key&gt;&lt;/foreign-keys&gt;&lt;ref-type name="Journal Article"&gt;17&lt;/ref-type&gt;&lt;contributors&gt;&lt;authors&gt;&lt;author&gt;Marui, Vanessa Costa&lt;/author&gt;&lt;author&gt;Souto, Maria Luisa Silveira&lt;/author&gt;&lt;author&gt;Rovai, Emanuel Silva&lt;/author&gt;&lt;author&gt;Romito, Giuseppe Alexandre&lt;/author&gt;&lt;author&gt;Chambrone, Leandro&lt;/author&gt;&lt;author&gt;Pannuti, Claudio Mendes&lt;/author&gt;&lt;/authors&gt;&lt;/contributors&gt;&lt;titles&gt;&lt;title&gt;Efficacy of preprocedural mouthrinses in the reduction of microorganisms in aerosol: a systematic review&lt;/title&gt;&lt;secondary-title&gt;The Journal of the American Dental Association&lt;/secondary-title&gt;&lt;/titles&gt;&lt;periodical&gt;&lt;full-title&gt;The Journal of the American Dental Association&lt;/full-title&gt;&lt;/periodical&gt;&lt;pages&gt;1015-1026. e1&lt;/pages&gt;&lt;volume&gt;150&lt;/volume&gt;&lt;number&gt;12&lt;/number&gt;&lt;dates&gt;&lt;year&gt;2019&lt;/year&gt;&lt;/dates&gt;&lt;isbn&gt;0002-8177&lt;/isbn&gt;&lt;urls&gt;&lt;/urls&gt;&lt;/record&gt;&lt;/Cite&gt;&lt;/EndNote&gt;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65</w:t>
            </w:r>
            <w:r w:rsidR="0008652B" w:rsidRPr="005C470C">
              <w:rPr>
                <w:rFonts w:ascii="Times New Roman" w:eastAsia="Times New Roman" w:hAnsi="Times New Roman" w:cs="Times New Roman"/>
                <w:sz w:val="20"/>
                <w:szCs w:val="20"/>
                <w:lang w:eastAsia="pt-BR"/>
              </w:rPr>
              <w:fldChar w:fldCharType="end"/>
            </w:r>
          </w:p>
          <w:p w14:paraId="63B5B628" w14:textId="13D8D758"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56BD5A8E" w14:textId="77777777" w:rsidR="006226A8"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The Journal of the American Dental Association</w:t>
            </w:r>
          </w:p>
          <w:p w14:paraId="4D19FED6" w14:textId="53A60DEF" w:rsidR="00C53143"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(2.803)</w:t>
            </w:r>
          </w:p>
        </w:tc>
        <w:tc>
          <w:tcPr>
            <w:tcW w:w="1418" w:type="dxa"/>
            <w:shd w:val="clear" w:color="auto" w:fill="auto"/>
            <w:vAlign w:val="center"/>
            <w:hideMark/>
          </w:tcPr>
          <w:p w14:paraId="79523D91"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Pathology</w:t>
            </w:r>
          </w:p>
        </w:tc>
        <w:tc>
          <w:tcPr>
            <w:tcW w:w="1275" w:type="dxa"/>
            <w:shd w:val="clear" w:color="auto" w:fill="auto"/>
            <w:vAlign w:val="center"/>
            <w:hideMark/>
          </w:tcPr>
          <w:p w14:paraId="6310DE1B" w14:textId="699FCFE3"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efficacy of preprocedural mouthrinses in reducing the number of microorganisms disseminated</w:t>
            </w:r>
            <w:r w:rsidR="00F919C8"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aerosol generated via dental procedures</w:t>
            </w:r>
            <w:r w:rsidR="00F919C8" w:rsidRPr="005C470C">
              <w:rPr>
                <w:rFonts w:ascii="Times New Roman" w:eastAsia="Times New Roman" w:hAnsi="Times New Roman" w:cs="Times New Roman"/>
                <w:sz w:val="20"/>
                <w:szCs w:val="20"/>
                <w:lang w:val="en-US" w:eastAsia="pt-BR"/>
              </w:rPr>
              <w:t>)</w:t>
            </w:r>
            <w:r w:rsidRPr="005C470C">
              <w:rPr>
                <w:rFonts w:ascii="Times New Roman" w:eastAsia="Times New Roman" w:hAnsi="Times New Roman" w:cs="Times New Roman"/>
                <w:sz w:val="20"/>
                <w:szCs w:val="20"/>
                <w:lang w:val="en-US" w:eastAsia="pt-BR"/>
              </w:rPr>
              <w:t xml:space="preserve"> </w:t>
            </w:r>
          </w:p>
        </w:tc>
        <w:tc>
          <w:tcPr>
            <w:tcW w:w="1134" w:type="dxa"/>
            <w:shd w:val="clear" w:color="auto" w:fill="auto"/>
            <w:vAlign w:val="center"/>
            <w:hideMark/>
          </w:tcPr>
          <w:p w14:paraId="1925AA85" w14:textId="5EAB0BE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who underwent a dental procedure that generated aerosol</w:t>
            </w:r>
          </w:p>
        </w:tc>
        <w:tc>
          <w:tcPr>
            <w:tcW w:w="1276" w:type="dxa"/>
            <w:shd w:val="clear" w:color="auto" w:fill="auto"/>
            <w:vAlign w:val="center"/>
            <w:hideMark/>
          </w:tcPr>
          <w:p w14:paraId="550B7BB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use of a mouthrinse before dental procedure</w:t>
            </w:r>
          </w:p>
        </w:tc>
        <w:tc>
          <w:tcPr>
            <w:tcW w:w="1418" w:type="dxa"/>
            <w:shd w:val="clear" w:color="auto" w:fill="auto"/>
            <w:vAlign w:val="center"/>
            <w:hideMark/>
          </w:tcPr>
          <w:p w14:paraId="34952B2A" w14:textId="5F27A3F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use of a placebo, water, or no mouthrinse</w:t>
            </w:r>
          </w:p>
        </w:tc>
        <w:tc>
          <w:tcPr>
            <w:tcW w:w="1275" w:type="dxa"/>
            <w:shd w:val="clear" w:color="auto" w:fill="auto"/>
            <w:vAlign w:val="center"/>
            <w:hideMark/>
          </w:tcPr>
          <w:p w14:paraId="59A5B961" w14:textId="306D398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Reduction in the number of viable bacteria present in oral aerosol</w:t>
            </w:r>
          </w:p>
        </w:tc>
        <w:tc>
          <w:tcPr>
            <w:tcW w:w="1134" w:type="dxa"/>
            <w:shd w:val="clear" w:color="auto" w:fill="auto"/>
            <w:vAlign w:val="center"/>
            <w:hideMark/>
          </w:tcPr>
          <w:p w14:paraId="45C5B73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RCTs (n=13) </w:t>
            </w:r>
          </w:p>
        </w:tc>
        <w:tc>
          <w:tcPr>
            <w:tcW w:w="567" w:type="dxa"/>
            <w:shd w:val="clear" w:color="auto" w:fill="auto"/>
            <w:vAlign w:val="center"/>
            <w:hideMark/>
          </w:tcPr>
          <w:p w14:paraId="4D13D323"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C97CB19" w14:textId="6ACA841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Some dental procedures result in dissemination of microorganisms in the aerosol in the dental office. There is moderate evidence that preprocedural mouthrinses significantly reduce the number of microorganisms in the dental aerosol</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6572858" w14:textId="7082F3A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 - Preprocedural mouthrinses significantly reduce the number of microorganisms in the dental aerosol</w:t>
            </w:r>
            <w:r w:rsidR="00B0457E">
              <w:rPr>
                <w:rFonts w:ascii="Times New Roman" w:eastAsia="Times New Roman" w:hAnsi="Times New Roman" w:cs="Times New Roman"/>
                <w:color w:val="000000"/>
                <w:sz w:val="20"/>
                <w:szCs w:val="20"/>
                <w:lang w:val="en-US" w:eastAsia="pt-BR"/>
              </w:rPr>
              <w:t>.</w:t>
            </w:r>
          </w:p>
        </w:tc>
      </w:tr>
      <w:tr w:rsidR="002914BB" w:rsidRPr="005C470C" w14:paraId="2AB9C09F" w14:textId="77777777" w:rsidTr="00114AF5">
        <w:trPr>
          <w:trHeight w:val="20"/>
        </w:trPr>
        <w:tc>
          <w:tcPr>
            <w:tcW w:w="1135" w:type="dxa"/>
            <w:shd w:val="clear" w:color="auto" w:fill="auto"/>
            <w:vAlign w:val="center"/>
            <w:hideMark/>
          </w:tcPr>
          <w:p w14:paraId="2268CEA7"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Mheissen, Khan and Samawi, 2020</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&lt;EndNote&gt;&lt;Cite&gt;&lt;Author&gt;Mheissen&lt;/Author&gt;&lt;Year&gt;2020&lt;/Year&gt;&lt;RecNum&gt;20971&lt;/RecNum&gt;&lt;DisplayText&gt;&lt;style face="superscript"&gt;66&lt;/style&gt;&lt;/DisplayText&gt;&lt;record&gt;&lt;rec-number&gt;20971&lt;/rec-number&gt;&lt;foreign-keys&gt;&lt;key app="EN" db-id="f5fv5a2shx52dqesxzmpffeqzt5ffxae2vev" timestamp="1607902584"&gt;20971&lt;/key&gt;&lt;/foreign-keys&gt;&lt;ref-type name="Journal Article"&gt;17&lt;/ref-type&gt;&lt;contributors&gt;&lt;authors&gt;&lt;author&gt;Mheissen, Samer&lt;/author&gt;&lt;author&gt;Khan, Haris&lt;/author&gt;&lt;author&gt;Samawi, Shadi&lt;/author&gt;&lt;/authors&gt;&lt;/contributors&gt;&lt;titles&gt;&lt;title&gt;Is Piezocision effective in accelerating orthodontic tooth movement: A systematic review and meta-analysis&lt;/title&gt;&lt;secondary-title&gt;PloS one&lt;/secondary-title&gt;&lt;/titles&gt;&lt;periodical&gt;&lt;full-title&gt;PloS one&lt;/full-title&gt;&lt;/periodical&gt;&lt;pages&gt;e0231492&lt;/pages&gt;&lt;volume&gt;15&lt;/volume&gt;&lt;number&gt;4&lt;/number&gt;&lt;dates&gt;&lt;year&gt;2020&lt;/year&gt;&lt;/dates&gt;&lt;isbn&gt;1932-6203&lt;/isbn&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66</w:t>
            </w:r>
            <w:r w:rsidR="0008652B" w:rsidRPr="005C470C">
              <w:rPr>
                <w:rFonts w:ascii="Times New Roman" w:eastAsia="Times New Roman" w:hAnsi="Times New Roman" w:cs="Times New Roman"/>
                <w:sz w:val="20"/>
                <w:szCs w:val="20"/>
                <w:lang w:val="en-US" w:eastAsia="pt-BR"/>
              </w:rPr>
              <w:fldChar w:fldCharType="end"/>
            </w:r>
          </w:p>
          <w:p w14:paraId="28BD289A" w14:textId="7DA32917" w:rsidR="00C53143" w:rsidRPr="005C470C" w:rsidRDefault="00C53143" w:rsidP="006226A8">
            <w:pP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t>
            </w:r>
            <w:r w:rsidRPr="00BC17DB">
              <w:rPr>
                <w:rFonts w:ascii="Times New Roman" w:eastAsia="Times New Roman" w:hAnsi="Times New Roman" w:cs="Times New Roman"/>
                <w:sz w:val="20"/>
                <w:szCs w:val="20"/>
                <w:lang w:val="en-US" w:eastAsia="pt-BR"/>
              </w:rPr>
              <w:t>Syrian Arab Republic)</w:t>
            </w:r>
          </w:p>
        </w:tc>
        <w:tc>
          <w:tcPr>
            <w:tcW w:w="992" w:type="dxa"/>
            <w:shd w:val="clear" w:color="auto" w:fill="auto"/>
            <w:vAlign w:val="center"/>
            <w:hideMark/>
          </w:tcPr>
          <w:p w14:paraId="7BCB6273" w14:textId="44136782" w:rsidR="006226A8"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PloS one (2.740)</w:t>
            </w:r>
          </w:p>
        </w:tc>
        <w:tc>
          <w:tcPr>
            <w:tcW w:w="1418" w:type="dxa"/>
            <w:shd w:val="clear" w:color="auto" w:fill="auto"/>
            <w:vAlign w:val="center"/>
            <w:hideMark/>
          </w:tcPr>
          <w:p w14:paraId="448CD30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6989B4E6" w14:textId="253535D0" w:rsidR="006226A8" w:rsidRPr="005C470C" w:rsidRDefault="006226A8" w:rsidP="002F2932">
            <w:pPr>
              <w:autoSpaceDE w:val="0"/>
              <w:autoSpaceDN w:val="0"/>
              <w:adjustRightInd w:val="0"/>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critically appraise the </w:t>
            </w:r>
            <w:r w:rsidR="002F2932" w:rsidRPr="005C470C">
              <w:rPr>
                <w:rFonts w:ascii="Times New Roman" w:eastAsia="Times New Roman" w:hAnsi="Times New Roman" w:cs="Times New Roman"/>
                <w:sz w:val="20"/>
                <w:szCs w:val="20"/>
                <w:lang w:val="en-US" w:eastAsia="pt-BR"/>
              </w:rPr>
              <w:t>available evidence regarding the overall effectiveness of Piezocision in accelerating orthodontic tooth movement, as well as the adverse effects of this intervention in orthodontic patients</w:t>
            </w:r>
          </w:p>
        </w:tc>
        <w:tc>
          <w:tcPr>
            <w:tcW w:w="1134" w:type="dxa"/>
            <w:shd w:val="clear" w:color="auto" w:fill="auto"/>
            <w:vAlign w:val="center"/>
            <w:hideMark/>
          </w:tcPr>
          <w:p w14:paraId="62EDBC36" w14:textId="2F3E7AE5" w:rsidR="006226A8" w:rsidRPr="005C470C" w:rsidRDefault="006226A8" w:rsidP="002F2932">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Medically fit patients with any type of malocclusion</w:t>
            </w:r>
            <w:r w:rsidR="002F2932"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without craniofacial anomalies</w:t>
            </w:r>
            <w:r w:rsidR="002F2932" w:rsidRPr="005C470C">
              <w:rPr>
                <w:rFonts w:ascii="Times New Roman" w:eastAsia="Times New Roman" w:hAnsi="Times New Roman" w:cs="Times New Roman"/>
                <w:color w:val="000000"/>
                <w:sz w:val="20"/>
                <w:szCs w:val="20"/>
                <w:lang w:val="en-US" w:eastAsia="pt-BR"/>
              </w:rPr>
              <w:t xml:space="preserve"> or </w:t>
            </w:r>
            <w:r w:rsidRPr="005C470C">
              <w:rPr>
                <w:rFonts w:ascii="Times New Roman" w:eastAsia="Times New Roman" w:hAnsi="Times New Roman" w:cs="Times New Roman"/>
                <w:color w:val="000000"/>
                <w:sz w:val="20"/>
                <w:szCs w:val="20"/>
                <w:lang w:val="en-US" w:eastAsia="pt-BR"/>
              </w:rPr>
              <w:t>periodontal disease</w:t>
            </w:r>
            <w:r w:rsidR="002F2932"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permanent dentition</w:t>
            </w:r>
            <w:r w:rsidR="002F2932"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requiring orthodontic treatment by fixed appliances</w:t>
            </w:r>
          </w:p>
        </w:tc>
        <w:tc>
          <w:tcPr>
            <w:tcW w:w="1276" w:type="dxa"/>
            <w:shd w:val="clear" w:color="auto" w:fill="auto"/>
            <w:vAlign w:val="center"/>
            <w:hideMark/>
          </w:tcPr>
          <w:p w14:paraId="555A4998" w14:textId="634B1435" w:rsidR="006226A8" w:rsidRPr="005C470C" w:rsidRDefault="002F2932" w:rsidP="002F2932">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w:t>
            </w:r>
            <w:r w:rsidR="006226A8" w:rsidRPr="005C470C">
              <w:rPr>
                <w:rFonts w:ascii="Times New Roman" w:eastAsia="Times New Roman" w:hAnsi="Times New Roman" w:cs="Times New Roman"/>
                <w:color w:val="000000"/>
                <w:sz w:val="20"/>
                <w:szCs w:val="20"/>
                <w:lang w:val="en-US" w:eastAsia="pt-BR"/>
              </w:rPr>
              <w:t xml:space="preserve">iezoelectric device </w:t>
            </w:r>
            <w:r w:rsidRPr="005C470C">
              <w:rPr>
                <w:rFonts w:ascii="Times New Roman" w:eastAsia="Times New Roman" w:hAnsi="Times New Roman" w:cs="Times New Roman"/>
                <w:color w:val="000000"/>
                <w:sz w:val="20"/>
                <w:szCs w:val="20"/>
                <w:lang w:val="en-US" w:eastAsia="pt-BR"/>
              </w:rPr>
              <w:t>was used to perform corticisions for accelerating orthodontic tooth movement</w:t>
            </w:r>
          </w:p>
        </w:tc>
        <w:tc>
          <w:tcPr>
            <w:tcW w:w="1418" w:type="dxa"/>
            <w:shd w:val="clear" w:color="auto" w:fill="auto"/>
            <w:vAlign w:val="center"/>
            <w:hideMark/>
          </w:tcPr>
          <w:p w14:paraId="03C62E3B" w14:textId="4750F932" w:rsidR="006226A8" w:rsidRPr="005C470C" w:rsidRDefault="006226A8" w:rsidP="002F2932">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Conventional orthodontics without any adjunct procedures for accelerating tooth movement</w:t>
            </w:r>
          </w:p>
        </w:tc>
        <w:tc>
          <w:tcPr>
            <w:tcW w:w="1275" w:type="dxa"/>
            <w:shd w:val="clear" w:color="auto" w:fill="auto"/>
            <w:vAlign w:val="center"/>
            <w:hideMark/>
          </w:tcPr>
          <w:p w14:paraId="64E83106" w14:textId="18D9D3D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Canine retraction velocity and the duration of the orthodontic treatment in relation to tooth alignment in crowded cases, en</w:t>
            </w:r>
            <w:r w:rsidR="002F2932"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masse retraction, maxillary incisors’ retraction</w:t>
            </w:r>
            <w:r w:rsidR="002F2932" w:rsidRPr="005C470C">
              <w:rPr>
                <w:rFonts w:ascii="Times New Roman" w:eastAsia="Times New Roman" w:hAnsi="Times New Roman" w:cs="Times New Roman"/>
                <w:color w:val="000000"/>
                <w:sz w:val="20"/>
                <w:szCs w:val="20"/>
                <w:lang w:val="en-US" w:eastAsia="pt-BR"/>
              </w:rPr>
              <w:t>,</w:t>
            </w:r>
            <w:r w:rsidR="00E26A51"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 xml:space="preserve">loss of anchorage, </w:t>
            </w:r>
            <w:r w:rsidRPr="005C470C">
              <w:rPr>
                <w:rFonts w:ascii="Times New Roman" w:eastAsia="Times New Roman" w:hAnsi="Times New Roman" w:cs="Times New Roman"/>
                <w:color w:val="000000"/>
                <w:sz w:val="20"/>
                <w:szCs w:val="20"/>
                <w:lang w:val="en-US" w:eastAsia="pt-BR"/>
              </w:rPr>
              <w:lastRenderedPageBreak/>
              <w:t>root resorption, gingival indices, and the patients’ pain experience</w:t>
            </w:r>
          </w:p>
        </w:tc>
        <w:tc>
          <w:tcPr>
            <w:tcW w:w="1134" w:type="dxa"/>
            <w:shd w:val="clear" w:color="auto" w:fill="auto"/>
            <w:vAlign w:val="center"/>
            <w:hideMark/>
          </w:tcPr>
          <w:p w14:paraId="3AAD97B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RCTs (n=12) and CCT (n=2)</w:t>
            </w:r>
          </w:p>
        </w:tc>
        <w:tc>
          <w:tcPr>
            <w:tcW w:w="567" w:type="dxa"/>
            <w:shd w:val="clear" w:color="auto" w:fill="auto"/>
            <w:vAlign w:val="center"/>
            <w:hideMark/>
          </w:tcPr>
          <w:p w14:paraId="30A2D7F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2451D29" w14:textId="763B5820" w:rsidR="006226A8" w:rsidRPr="005C470C" w:rsidRDefault="006226A8" w:rsidP="00434FEC">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low-quality evidence suggests that piezocision is an effective surgical procedure in accelerating orthodontic tooth movement, but we should take into account that this effect is clinically small and transient for the first </w:t>
            </w:r>
            <w:r w:rsidR="00434FEC" w:rsidRPr="005C470C">
              <w:rPr>
                <w:rFonts w:ascii="Times New Roman" w:eastAsia="Times New Roman" w:hAnsi="Times New Roman" w:cs="Times New Roman"/>
                <w:color w:val="000000"/>
                <w:sz w:val="20"/>
                <w:szCs w:val="20"/>
                <w:lang w:val="en-US" w:eastAsia="pt-BR"/>
              </w:rPr>
              <w:t xml:space="preserve">3mo </w:t>
            </w:r>
            <w:r w:rsidRPr="005C470C">
              <w:rPr>
                <w:rFonts w:ascii="Times New Roman" w:eastAsia="Times New Roman" w:hAnsi="Times New Roman" w:cs="Times New Roman"/>
                <w:color w:val="000000"/>
                <w:sz w:val="20"/>
                <w:szCs w:val="20"/>
                <w:lang w:val="en-US" w:eastAsia="pt-BR"/>
              </w:rPr>
              <w:t>according to bone remodeling</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07CB1B1"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114AF5" w14:paraId="1F859DDE" w14:textId="77777777" w:rsidTr="00114AF5">
        <w:trPr>
          <w:trHeight w:val="20"/>
        </w:trPr>
        <w:tc>
          <w:tcPr>
            <w:tcW w:w="1135" w:type="dxa"/>
            <w:shd w:val="clear" w:color="auto" w:fill="auto"/>
            <w:vAlign w:val="center"/>
            <w:hideMark/>
          </w:tcPr>
          <w:p w14:paraId="182599D9"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Moda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&lt;EndNote&gt;&lt;Cite&gt;&lt;Author&gt;Moda&lt;/Author&gt;&lt;Year&gt;2020&lt;/Year&gt;&lt;RecNum&gt;20970&lt;/RecNum&gt;&lt;DisplayText&gt;&lt;style face="superscript"&gt;67&lt;/style&gt;&lt;/DisplayText&gt;&lt;record&gt;&lt;rec-number&gt;20970&lt;/rec-number&gt;&lt;foreign-keys&gt;&lt;key app="EN" db-id="f5fv5a2shx52dqesxzmpffeqzt5ffxae2vev" timestamp="1607902584"&gt;20970&lt;/key&gt;&lt;/foreign-keys&gt;&lt;ref-type name="Journal Article"&gt;17&lt;/ref-type&gt;&lt;contributors&gt;&lt;authors&gt;&lt;author&gt;Moda, Larissa Barbosa&lt;/author&gt;&lt;author&gt;da Silva Barros, Ana Luiza Correa&lt;/author&gt;&lt;author&gt;Fagundes, Nathalia Carolina Fernandes&lt;/author&gt;&lt;author&gt;Normando, David&lt;/author&gt;&lt;author&gt;Maia, Lucianne Cople&lt;/author&gt;&lt;author&gt;dos Anjos Mendes, Sissy Maria&lt;/author&gt;&lt;/authors&gt;&lt;/contributors&gt;&lt;titles&gt;&lt;title&gt;Lower fixed retainers: bonded on all teeth or only on canines? A systematic review&lt;/title&gt;&lt;secondary-title&gt;The Angle Orthodontist&lt;/secondary-title&gt;&lt;/titles&gt;&lt;periodical&gt;&lt;full-title&gt;Angle Orthod&lt;/full-title&gt;&lt;abbr-1&gt;The Angle orthodontist&lt;/abbr-1&gt;&lt;/periodical&gt;&lt;pages&gt;125-143&lt;/pages&gt;&lt;volume&gt;90&lt;/volume&gt;&lt;number&gt;1&lt;/number&gt;&lt;dates&gt;&lt;year&gt;2020&lt;/year&gt;&lt;/dates&gt;&lt;isbn&gt;0003-3219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67</w:t>
            </w:r>
            <w:r w:rsidR="0008652B" w:rsidRPr="005C470C">
              <w:rPr>
                <w:rFonts w:ascii="Times New Roman" w:eastAsia="Times New Roman" w:hAnsi="Times New Roman" w:cs="Times New Roman"/>
                <w:sz w:val="20"/>
                <w:szCs w:val="20"/>
                <w:lang w:eastAsia="pt-BR"/>
              </w:rPr>
              <w:fldChar w:fldCharType="end"/>
            </w:r>
          </w:p>
          <w:p w14:paraId="331F6E20" w14:textId="0DE8CEE5" w:rsidR="00C53143" w:rsidRPr="005C470C" w:rsidRDefault="00C53143" w:rsidP="00C53143">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5A1F7809"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The Angle orthodontist</w:t>
            </w:r>
          </w:p>
          <w:p w14:paraId="57D09DB6" w14:textId="031627E7"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(1.549)</w:t>
            </w:r>
          </w:p>
        </w:tc>
        <w:tc>
          <w:tcPr>
            <w:tcW w:w="1418" w:type="dxa"/>
            <w:shd w:val="clear" w:color="auto" w:fill="auto"/>
            <w:vAlign w:val="center"/>
            <w:hideMark/>
          </w:tcPr>
          <w:p w14:paraId="793F3205"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086EE108" w14:textId="294CE356"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difference in</w:t>
            </w:r>
            <w:r w:rsidR="00F919C8"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 xml:space="preserve">stability between lower fixed retainers bonded on all </w:t>
            </w:r>
            <w:r w:rsidR="00F919C8" w:rsidRPr="005C470C">
              <w:rPr>
                <w:rFonts w:ascii="Times New Roman" w:eastAsia="Times New Roman" w:hAnsi="Times New Roman" w:cs="Times New Roman"/>
                <w:sz w:val="20"/>
                <w:szCs w:val="20"/>
                <w:lang w:val="en-US" w:eastAsia="pt-BR"/>
              </w:rPr>
              <w:t xml:space="preserve">6 </w:t>
            </w:r>
            <w:r w:rsidRPr="005C470C">
              <w:rPr>
                <w:rFonts w:ascii="Times New Roman" w:eastAsia="Times New Roman" w:hAnsi="Times New Roman" w:cs="Times New Roman"/>
                <w:sz w:val="20"/>
                <w:szCs w:val="20"/>
                <w:lang w:val="en-US" w:eastAsia="pt-BR"/>
              </w:rPr>
              <w:t>anterior teeth (lower incisors and ca</w:t>
            </w:r>
            <w:r w:rsidR="00F919C8" w:rsidRPr="005C470C">
              <w:rPr>
                <w:rFonts w:ascii="Times New Roman" w:eastAsia="Times New Roman" w:hAnsi="Times New Roman" w:cs="Times New Roman"/>
                <w:sz w:val="20"/>
                <w:szCs w:val="20"/>
                <w:lang w:val="en-US" w:eastAsia="pt-BR"/>
              </w:rPr>
              <w:t>ni</w:t>
            </w:r>
            <w:r w:rsidRPr="005C470C">
              <w:rPr>
                <w:rFonts w:ascii="Times New Roman" w:eastAsia="Times New Roman" w:hAnsi="Times New Roman" w:cs="Times New Roman"/>
                <w:sz w:val="20"/>
                <w:szCs w:val="20"/>
                <w:lang w:val="en-US" w:eastAsia="pt-BR"/>
              </w:rPr>
              <w:t>nes) and those</w:t>
            </w:r>
            <w:r w:rsidR="00F919C8"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bonded only to the ca</w:t>
            </w:r>
            <w:r w:rsidR="00F919C8" w:rsidRPr="005C470C">
              <w:rPr>
                <w:rFonts w:ascii="Times New Roman" w:eastAsia="Times New Roman" w:hAnsi="Times New Roman" w:cs="Times New Roman"/>
                <w:sz w:val="20"/>
                <w:szCs w:val="20"/>
                <w:lang w:val="en-US" w:eastAsia="pt-BR"/>
              </w:rPr>
              <w:t>ni</w:t>
            </w:r>
            <w:r w:rsidRPr="005C470C">
              <w:rPr>
                <w:rFonts w:ascii="Times New Roman" w:eastAsia="Times New Roman" w:hAnsi="Times New Roman" w:cs="Times New Roman"/>
                <w:sz w:val="20"/>
                <w:szCs w:val="20"/>
                <w:lang w:val="en-US" w:eastAsia="pt-BR"/>
              </w:rPr>
              <w:t>nes</w:t>
            </w:r>
          </w:p>
        </w:tc>
        <w:tc>
          <w:tcPr>
            <w:tcW w:w="1134" w:type="dxa"/>
            <w:shd w:val="clear" w:color="auto" w:fill="auto"/>
            <w:vAlign w:val="center"/>
            <w:hideMark/>
          </w:tcPr>
          <w:p w14:paraId="20BBA316" w14:textId="7C1BAC88"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Adults and</w:t>
            </w:r>
            <w:r w:rsidR="00F919C8" w:rsidRPr="005C470C">
              <w:rPr>
                <w:rFonts w:ascii="Times New Roman" w:eastAsia="Times New Roman" w:hAnsi="Times New Roman" w:cs="Times New Roman"/>
                <w:color w:val="000000"/>
                <w:sz w:val="20"/>
                <w:szCs w:val="20"/>
                <w:lang w:eastAsia="pt-BR"/>
              </w:rPr>
              <w:t xml:space="preserve"> </w:t>
            </w:r>
            <w:r w:rsidRPr="005C470C">
              <w:rPr>
                <w:rFonts w:ascii="Times New Roman" w:eastAsia="Times New Roman" w:hAnsi="Times New Roman" w:cs="Times New Roman"/>
                <w:color w:val="000000"/>
                <w:sz w:val="20"/>
                <w:szCs w:val="20"/>
                <w:lang w:eastAsia="pt-BR"/>
              </w:rPr>
              <w:t>adolescents</w:t>
            </w:r>
          </w:p>
        </w:tc>
        <w:tc>
          <w:tcPr>
            <w:tcW w:w="1276" w:type="dxa"/>
            <w:shd w:val="clear" w:color="auto" w:fill="auto"/>
            <w:vAlign w:val="center"/>
            <w:hideMark/>
          </w:tcPr>
          <w:p w14:paraId="596C38CA" w14:textId="28741F3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Lower fixed retainers bonded</w:t>
            </w:r>
            <w:r w:rsidR="00F919C8"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only on ca</w:t>
            </w:r>
            <w:r w:rsidR="00F919C8" w:rsidRPr="005C470C">
              <w:rPr>
                <w:rFonts w:ascii="Times New Roman" w:eastAsia="Times New Roman" w:hAnsi="Times New Roman" w:cs="Times New Roman"/>
                <w:color w:val="000000"/>
                <w:sz w:val="20"/>
                <w:szCs w:val="20"/>
                <w:lang w:val="en-US" w:eastAsia="pt-BR"/>
              </w:rPr>
              <w:t>ni</w:t>
            </w:r>
            <w:r w:rsidRPr="005C470C">
              <w:rPr>
                <w:rFonts w:ascii="Times New Roman" w:eastAsia="Times New Roman" w:hAnsi="Times New Roman" w:cs="Times New Roman"/>
                <w:color w:val="000000"/>
                <w:sz w:val="20"/>
                <w:szCs w:val="20"/>
                <w:lang w:val="en-US" w:eastAsia="pt-BR"/>
              </w:rPr>
              <w:t>nes</w:t>
            </w:r>
          </w:p>
        </w:tc>
        <w:tc>
          <w:tcPr>
            <w:tcW w:w="1418" w:type="dxa"/>
            <w:shd w:val="clear" w:color="auto" w:fill="auto"/>
            <w:vAlign w:val="center"/>
            <w:hideMark/>
          </w:tcPr>
          <w:p w14:paraId="27CB8742" w14:textId="105A830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Retainers bonded to</w:t>
            </w:r>
            <w:r w:rsidR="00F919C8"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all anterior teeth (lower incisors and ca</w:t>
            </w:r>
            <w:r w:rsidR="00A70A8C" w:rsidRPr="005C470C">
              <w:rPr>
                <w:rFonts w:ascii="Times New Roman" w:eastAsia="Times New Roman" w:hAnsi="Times New Roman" w:cs="Times New Roman"/>
                <w:color w:val="000000"/>
                <w:sz w:val="20"/>
                <w:szCs w:val="20"/>
                <w:lang w:val="en-US" w:eastAsia="pt-BR"/>
              </w:rPr>
              <w:t>ni</w:t>
            </w:r>
            <w:r w:rsidRPr="005C470C">
              <w:rPr>
                <w:rFonts w:ascii="Times New Roman" w:eastAsia="Times New Roman" w:hAnsi="Times New Roman" w:cs="Times New Roman"/>
                <w:color w:val="000000"/>
                <w:sz w:val="20"/>
                <w:szCs w:val="20"/>
                <w:lang w:val="en-US" w:eastAsia="pt-BR"/>
              </w:rPr>
              <w:t>nes)</w:t>
            </w:r>
          </w:p>
        </w:tc>
        <w:tc>
          <w:tcPr>
            <w:tcW w:w="1275" w:type="dxa"/>
            <w:shd w:val="clear" w:color="auto" w:fill="auto"/>
            <w:vAlign w:val="center"/>
            <w:hideMark/>
          </w:tcPr>
          <w:p w14:paraId="4610BBB4"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Stability</w:t>
            </w:r>
          </w:p>
        </w:tc>
        <w:tc>
          <w:tcPr>
            <w:tcW w:w="1134" w:type="dxa"/>
            <w:shd w:val="clear" w:color="auto" w:fill="auto"/>
            <w:vAlign w:val="center"/>
            <w:hideMark/>
          </w:tcPr>
          <w:p w14:paraId="0AFDC23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(n=2) and non-randomized studies (n=3)</w:t>
            </w:r>
          </w:p>
        </w:tc>
        <w:tc>
          <w:tcPr>
            <w:tcW w:w="567" w:type="dxa"/>
            <w:shd w:val="clear" w:color="auto" w:fill="auto"/>
            <w:vAlign w:val="center"/>
            <w:hideMark/>
          </w:tcPr>
          <w:p w14:paraId="4411231B"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607C9C32" w14:textId="5DB0ACB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current evidence may point to better stability of dental alignment when lower fixed orthodontic retainers are bonded to all anterior teeth</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7811EC1" w14:textId="78A94BD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F919C8" w:rsidRPr="005C470C">
              <w:rPr>
                <w:rFonts w:ascii="Times New Roman" w:eastAsia="Times New Roman" w:hAnsi="Times New Roman" w:cs="Times New Roman"/>
                <w:color w:val="000000"/>
                <w:sz w:val="20"/>
                <w:szCs w:val="20"/>
                <w:lang w:val="en-US" w:eastAsia="pt-BR"/>
              </w:rPr>
              <w:t xml:space="preserve"> - As uncertainty is moderate, more reliable research on the topic is needed</w:t>
            </w:r>
            <w:r w:rsidR="00B0457E">
              <w:rPr>
                <w:rFonts w:ascii="Times New Roman" w:eastAsia="Times New Roman" w:hAnsi="Times New Roman" w:cs="Times New Roman"/>
                <w:color w:val="000000"/>
                <w:sz w:val="20"/>
                <w:szCs w:val="20"/>
                <w:lang w:val="en-US" w:eastAsia="pt-BR"/>
              </w:rPr>
              <w:t>.</w:t>
            </w:r>
          </w:p>
        </w:tc>
      </w:tr>
      <w:tr w:rsidR="002914BB" w:rsidRPr="00114AF5" w14:paraId="1A7E6048" w14:textId="77777777" w:rsidTr="00114AF5">
        <w:trPr>
          <w:trHeight w:val="20"/>
        </w:trPr>
        <w:tc>
          <w:tcPr>
            <w:tcW w:w="1135" w:type="dxa"/>
            <w:shd w:val="clear" w:color="auto" w:fill="auto"/>
            <w:vAlign w:val="center"/>
            <w:hideMark/>
          </w:tcPr>
          <w:p w14:paraId="6F94D6A4"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Mohammed et al, 2020</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&lt;EndNote&gt;&lt;Cite&gt;&lt;Author&gt;Mohammed&lt;/Author&gt;&lt;Year&gt;2020&lt;/Year&gt;&lt;RecNum&gt;20969&lt;/RecNum&gt;&lt;DisplayText&gt;&lt;style face="superscript"&gt;68&lt;/style&gt;&lt;/DisplayText&gt;&lt;record&gt;&lt;rec-number&gt;20969&lt;/rec-number&gt;&lt;foreign-keys&gt;&lt;key app="EN" db-id="f5fv5a2shx52dqesxzmpffeqzt5ffxae2vev" timestamp="1607902584"&gt;20969&lt;/key&gt;&lt;/foreign-keys&gt;&lt;ref-type name="Journal Article"&gt;17&lt;/ref-type&gt;&lt;contributors&gt;&lt;authors&gt;&lt;author&gt;Mohammed, Hisham&lt;/author&gt;&lt;author&gt;Čirgić, Emina&lt;/author&gt;&lt;author&gt;Rizk, Mumen Z&lt;/author&gt;&lt;author&gt;Vandevska-Radunovic, Vaska&lt;/author&gt;&lt;/authors&gt;&lt;/contributors&gt;&lt;titles&gt;&lt;title&gt;Effectiveness of prefabricated myofunctional appliances in the treatment of Class II division 1 malocclusion: a systematic review&lt;/title&gt;&lt;secondary-title&gt;European Journal of Orthodontics&lt;/secondary-title&gt;&lt;/titles&gt;&lt;periodical&gt;&lt;full-title&gt;Eur J Orthod&lt;/full-title&gt;&lt;abbr-1&gt;European journal of orthodontics&lt;/abbr-1&gt;&lt;/periodical&gt;&lt;pages&gt;125-134&lt;/pages&gt;&lt;volume&gt;42&lt;/volume&gt;&lt;number&gt;2&lt;/number&gt;&lt;dates&gt;&lt;year&gt;2020&lt;/year&gt;&lt;/dates&gt;&lt;isbn&gt;0141-5387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68</w:t>
            </w:r>
            <w:r w:rsidR="0008652B" w:rsidRPr="005C470C">
              <w:rPr>
                <w:rFonts w:ascii="Times New Roman" w:eastAsia="Times New Roman" w:hAnsi="Times New Roman" w:cs="Times New Roman"/>
                <w:sz w:val="20"/>
                <w:szCs w:val="20"/>
                <w:lang w:eastAsia="pt-BR"/>
              </w:rPr>
              <w:fldChar w:fldCharType="end"/>
            </w:r>
          </w:p>
          <w:p w14:paraId="640619A0" w14:textId="608B1303"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(United Kingdom)</w:t>
            </w:r>
          </w:p>
        </w:tc>
        <w:tc>
          <w:tcPr>
            <w:tcW w:w="992" w:type="dxa"/>
            <w:shd w:val="clear" w:color="auto" w:fill="auto"/>
            <w:vAlign w:val="center"/>
            <w:hideMark/>
          </w:tcPr>
          <w:p w14:paraId="3B8AED28"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European journal of orthodontics</w:t>
            </w:r>
          </w:p>
          <w:p w14:paraId="5911F002" w14:textId="7F3F4681"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(2.202)</w:t>
            </w:r>
          </w:p>
        </w:tc>
        <w:tc>
          <w:tcPr>
            <w:tcW w:w="1418" w:type="dxa"/>
            <w:shd w:val="clear" w:color="auto" w:fill="auto"/>
            <w:vAlign w:val="center"/>
            <w:hideMark/>
          </w:tcPr>
          <w:p w14:paraId="2031513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1F06B388" w14:textId="4E0CF9B3"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critically examine in a systematic manner, the available literature denoting the effectiveness of PMAs in correcting Class II division I malocclusion in children </w:t>
            </w:r>
            <w:r w:rsidRPr="005C470C">
              <w:rPr>
                <w:rFonts w:ascii="Times New Roman" w:eastAsia="Times New Roman" w:hAnsi="Times New Roman" w:cs="Times New Roman"/>
                <w:sz w:val="20"/>
                <w:szCs w:val="20"/>
                <w:lang w:val="en-US" w:eastAsia="pt-BR"/>
              </w:rPr>
              <w:lastRenderedPageBreak/>
              <w:t>and adolescents</w:t>
            </w:r>
          </w:p>
        </w:tc>
        <w:tc>
          <w:tcPr>
            <w:tcW w:w="1134" w:type="dxa"/>
            <w:shd w:val="clear" w:color="auto" w:fill="auto"/>
            <w:vAlign w:val="center"/>
            <w:hideMark/>
          </w:tcPr>
          <w:p w14:paraId="5F22337C" w14:textId="675C414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Participants (6–14</w:t>
            </w:r>
            <w:r w:rsidR="00DC5ECE"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presenting with a Class II division</w:t>
            </w:r>
            <w:r w:rsidR="00DC5ECE"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I malocclusion</w:t>
            </w:r>
          </w:p>
        </w:tc>
        <w:tc>
          <w:tcPr>
            <w:tcW w:w="1276" w:type="dxa"/>
            <w:shd w:val="clear" w:color="auto" w:fill="auto"/>
            <w:vAlign w:val="center"/>
            <w:hideMark/>
          </w:tcPr>
          <w:p w14:paraId="3E1DF609"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Participants receiving Prefabricated myofunctional appliances</w:t>
            </w:r>
          </w:p>
        </w:tc>
        <w:tc>
          <w:tcPr>
            <w:tcW w:w="1418" w:type="dxa"/>
            <w:shd w:val="clear" w:color="auto" w:fill="auto"/>
            <w:vAlign w:val="center"/>
            <w:hideMark/>
          </w:tcPr>
          <w:p w14:paraId="1E7496E1" w14:textId="3293230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Participants receiving other forms of active orthodontic treatment or untreated controls</w:t>
            </w:r>
          </w:p>
        </w:tc>
        <w:tc>
          <w:tcPr>
            <w:tcW w:w="1275" w:type="dxa"/>
            <w:shd w:val="clear" w:color="auto" w:fill="auto"/>
            <w:vAlign w:val="center"/>
            <w:hideMark/>
          </w:tcPr>
          <w:p w14:paraId="79CD06E2" w14:textId="26426761" w:rsidR="006226A8" w:rsidRPr="005C470C" w:rsidRDefault="00DC5ECE"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w:t>
            </w:r>
            <w:r w:rsidR="006226A8" w:rsidRPr="005C470C">
              <w:rPr>
                <w:rFonts w:ascii="Times New Roman" w:eastAsia="Times New Roman" w:hAnsi="Times New Roman" w:cs="Times New Roman"/>
                <w:color w:val="000000"/>
                <w:sz w:val="20"/>
                <w:szCs w:val="20"/>
                <w:lang w:val="en-US" w:eastAsia="pt-BR"/>
              </w:rPr>
              <w:t>mount of overjet reduction, soft-tissue changes, and ANB</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Patient reported outcomes, dentoalveolar changes, cost-effectiveness, airway changes, and adverse </w:t>
            </w:r>
            <w:r w:rsidR="006226A8" w:rsidRPr="005C470C">
              <w:rPr>
                <w:rFonts w:ascii="Times New Roman" w:eastAsia="Times New Roman" w:hAnsi="Times New Roman" w:cs="Times New Roman"/>
                <w:color w:val="000000"/>
                <w:sz w:val="20"/>
                <w:szCs w:val="20"/>
                <w:lang w:val="en-US" w:eastAsia="pt-BR"/>
              </w:rPr>
              <w:lastRenderedPageBreak/>
              <w:t>effects of treatment</w:t>
            </w:r>
          </w:p>
        </w:tc>
        <w:tc>
          <w:tcPr>
            <w:tcW w:w="1134" w:type="dxa"/>
            <w:shd w:val="clear" w:color="auto" w:fill="auto"/>
            <w:vAlign w:val="center"/>
            <w:hideMark/>
          </w:tcPr>
          <w:p w14:paraId="498E0170"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RCTs (n=3) and non-randomized retrospective studies (n=3)</w:t>
            </w:r>
          </w:p>
        </w:tc>
        <w:tc>
          <w:tcPr>
            <w:tcW w:w="567" w:type="dxa"/>
            <w:shd w:val="clear" w:color="auto" w:fill="auto"/>
            <w:vAlign w:val="center"/>
            <w:hideMark/>
          </w:tcPr>
          <w:p w14:paraId="67DA10E8"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3C791B6" w14:textId="11D09A2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is low quality of evidence indicating that the activators were more effective than the PMAs in correcting overjet, on a short-term</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0A2DCF82" w14:textId="0AB7AD6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DC5ECE" w:rsidRPr="005C470C">
              <w:rPr>
                <w:rFonts w:ascii="Times New Roman" w:eastAsia="Times New Roman" w:hAnsi="Times New Roman" w:cs="Times New Roman"/>
                <w:color w:val="000000"/>
                <w:sz w:val="20"/>
                <w:szCs w:val="20"/>
                <w:lang w:val="en-US" w:eastAsia="pt-BR"/>
              </w:rPr>
              <w:t xml:space="preserve"> - There is currently no evidence to substantiate better long-term occlusal stability with the PMAs compared to any other appliances</w:t>
            </w:r>
            <w:r w:rsidR="00B0457E">
              <w:rPr>
                <w:rFonts w:ascii="Times New Roman" w:eastAsia="Times New Roman" w:hAnsi="Times New Roman" w:cs="Times New Roman"/>
                <w:color w:val="000000"/>
                <w:sz w:val="20"/>
                <w:szCs w:val="20"/>
                <w:lang w:val="en-US" w:eastAsia="pt-BR"/>
              </w:rPr>
              <w:t>.</w:t>
            </w:r>
          </w:p>
        </w:tc>
      </w:tr>
      <w:tr w:rsidR="002914BB" w:rsidRPr="00114AF5" w14:paraId="4CB7B133" w14:textId="77777777" w:rsidTr="00114AF5">
        <w:trPr>
          <w:trHeight w:val="20"/>
        </w:trPr>
        <w:tc>
          <w:tcPr>
            <w:tcW w:w="1135" w:type="dxa"/>
            <w:shd w:val="clear" w:color="auto" w:fill="auto"/>
            <w:vAlign w:val="center"/>
            <w:hideMark/>
          </w:tcPr>
          <w:p w14:paraId="5456C743"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Nagendrababu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&lt;EndNote&gt;&lt;Cite&gt;&lt;Author&gt;Nagendrababu&lt;/Author&gt;&lt;Year&gt;2019&lt;/Year&gt;&lt;RecNum&gt;20973&lt;/RecNum&gt;&lt;DisplayText&gt;&lt;style face="superscript"&gt;69&lt;/style&gt;&lt;/DisplayText&gt;&lt;record&gt;&lt;rec-number&gt;20973&lt;/rec-number&gt;&lt;foreign-keys&gt;&lt;key app="EN" db-id="f5fv5a2shx52dqesxzmpffeqzt5ffxae2vev" timestamp="1607902584"&gt;20973&lt;/key&gt;&lt;/foreign-keys&gt;&lt;ref-type name="Journal Article"&gt;17&lt;/ref-type&gt;&lt;contributors&gt;&lt;authors&gt;&lt;author&gt;Nagendrababu, Venkateshbabu&lt;/author&gt;&lt;author&gt;Ahmed, Hany Mohamed Aly&lt;/author&gt;&lt;author&gt;Pulikkotil, Shaju Jacob&lt;/author&gt;&lt;author&gt;Veettil, Sajesh K&lt;/author&gt;&lt;author&gt;Dharmarajan, Lalli&lt;/author&gt;&lt;author&gt;Setzer, Frank C&lt;/author&gt;&lt;/authors&gt;&lt;/contributors&gt;&lt;titles&gt;&lt;title&gt;Anesthetic Efficacy of Gow-Gates, Vazirani-Akinosi, and Mental Incisive Nerve Blocks for Treatment of Symptomatic Irreversible Pulpitis: A Systematic Review and Meta-analysis with Trial Sequential Analysis&lt;/title&gt;&lt;secondary-title&gt;Journal of endodontics&lt;/secondary-title&gt;&lt;/titles&gt;&lt;periodical&gt;&lt;full-title&gt;Journal of endodontics&lt;/full-title&gt;&lt;/periodical&gt;&lt;pages&gt;1175-1183. e3&lt;/pages&gt;&lt;volume&gt;45&lt;/volume&gt;&lt;number&gt;10&lt;/number&gt;&lt;dates&gt;&lt;year&gt;2019&lt;/year&gt;&lt;/dates&gt;&lt;isbn&gt;0099-2399&lt;/isbn&gt;&lt;urls&gt;&lt;/urls&gt;&lt;/record&gt;&lt;/Cite&gt;&lt;/EndNote&gt;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69</w:t>
            </w:r>
            <w:r w:rsidR="0008652B" w:rsidRPr="005C470C">
              <w:rPr>
                <w:rFonts w:ascii="Times New Roman" w:eastAsia="Times New Roman" w:hAnsi="Times New Roman" w:cs="Times New Roman"/>
                <w:sz w:val="20"/>
                <w:szCs w:val="20"/>
                <w:lang w:eastAsia="pt-BR"/>
              </w:rPr>
              <w:fldChar w:fldCharType="end"/>
            </w:r>
          </w:p>
          <w:p w14:paraId="7D406A84" w14:textId="446AF1F9"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Malaysia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21C5A765" w14:textId="77777777" w:rsidR="006226A8"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endodontics</w:t>
            </w:r>
          </w:p>
          <w:p w14:paraId="2B434B48" w14:textId="7249E7D3" w:rsidR="00C53143" w:rsidRPr="005C470C"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(3.118)</w:t>
            </w:r>
          </w:p>
        </w:tc>
        <w:tc>
          <w:tcPr>
            <w:tcW w:w="1418" w:type="dxa"/>
            <w:shd w:val="clear" w:color="auto" w:fill="auto"/>
            <w:vAlign w:val="center"/>
            <w:hideMark/>
          </w:tcPr>
          <w:p w14:paraId="4FABD06A"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Endodontics</w:t>
            </w:r>
          </w:p>
        </w:tc>
        <w:tc>
          <w:tcPr>
            <w:tcW w:w="1275" w:type="dxa"/>
            <w:shd w:val="clear" w:color="auto" w:fill="auto"/>
            <w:vAlign w:val="center"/>
            <w:hideMark/>
          </w:tcPr>
          <w:p w14:paraId="0D674263" w14:textId="73CF2DCA"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compare the anesthetic efficacy of IANB with GG, VA, and MI NBs in teeth with irreversible pulpitis using a systematic approach and applying meta analytic statistics, including trial sequential analysis, to the present evidence</w:t>
            </w:r>
          </w:p>
        </w:tc>
        <w:tc>
          <w:tcPr>
            <w:tcW w:w="1134" w:type="dxa"/>
            <w:shd w:val="clear" w:color="auto" w:fill="auto"/>
            <w:vAlign w:val="center"/>
            <w:hideMark/>
          </w:tcPr>
          <w:p w14:paraId="4D6A7534"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with mandibular teeth with irreversible pulpitis</w:t>
            </w:r>
          </w:p>
        </w:tc>
        <w:tc>
          <w:tcPr>
            <w:tcW w:w="1276" w:type="dxa"/>
            <w:shd w:val="clear" w:color="auto" w:fill="auto"/>
            <w:vAlign w:val="center"/>
            <w:hideMark/>
          </w:tcPr>
          <w:p w14:paraId="081F304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Gow-Gates (GG), Vazirani-Akinosi (VA), and mental incisive (MI) nerve blocks (NBs) </w:t>
            </w:r>
          </w:p>
        </w:tc>
        <w:tc>
          <w:tcPr>
            <w:tcW w:w="1418" w:type="dxa"/>
            <w:shd w:val="clear" w:color="auto" w:fill="auto"/>
            <w:vAlign w:val="center"/>
            <w:hideMark/>
          </w:tcPr>
          <w:p w14:paraId="2F8C965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Inferior alveolar nerve blocks (IANBs)</w:t>
            </w:r>
          </w:p>
        </w:tc>
        <w:tc>
          <w:tcPr>
            <w:tcW w:w="1275" w:type="dxa"/>
            <w:shd w:val="clear" w:color="auto" w:fill="auto"/>
            <w:vAlign w:val="center"/>
            <w:hideMark/>
          </w:tcPr>
          <w:p w14:paraId="3F718E48" w14:textId="69EDA276" w:rsidR="006226A8" w:rsidRPr="005C470C" w:rsidRDefault="00DC5ECE"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E</w:t>
            </w:r>
            <w:r w:rsidR="006226A8" w:rsidRPr="005C470C">
              <w:rPr>
                <w:rFonts w:ascii="Times New Roman" w:eastAsia="Times New Roman" w:hAnsi="Times New Roman" w:cs="Times New Roman"/>
                <w:color w:val="000000"/>
                <w:sz w:val="20"/>
                <w:szCs w:val="20"/>
                <w:lang w:val="en-US" w:eastAsia="pt-BR"/>
              </w:rPr>
              <w:t>ffectiveness of the anesthetic techniques (GG, VA, and MI NBs vs IANB) on achieving successful anesthesia in mandibular teeth with irreversible pulpitis while performing access cavity preparation and instrumentation</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any adverse effects reported because of the anesthetic techniques </w:t>
            </w:r>
          </w:p>
        </w:tc>
        <w:tc>
          <w:tcPr>
            <w:tcW w:w="1134" w:type="dxa"/>
            <w:shd w:val="clear" w:color="auto" w:fill="auto"/>
            <w:vAlign w:val="center"/>
            <w:hideMark/>
          </w:tcPr>
          <w:p w14:paraId="026C3CD9"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(n=5)</w:t>
            </w:r>
          </w:p>
        </w:tc>
        <w:tc>
          <w:tcPr>
            <w:tcW w:w="567" w:type="dxa"/>
            <w:shd w:val="clear" w:color="auto" w:fill="auto"/>
            <w:vAlign w:val="center"/>
            <w:hideMark/>
          </w:tcPr>
          <w:p w14:paraId="0D66F866"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425410F0" w14:textId="4384285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GG and MI NBs showed similar anesthetic success rates compared with IANB for the treatment of mandibular teeth diagnosed with irreversible pulpitis. If used as anesthetic techniques on their own, the success rate for each of the 3 techniques is a concern, indicating the need for supplemental anesthesia.</w:t>
            </w:r>
            <w:r w:rsidR="00DC5ECE" w:rsidRPr="005C470C">
              <w:rPr>
                <w:rFonts w:ascii="Times New Roman" w:eastAsia="Times New Roman" w:hAnsi="Times New Roman" w:cs="Times New Roman"/>
                <w:color w:val="000000"/>
                <w:sz w:val="20"/>
                <w:szCs w:val="20"/>
                <w:lang w:val="en-US" w:eastAsia="pt-BR"/>
              </w:rPr>
              <w:t xml:space="preserve"> Moderate (GG NB and IANB) quality of evidence vs. </w:t>
            </w:r>
            <w:r w:rsidRPr="005C470C">
              <w:rPr>
                <w:rFonts w:ascii="Times New Roman" w:eastAsia="Times New Roman" w:hAnsi="Times New Roman" w:cs="Times New Roman"/>
                <w:color w:val="000000"/>
                <w:sz w:val="20"/>
                <w:szCs w:val="20"/>
                <w:lang w:val="en-US" w:eastAsia="pt-BR"/>
              </w:rPr>
              <w:t xml:space="preserve">low </w:t>
            </w:r>
            <w:r w:rsidR="00DC5ECE"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MINB and IANB</w:t>
            </w:r>
            <w:r w:rsidR="00DC5ECE" w:rsidRPr="005C470C">
              <w:rPr>
                <w:rFonts w:ascii="Times New Roman" w:eastAsia="Times New Roman" w:hAnsi="Times New Roman" w:cs="Times New Roman"/>
                <w:color w:val="000000"/>
                <w:sz w:val="20"/>
                <w:szCs w:val="20"/>
                <w:lang w:val="en-US" w:eastAsia="pt-BR"/>
              </w:rPr>
              <w: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E1A944A" w14:textId="400BE52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DC5ECE" w:rsidRPr="005C470C">
              <w:rPr>
                <w:rFonts w:ascii="Times New Roman" w:eastAsia="Times New Roman" w:hAnsi="Times New Roman" w:cs="Times New Roman"/>
                <w:color w:val="000000"/>
                <w:sz w:val="20"/>
                <w:szCs w:val="20"/>
                <w:lang w:val="en-US" w:eastAsia="pt-BR"/>
              </w:rPr>
              <w:t xml:space="preserve"> - Further well-designed RCTs evaluating different anesthetic techniques with and without supplemental injection are required to provide stronger evidence</w:t>
            </w:r>
            <w:r w:rsidR="00B0457E">
              <w:rPr>
                <w:rFonts w:ascii="Times New Roman" w:eastAsia="Times New Roman" w:hAnsi="Times New Roman" w:cs="Times New Roman"/>
                <w:color w:val="000000"/>
                <w:sz w:val="20"/>
                <w:szCs w:val="20"/>
                <w:lang w:val="en-US" w:eastAsia="pt-BR"/>
              </w:rPr>
              <w:t>.</w:t>
            </w:r>
          </w:p>
        </w:tc>
      </w:tr>
      <w:tr w:rsidR="002914BB" w:rsidRPr="005C470C" w14:paraId="100FF7CE" w14:textId="77777777" w:rsidTr="00114AF5">
        <w:trPr>
          <w:trHeight w:val="20"/>
        </w:trPr>
        <w:tc>
          <w:tcPr>
            <w:tcW w:w="1135" w:type="dxa"/>
            <w:shd w:val="clear" w:color="auto" w:fill="auto"/>
            <w:vAlign w:val="center"/>
            <w:hideMark/>
          </w:tcPr>
          <w:p w14:paraId="2220DC86"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Né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&lt;EndNote&gt;&lt;Cite&gt;&lt;Author&gt;Né&lt;/Author&gt;&lt;Year&gt;2019&lt;/Year&gt;&lt;RecNum&gt;20972&lt;/RecNum&gt;&lt;DisplayText&gt;&lt;style face="superscript"&gt;70&lt;/style&gt;&lt;/DisplayText&gt;&lt;record&gt;&lt;rec-number&gt;20972&lt;/rec-number&gt;&lt;foreign-keys&gt;&lt;key app="EN" db-id="f5fv5a2shx52dqesxzmpffeqzt5ffxae2vev" timestamp="1607902584"&gt;20972&lt;/key&gt;&lt;/foreign-keys&gt;&lt;ref-type name="Journal Article"&gt;17&lt;/ref-type&gt;&lt;contributors&gt;&lt;authors&gt;&lt;author&gt;Né, Yago Gecy Sousa&lt;/author&gt;&lt;author&gt;Martins, Beatriz Voss&lt;/author&gt;&lt;author&gt;Castro, Micaele Maria Lopes&lt;/author&gt;&lt;author&gt;Alvarenga, María Olimpia Paz&lt;/author&gt;&lt;author&gt;Fagundes, Nathalia Carolina Fernandes&lt;/author&gt;&lt;author&gt;Magno, Marcela Baraúna&lt;/author&gt;&lt;author&gt;Maia, Lucianne Cople&lt;/author&gt;&lt;author&gt;Lima, Rafael Rodrigues&lt;/author&gt;&lt;/authors&gt;&lt;/contributors&gt;&lt;titles&gt;&lt;title&gt;Is nutritional intervention an improvement factor in the management of periodontitis? A systematic review&lt;/title&gt;&lt;secondary-title&gt;Clinical Nutrition&lt;/secondary-title&gt;&lt;/titles&gt;&lt;periodical&gt;&lt;full-title&gt;Clinical Nutrition&lt;/full-title&gt;&lt;/periodical&gt;&lt;dates&gt;&lt;year&gt;2019&lt;/year&gt;&lt;/dates&gt;&lt;isbn&gt;0261-5614&lt;/isbn&gt;&lt;urls&gt;&lt;/urls&gt;&lt;/record&gt;&lt;/Cite&gt;&lt;/EndNote&gt;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70</w:t>
            </w:r>
            <w:r w:rsidR="0008652B" w:rsidRPr="005C470C">
              <w:rPr>
                <w:rFonts w:ascii="Times New Roman" w:eastAsia="Times New Roman" w:hAnsi="Times New Roman" w:cs="Times New Roman"/>
                <w:sz w:val="20"/>
                <w:szCs w:val="20"/>
                <w:lang w:eastAsia="pt-BR"/>
              </w:rPr>
              <w:fldChar w:fldCharType="end"/>
            </w:r>
          </w:p>
          <w:p w14:paraId="3E15D4F5" w14:textId="1BD3BB5D"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155142D"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Clinical Nutrition</w:t>
            </w:r>
          </w:p>
          <w:p w14:paraId="66979644" w14:textId="5B73FF5B"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(6.360)</w:t>
            </w:r>
          </w:p>
        </w:tc>
        <w:tc>
          <w:tcPr>
            <w:tcW w:w="1418" w:type="dxa"/>
            <w:shd w:val="clear" w:color="auto" w:fill="auto"/>
            <w:vAlign w:val="center"/>
            <w:hideMark/>
          </w:tcPr>
          <w:p w14:paraId="606C91A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401DBE64"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effect of nutritional intervention in the management of periodontitis</w:t>
            </w:r>
          </w:p>
        </w:tc>
        <w:tc>
          <w:tcPr>
            <w:tcW w:w="1134" w:type="dxa"/>
            <w:shd w:val="clear" w:color="auto" w:fill="auto"/>
            <w:vAlign w:val="center"/>
            <w:hideMark/>
          </w:tcPr>
          <w:p w14:paraId="501DD7A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Patients with periodontitis</w:t>
            </w:r>
          </w:p>
        </w:tc>
        <w:tc>
          <w:tcPr>
            <w:tcW w:w="1276" w:type="dxa"/>
            <w:shd w:val="clear" w:color="auto" w:fill="auto"/>
            <w:vAlign w:val="center"/>
            <w:hideMark/>
          </w:tcPr>
          <w:p w14:paraId="23E7B70E" w14:textId="1B3FC1F8"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Conventional </w:t>
            </w:r>
            <w:r w:rsidR="006226A8" w:rsidRPr="005C470C">
              <w:rPr>
                <w:rFonts w:ascii="Times New Roman" w:eastAsia="Times New Roman" w:hAnsi="Times New Roman" w:cs="Times New Roman"/>
                <w:color w:val="000000"/>
                <w:sz w:val="20"/>
                <w:szCs w:val="20"/>
                <w:lang w:val="en-US" w:eastAsia="pt-BR"/>
              </w:rPr>
              <w:t>periodontal therapy simultaneously with dietary supplements</w:t>
            </w:r>
          </w:p>
        </w:tc>
        <w:tc>
          <w:tcPr>
            <w:tcW w:w="1418" w:type="dxa"/>
            <w:shd w:val="clear" w:color="auto" w:fill="auto"/>
            <w:vAlign w:val="center"/>
            <w:hideMark/>
          </w:tcPr>
          <w:p w14:paraId="0B66583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Conventional therapy only</w:t>
            </w:r>
          </w:p>
        </w:tc>
        <w:tc>
          <w:tcPr>
            <w:tcW w:w="1275" w:type="dxa"/>
            <w:shd w:val="clear" w:color="auto" w:fill="auto"/>
            <w:vAlign w:val="center"/>
            <w:hideMark/>
          </w:tcPr>
          <w:p w14:paraId="70525445" w14:textId="399BDF3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influence or not influence-of nutritional intervention in the management </w:t>
            </w:r>
            <w:r w:rsidRPr="005C470C">
              <w:rPr>
                <w:rFonts w:ascii="Times New Roman" w:eastAsia="Times New Roman" w:hAnsi="Times New Roman" w:cs="Times New Roman"/>
                <w:color w:val="000000"/>
                <w:sz w:val="20"/>
                <w:szCs w:val="20"/>
                <w:lang w:val="en-US" w:eastAsia="pt-BR"/>
              </w:rPr>
              <w:lastRenderedPageBreak/>
              <w:t>of periodontitis</w:t>
            </w:r>
          </w:p>
        </w:tc>
        <w:tc>
          <w:tcPr>
            <w:tcW w:w="1134" w:type="dxa"/>
            <w:shd w:val="clear" w:color="auto" w:fill="auto"/>
            <w:vAlign w:val="center"/>
            <w:hideMark/>
          </w:tcPr>
          <w:p w14:paraId="2177E0AA"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RCT (n=1) and non-randomized studies (n=3)</w:t>
            </w:r>
          </w:p>
        </w:tc>
        <w:tc>
          <w:tcPr>
            <w:tcW w:w="567" w:type="dxa"/>
            <w:shd w:val="clear" w:color="auto" w:fill="auto"/>
            <w:vAlign w:val="center"/>
            <w:hideMark/>
          </w:tcPr>
          <w:p w14:paraId="0EF2AE81"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0F1D4F0D" w14:textId="2363ADD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Despite the results suggested that nutritional intervention is beneficial for periodontal therapy, the evidence in </w:t>
            </w:r>
            <w:r w:rsidRPr="005C470C">
              <w:rPr>
                <w:rFonts w:ascii="Times New Roman" w:eastAsia="Times New Roman" w:hAnsi="Times New Roman" w:cs="Times New Roman"/>
                <w:color w:val="000000"/>
                <w:sz w:val="20"/>
                <w:szCs w:val="20"/>
                <w:lang w:val="en-US" w:eastAsia="pt-BR"/>
              </w:rPr>
              <w:lastRenderedPageBreak/>
              <w:t>general, is inconsistent and imprecise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26E646F"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p>
        </w:tc>
      </w:tr>
      <w:tr w:rsidR="002914BB" w:rsidRPr="005C470C" w14:paraId="0ED24FCF" w14:textId="77777777" w:rsidTr="00114AF5">
        <w:trPr>
          <w:trHeight w:val="20"/>
        </w:trPr>
        <w:tc>
          <w:tcPr>
            <w:tcW w:w="1135" w:type="dxa"/>
            <w:shd w:val="clear" w:color="auto" w:fill="auto"/>
            <w:vAlign w:val="center"/>
            <w:hideMark/>
          </w:tcPr>
          <w:p w14:paraId="43523B8B"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Nibali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&lt;EndNote&gt;&lt;Cite&gt;&lt;Author&gt;Nibali&lt;/Author&gt;&lt;Year&gt;2020&lt;/Year&gt;&lt;RecNum&gt;20968&lt;/RecNum&gt;&lt;DisplayText&gt;&lt;style face="superscript"&gt;71&lt;/style&gt;&lt;/DisplayText&gt;&lt;record&gt;&lt;rec-number&gt;20968&lt;/rec-number&gt;&lt;foreign-keys&gt;&lt;key app="EN" db-id="f5fv5a2shx52dqesxzmpffeqzt5ffxae2vev" timestamp="1607902584"&gt;20968&lt;/key&gt;&lt;/foreign-keys&gt;&lt;ref-type name="Journal Article"&gt;17&lt;/ref-type&gt;&lt;contributors&gt;&lt;authors&gt;&lt;author&gt;Nibali, Luigi&lt;/author&gt;&lt;author&gt;Koidou, Vasiliki P&lt;/author&gt;&lt;author&gt;Nieri, Michele&lt;/author&gt;&lt;author&gt;Barbato, Luigi&lt;/author&gt;&lt;author&gt;Pagliaro, Umberto&lt;/author&gt;&lt;author&gt;Cairo, Francesco&lt;/author&gt;&lt;/authors&gt;&lt;/contributors&gt;&lt;titles&gt;&lt;title&gt;Regenerative surgery versus access flap for the treatment of intra‐bony periodontal defects: A systematic review and meta‐analysis&lt;/title&gt;&lt;secondary-title&gt;Journal of clinical periodontology&lt;/secondary-title&gt;&lt;/titles&gt;&lt;periodical&gt;&lt;full-title&gt;Journal of clinical periodontology&lt;/full-title&gt;&lt;/periodical&gt;&lt;pages&gt;320-351&lt;/pages&gt;&lt;volume&gt;47&lt;/volume&gt;&lt;dates&gt;&lt;year&gt;2020&lt;/year&gt;&lt;/dates&gt;&lt;isbn&gt;0303-6979&lt;/isbn&gt;&lt;urls&gt;&lt;/urls&gt;&lt;/record&gt;&lt;/Cite&gt;&lt;/EndNote&gt;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71</w:t>
            </w:r>
            <w:r w:rsidR="0008652B" w:rsidRPr="005C470C">
              <w:rPr>
                <w:rFonts w:ascii="Times New Roman" w:eastAsia="Times New Roman" w:hAnsi="Times New Roman" w:cs="Times New Roman"/>
                <w:sz w:val="20"/>
                <w:szCs w:val="20"/>
                <w:lang w:eastAsia="pt-BR"/>
              </w:rPr>
              <w:fldChar w:fldCharType="end"/>
            </w:r>
          </w:p>
          <w:p w14:paraId="4FA24884" w14:textId="62CE284F"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Italy</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6D05049D"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clinical periodontology</w:t>
            </w:r>
          </w:p>
          <w:p w14:paraId="1FC4D003" w14:textId="495DC295"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(5.241)</w:t>
            </w:r>
          </w:p>
        </w:tc>
        <w:tc>
          <w:tcPr>
            <w:tcW w:w="1418" w:type="dxa"/>
            <w:shd w:val="clear" w:color="auto" w:fill="auto"/>
            <w:vAlign w:val="center"/>
            <w:hideMark/>
          </w:tcPr>
          <w:p w14:paraId="5C6CD7A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569B312F" w14:textId="7716FA23"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compare clinical, radiographic and patient-reported outcomes (PROMs) in intra-bony defects treated with regenerative surgery or access flap</w:t>
            </w:r>
          </w:p>
        </w:tc>
        <w:tc>
          <w:tcPr>
            <w:tcW w:w="1134" w:type="dxa"/>
            <w:shd w:val="clear" w:color="auto" w:fill="auto"/>
            <w:vAlign w:val="center"/>
            <w:hideMark/>
          </w:tcPr>
          <w:p w14:paraId="1ABAC566" w14:textId="48921C6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Adult human patients with periodontitis who have completed a cycle of non-surgical periodontal therapy and present with residual pockets and intra-bony defects</w:t>
            </w:r>
          </w:p>
        </w:tc>
        <w:tc>
          <w:tcPr>
            <w:tcW w:w="1276" w:type="dxa"/>
            <w:shd w:val="clear" w:color="auto" w:fill="auto"/>
            <w:vAlign w:val="center"/>
            <w:hideMark/>
          </w:tcPr>
          <w:p w14:paraId="0A338E0F" w14:textId="4D591F6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Any type of regenerative surgery with guided tissue regeneration (GTR), enamel matrix derivative (EMD), bone filler or substitutes, growth factors (GF) or combination</w:t>
            </w:r>
            <w:r w:rsidR="00DB3787"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Access flap surgery</w:t>
            </w:r>
          </w:p>
        </w:tc>
        <w:tc>
          <w:tcPr>
            <w:tcW w:w="1418" w:type="dxa"/>
            <w:shd w:val="clear" w:color="auto" w:fill="auto"/>
            <w:vAlign w:val="center"/>
            <w:hideMark/>
          </w:tcPr>
          <w:p w14:paraId="76DD8B2B" w14:textId="30D3C60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All possible comparisons between access flap surgery and regenerative procedures or between regenerative procedures</w:t>
            </w:r>
          </w:p>
        </w:tc>
        <w:tc>
          <w:tcPr>
            <w:tcW w:w="1275" w:type="dxa"/>
            <w:shd w:val="clear" w:color="auto" w:fill="auto"/>
            <w:vAlign w:val="center"/>
            <w:hideMark/>
          </w:tcPr>
          <w:p w14:paraId="2C30F9E4" w14:textId="47762DF1" w:rsidR="006226A8" w:rsidRPr="005C470C" w:rsidRDefault="00DB3787"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Clinical attachment level (</w:t>
            </w:r>
            <w:r w:rsidR="006226A8" w:rsidRPr="005C470C">
              <w:rPr>
                <w:rFonts w:ascii="Times New Roman" w:eastAsia="Times New Roman" w:hAnsi="Times New Roman" w:cs="Times New Roman"/>
                <w:color w:val="000000"/>
                <w:sz w:val="20"/>
                <w:szCs w:val="20"/>
                <w:lang w:val="en-US" w:eastAsia="pt-BR"/>
              </w:rPr>
              <w:t>CAL</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gain, </w:t>
            </w:r>
            <w:r w:rsidRPr="005C470C">
              <w:rPr>
                <w:rFonts w:ascii="Times New Roman" w:eastAsia="Times New Roman" w:hAnsi="Times New Roman" w:cs="Times New Roman"/>
                <w:color w:val="000000"/>
                <w:sz w:val="20"/>
                <w:szCs w:val="20"/>
                <w:lang w:val="en-US" w:eastAsia="pt-BR"/>
              </w:rPr>
              <w:t xml:space="preserve">pocket depth (PD) </w:t>
            </w:r>
            <w:r w:rsidR="006226A8" w:rsidRPr="005C470C">
              <w:rPr>
                <w:rFonts w:ascii="Times New Roman" w:eastAsia="Times New Roman" w:hAnsi="Times New Roman" w:cs="Times New Roman"/>
                <w:color w:val="000000"/>
                <w:sz w:val="20"/>
                <w:szCs w:val="20"/>
                <w:lang w:val="en-US" w:eastAsia="pt-BR"/>
              </w:rPr>
              <w:t>reduction and tooth loss</w:t>
            </w:r>
            <w:r w:rsidRPr="005C470C">
              <w:rPr>
                <w:rFonts w:ascii="Times New Roman" w:eastAsia="Times New Roman" w:hAnsi="Times New Roman" w:cs="Times New Roman"/>
                <w:color w:val="000000"/>
                <w:sz w:val="20"/>
                <w:szCs w:val="20"/>
                <w:lang w:val="en-US" w:eastAsia="pt-BR"/>
              </w:rPr>
              <w:t>; recession</w:t>
            </w:r>
            <w:r w:rsidR="006226A8" w:rsidRPr="005C470C">
              <w:rPr>
                <w:rFonts w:ascii="Times New Roman" w:eastAsia="Times New Roman" w:hAnsi="Times New Roman" w:cs="Times New Roman"/>
                <w:color w:val="000000"/>
                <w:sz w:val="20"/>
                <w:szCs w:val="20"/>
                <w:lang w:val="en-US" w:eastAsia="pt-BR"/>
              </w:rPr>
              <w:t>, radiographic bone gain (BG), pocket “closure” (namely presence of PD at experimental site ≤4 mm at study follow-up), PROMs (patient-reported outcome measures) and adverse events (AE)</w:t>
            </w:r>
          </w:p>
        </w:tc>
        <w:tc>
          <w:tcPr>
            <w:tcW w:w="1134" w:type="dxa"/>
            <w:shd w:val="clear" w:color="auto" w:fill="auto"/>
            <w:vAlign w:val="center"/>
            <w:hideMark/>
          </w:tcPr>
          <w:p w14:paraId="6DEF70A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(n=79), with or without a split-mouth design</w:t>
            </w:r>
          </w:p>
        </w:tc>
        <w:tc>
          <w:tcPr>
            <w:tcW w:w="567" w:type="dxa"/>
            <w:shd w:val="clear" w:color="auto" w:fill="auto"/>
            <w:vAlign w:val="center"/>
            <w:hideMark/>
          </w:tcPr>
          <w:p w14:paraId="15C27651"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041B067" w14:textId="4210D75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EMD and resorbable GTR appear to be the gold standard for the surgical treatment of deep (≥3 mm) intra-bony defects, which have not resolved following completion of non-surgical therapy</w:t>
            </w:r>
            <w:r w:rsidR="00693232" w:rsidRPr="005C470C">
              <w:rPr>
                <w:rFonts w:ascii="Times New Roman" w:eastAsia="Times New Roman" w:hAnsi="Times New Roman" w:cs="Times New Roman"/>
                <w:color w:val="000000"/>
                <w:sz w:val="20"/>
                <w:szCs w:val="20"/>
                <w:lang w:val="en-US" w:eastAsia="pt-BR"/>
              </w:rPr>
              <w:t xml:space="preserve"> (low to moderate strength of evidence)</w:t>
            </w:r>
            <w:r w:rsidRPr="005C470C">
              <w:rPr>
                <w:rFonts w:ascii="Times New Roman" w:eastAsia="Times New Roman" w:hAnsi="Times New Roman" w:cs="Times New Roman"/>
                <w:color w:val="000000"/>
                <w:sz w:val="20"/>
                <w:szCs w:val="20"/>
                <w:lang w:val="en-US" w:eastAsia="pt-BR"/>
              </w:rPr>
              <w:t xml:space="preserve">; </w:t>
            </w:r>
            <w:r w:rsidR="00693232" w:rsidRPr="005C470C">
              <w:rPr>
                <w:rFonts w:ascii="Times New Roman" w:eastAsia="Times New Roman" w:hAnsi="Times New Roman" w:cs="Times New Roman"/>
                <w:color w:val="000000"/>
                <w:sz w:val="20"/>
                <w:szCs w:val="20"/>
                <w:lang w:val="en-US" w:eastAsia="pt-BR"/>
              </w:rPr>
              <w:t>Demineralized bovine bone mineral</w:t>
            </w:r>
            <w:r w:rsidRPr="005C470C">
              <w:rPr>
                <w:rFonts w:ascii="Times New Roman" w:eastAsia="Times New Roman" w:hAnsi="Times New Roman" w:cs="Times New Roman"/>
                <w:color w:val="000000"/>
                <w:sz w:val="20"/>
                <w:szCs w:val="20"/>
                <w:lang w:val="en-US" w:eastAsia="pt-BR"/>
              </w:rPr>
              <w:t xml:space="preserve"> improved clinical outcomes of both EMD and resorbable GTR compared with </w:t>
            </w:r>
            <w:r w:rsidR="00693232" w:rsidRPr="005C470C">
              <w:rPr>
                <w:rFonts w:ascii="Times New Roman" w:eastAsia="Times New Roman" w:hAnsi="Times New Roman" w:cs="Times New Roman"/>
                <w:color w:val="000000"/>
                <w:sz w:val="20"/>
                <w:szCs w:val="20"/>
                <w:lang w:val="en-US" w:eastAsia="pt-BR"/>
              </w:rPr>
              <w:t>open flap for debridement (OFD)</w:t>
            </w:r>
            <w:r w:rsidRPr="005C470C">
              <w:rPr>
                <w:rFonts w:ascii="Times New Roman" w:eastAsia="Times New Roman" w:hAnsi="Times New Roman" w:cs="Times New Roman"/>
                <w:color w:val="000000"/>
                <w:sz w:val="20"/>
                <w:szCs w:val="20"/>
                <w:lang w:val="en-US" w:eastAsia="pt-BR"/>
              </w:rPr>
              <w:t xml:space="preserve">; Non-resorbable GTR provides higher benefit compared with OFD; however, increased patient morbidity and incidence of post-operative </w:t>
            </w:r>
            <w:r w:rsidRPr="005C470C">
              <w:rPr>
                <w:rFonts w:ascii="Times New Roman" w:eastAsia="Times New Roman" w:hAnsi="Times New Roman" w:cs="Times New Roman"/>
                <w:color w:val="000000"/>
                <w:sz w:val="20"/>
                <w:szCs w:val="20"/>
                <w:lang w:val="en-US" w:eastAsia="pt-BR"/>
              </w:rPr>
              <w:lastRenderedPageBreak/>
              <w:t>complications; Papillary preservation flaps improve the clinical outcomes and should be considered a surgical pre-requisite when performing any regeneration procedure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3195B59"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587100D4" w14:textId="77777777" w:rsidTr="00114AF5">
        <w:trPr>
          <w:trHeight w:val="20"/>
        </w:trPr>
        <w:tc>
          <w:tcPr>
            <w:tcW w:w="1135" w:type="dxa"/>
            <w:shd w:val="clear" w:color="auto" w:fill="auto"/>
            <w:vAlign w:val="center"/>
            <w:hideMark/>
          </w:tcPr>
          <w:p w14:paraId="78B23EFD"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Niu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&lt;EndNote&gt;&lt;Cite&gt;&lt;Author&gt;Niu&lt;/Author&gt;&lt;Year&gt;2020&lt;/Year&gt;&lt;RecNum&gt;20967&lt;/RecNum&gt;&lt;DisplayText&gt;&lt;style face="superscript"&gt;72&lt;/style&gt;&lt;/DisplayText&gt;&lt;record&gt;&lt;rec-number&gt;20967&lt;/rec-number&gt;&lt;foreign-keys&gt;&lt;key app="EN" db-id="f5fv5a2shx52dqesxzmpffeqzt5ffxae2vev" timestamp="1607902584"&gt;20967&lt;/key&gt;&lt;/foreign-keys&gt;&lt;ref-type name="Journal Article"&gt;17&lt;/ref-type&gt;&lt;contributors&gt;&lt;authors&gt;&lt;author&gt;Niu, Xiaowen&lt;/author&gt;&lt;author&gt;Di Carlo, Gabriele&lt;/author&gt;&lt;author&gt;Cornelis, Marie A&lt;/author&gt;&lt;author&gt;Cattaneo, Paolo M&lt;/author&gt;&lt;/authors&gt;&lt;/contributors&gt;&lt;titles&gt;&lt;title&gt;Three‐dimensional analyses of short‐and long‐term effects of rapid maxillary expansion on nasal cavity and upper airway: A systematic review and meta‐analysis&lt;/title&gt;&lt;secondary-title&gt;Orthodontics &amp;amp; Craniofacial Research&lt;/secondary-title&gt;&lt;/titles&gt;&lt;periodical&gt;&lt;full-title&gt;Orthod Craniofac Res&lt;/full-title&gt;&lt;abbr-1&gt;Orthodontics &amp;amp; craniofacial research&lt;/abbr-1&gt;&lt;/periodical&gt;&lt;dates&gt;&lt;year&gt;2020&lt;/year&gt;&lt;/dates&gt;&lt;isbn&gt;1601-6335&lt;/isbn&gt;&lt;urls&gt;&lt;/urls&gt;&lt;/record&gt;&lt;/Cite&gt;&lt;/EndNote&gt;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72</w:t>
            </w:r>
            <w:r w:rsidR="0008652B" w:rsidRPr="005C470C">
              <w:rPr>
                <w:rFonts w:ascii="Times New Roman" w:eastAsia="Times New Roman" w:hAnsi="Times New Roman" w:cs="Times New Roman"/>
                <w:sz w:val="20"/>
                <w:szCs w:val="20"/>
                <w:lang w:eastAsia="pt-BR"/>
              </w:rPr>
              <w:fldChar w:fldCharType="end"/>
            </w:r>
          </w:p>
          <w:p w14:paraId="354C6FF2" w14:textId="5592040C"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Denmark</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3619888"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Orthodontics &amp; craniofacial research</w:t>
            </w:r>
          </w:p>
          <w:p w14:paraId="506F7626" w14:textId="5532A89B"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(1.455)</w:t>
            </w:r>
          </w:p>
        </w:tc>
        <w:tc>
          <w:tcPr>
            <w:tcW w:w="1418" w:type="dxa"/>
            <w:shd w:val="clear" w:color="auto" w:fill="auto"/>
            <w:vAlign w:val="center"/>
            <w:hideMark/>
          </w:tcPr>
          <w:p w14:paraId="5F146479"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2C5F598A" w14:textId="1AFD106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three-dimensional (3D) changes occurring at short- and long-term follow-up after rapid maxillary expansion (RME) in nasal cavity (NC) and upper airway (UA) in growing patients</w:t>
            </w:r>
          </w:p>
        </w:tc>
        <w:tc>
          <w:tcPr>
            <w:tcW w:w="1134" w:type="dxa"/>
            <w:shd w:val="clear" w:color="auto" w:fill="auto"/>
            <w:vAlign w:val="center"/>
            <w:hideMark/>
          </w:tcPr>
          <w:p w14:paraId="60FAC5F8" w14:textId="1F19609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Growing patients (using a cut-off age of 18</w:t>
            </w:r>
            <w:r w:rsidR="00693232"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w:t>
            </w:r>
            <w:r w:rsidR="00693232"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10 patients or more in each study (as a total number of participants)</w:t>
            </w:r>
          </w:p>
        </w:tc>
        <w:tc>
          <w:tcPr>
            <w:tcW w:w="1276" w:type="dxa"/>
            <w:shd w:val="clear" w:color="auto" w:fill="auto"/>
            <w:vAlign w:val="center"/>
            <w:hideMark/>
          </w:tcPr>
          <w:p w14:paraId="0F8995D6" w14:textId="603A5D1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Rapid maxillary expansion</w:t>
            </w:r>
            <w:r w:rsidR="00693232"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RME appliance left in place for retention</w:t>
            </w:r>
          </w:p>
        </w:tc>
        <w:tc>
          <w:tcPr>
            <w:tcW w:w="1418" w:type="dxa"/>
            <w:shd w:val="clear" w:color="auto" w:fill="auto"/>
            <w:vAlign w:val="center"/>
            <w:hideMark/>
          </w:tcPr>
          <w:p w14:paraId="2C45E4F2"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Same patients at baseline compared with post-expansion or post-retention</w:t>
            </w:r>
          </w:p>
        </w:tc>
        <w:tc>
          <w:tcPr>
            <w:tcW w:w="1275" w:type="dxa"/>
            <w:shd w:val="clear" w:color="auto" w:fill="auto"/>
            <w:vAlign w:val="center"/>
            <w:hideMark/>
          </w:tcPr>
          <w:p w14:paraId="106CE63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Differences in the nasal cavity and upper airway (including nasopharynx, oropharynx and hypopharynx) were evaluated by three-dimensional imaging (CT, CBCT, or MRI)</w:t>
            </w:r>
          </w:p>
        </w:tc>
        <w:tc>
          <w:tcPr>
            <w:tcW w:w="1134" w:type="dxa"/>
            <w:shd w:val="clear" w:color="auto" w:fill="auto"/>
            <w:vAlign w:val="center"/>
            <w:hideMark/>
          </w:tcPr>
          <w:p w14:paraId="3CC89EB4" w14:textId="7EF25A7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or non-</w:t>
            </w:r>
            <w:r w:rsidR="00693232" w:rsidRPr="005C470C">
              <w:rPr>
                <w:rFonts w:ascii="Times New Roman" w:eastAsia="Times New Roman" w:hAnsi="Times New Roman" w:cs="Times New Roman"/>
                <w:color w:val="000000"/>
                <w:sz w:val="20"/>
                <w:szCs w:val="20"/>
                <w:lang w:val="en-US" w:eastAsia="pt-BR"/>
              </w:rPr>
              <w:t>RCT</w:t>
            </w:r>
            <w:r w:rsidRPr="005C470C">
              <w:rPr>
                <w:rFonts w:ascii="Times New Roman" w:eastAsia="Times New Roman" w:hAnsi="Times New Roman" w:cs="Times New Roman"/>
                <w:color w:val="000000"/>
                <w:sz w:val="20"/>
                <w:szCs w:val="20"/>
                <w:lang w:val="en-US" w:eastAsia="pt-BR"/>
              </w:rPr>
              <w:t>, cohort studies (n=27)</w:t>
            </w:r>
          </w:p>
        </w:tc>
        <w:tc>
          <w:tcPr>
            <w:tcW w:w="567" w:type="dxa"/>
            <w:shd w:val="clear" w:color="auto" w:fill="auto"/>
            <w:vAlign w:val="center"/>
            <w:hideMark/>
          </w:tcPr>
          <w:p w14:paraId="777D273E"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7577D25" w14:textId="756ACD33" w:rsidR="006226A8" w:rsidRPr="005C470C" w:rsidRDefault="00693232"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w:t>
            </w:r>
            <w:r w:rsidR="006226A8" w:rsidRPr="005C470C">
              <w:rPr>
                <w:rFonts w:ascii="Times New Roman" w:eastAsia="Times New Roman" w:hAnsi="Times New Roman" w:cs="Times New Roman"/>
                <w:color w:val="000000"/>
                <w:sz w:val="20"/>
                <w:szCs w:val="20"/>
                <w:lang w:val="en-US" w:eastAsia="pt-BR"/>
              </w:rPr>
              <w:t xml:space="preserve"> short-term increase in nasopharynx and oropharynx volume could be observed. RME seems to enlarge the nasal airway in a 3</w:t>
            </w:r>
            <w:r w:rsidR="00434FEC" w:rsidRPr="005C470C">
              <w:rPr>
                <w:rFonts w:ascii="Times New Roman" w:eastAsia="Times New Roman" w:hAnsi="Times New Roman" w:cs="Times New Roman"/>
                <w:color w:val="000000"/>
                <w:sz w:val="20"/>
                <w:szCs w:val="20"/>
                <w:lang w:val="en-US" w:eastAsia="pt-BR"/>
              </w:rPr>
              <w:t>mo</w:t>
            </w:r>
            <w:r w:rsidR="006226A8" w:rsidRPr="005C470C">
              <w:rPr>
                <w:rFonts w:ascii="Times New Roman" w:eastAsia="Times New Roman" w:hAnsi="Times New Roman" w:cs="Times New Roman"/>
                <w:color w:val="000000"/>
                <w:sz w:val="20"/>
                <w:szCs w:val="20"/>
                <w:lang w:val="en-US" w:eastAsia="pt-BR"/>
              </w:rPr>
              <w:t xml:space="preserve"> retention period as well, including the NC and nasopharynx, but the results could not be demonstrated to be stable in the long time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268C598" w14:textId="5B0F4F8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693232" w:rsidRPr="005C470C">
              <w:rPr>
                <w:rFonts w:ascii="Times New Roman" w:eastAsia="Times New Roman" w:hAnsi="Times New Roman" w:cs="Times New Roman"/>
                <w:color w:val="000000"/>
                <w:sz w:val="20"/>
                <w:szCs w:val="20"/>
                <w:lang w:val="en-US" w:eastAsia="pt-BR"/>
              </w:rPr>
              <w:t xml:space="preserve"> – These results should be considered with some caution due to the low quality of evidence reported</w:t>
            </w:r>
            <w:r w:rsidR="00B0457E">
              <w:rPr>
                <w:rFonts w:ascii="Times New Roman" w:eastAsia="Times New Roman" w:hAnsi="Times New Roman" w:cs="Times New Roman"/>
                <w:color w:val="000000"/>
                <w:sz w:val="20"/>
                <w:szCs w:val="20"/>
                <w:lang w:val="en-US" w:eastAsia="pt-BR"/>
              </w:rPr>
              <w:t>.</w:t>
            </w:r>
          </w:p>
        </w:tc>
      </w:tr>
      <w:tr w:rsidR="00925DE6" w:rsidRPr="005C470C" w14:paraId="2106021C" w14:textId="77777777" w:rsidTr="00114AF5">
        <w:trPr>
          <w:trHeight w:val="20"/>
        </w:trPr>
        <w:tc>
          <w:tcPr>
            <w:tcW w:w="1135" w:type="dxa"/>
            <w:shd w:val="clear" w:color="auto" w:fill="auto"/>
            <w:vAlign w:val="center"/>
            <w:hideMark/>
          </w:tcPr>
          <w:p w14:paraId="7E601C3D" w14:textId="1E33C44D" w:rsidR="00925DE6" w:rsidRDefault="00925DE6" w:rsidP="002F6AEF">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Oliveira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&lt;EndNote&gt;&lt;Cite&gt;&lt;Author&gt;Oliveira&lt;/Author&gt;&lt;Year&gt;2020&lt;/Year&gt;&lt;RecNum&gt;20990&lt;/RecNum&gt;&lt;DisplayText&gt;&lt;style face="superscript"&gt;73&lt;/style&gt;&lt;/DisplayText&gt;&lt;record&gt;&lt;rec-number&gt;20990&lt;/rec-number&gt;&lt;foreign-keys&gt;&lt;key app="EN" db-id="f5fv5a2shx52dqesxzmpffeqzt5ffxae2vev" timestamp="1607902594"&gt;20990&lt;/key&gt;&lt;/foreign-keys&gt;&lt;ref-type name="Journal Article"&gt;17&lt;/ref-type&gt;&lt;contributors&gt;&lt;authors&gt;&lt;author&gt;Oliveira, S Rezende&lt;/author&gt;&lt;author&gt;Almeida, T Fernandes Araújo&lt;/author&gt;&lt;author&gt;da Silva, T Aparecida&lt;/author&gt;&lt;author&gt;Mesquita, R Alves&lt;/author&gt;&lt;author&gt;Abreu, L Guimarães&lt;/author&gt;&lt;/authors&gt;&lt;/contributors&gt;&lt;titles&gt;&lt;title&gt;Comparison of tissue artifacts in punch and scalpel biopsies of oral and maxillofacial lesions: A systematic review and meta-analysis&lt;/title&gt;&lt;secondary-title&gt;Journal of stomatology, oral and maxillofacial surgery&lt;/secondary-title&gt;&lt;/titles&gt;&lt;periodical&gt;&lt;full-title&gt;J Stomatol Oral Maxillofac Surg&lt;/full-title&gt;&lt;abbr-1&gt;Journal of stomatology, oral and maxillofacial surgery&lt;/abbr-1&gt;&lt;/periodical&gt;&lt;dates&gt;&lt;year&gt;2020&lt;/year&gt;&lt;/dates&gt;&lt;isbn&gt;2468-7855&lt;/isbn&gt;&lt;urls&gt;&lt;/urls&gt;&lt;/record&gt;&lt;/Cite&gt;&lt;/EndNote&gt;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73</w:t>
            </w:r>
            <w:r w:rsidR="0008652B" w:rsidRPr="005C470C">
              <w:rPr>
                <w:rFonts w:ascii="Times New Roman" w:eastAsia="Times New Roman" w:hAnsi="Times New Roman" w:cs="Times New Roman"/>
                <w:sz w:val="20"/>
                <w:szCs w:val="20"/>
                <w:lang w:eastAsia="pt-BR"/>
              </w:rPr>
              <w:fldChar w:fldCharType="end"/>
            </w:r>
          </w:p>
          <w:p w14:paraId="2FE52FA1" w14:textId="53D13364" w:rsidR="00C53143" w:rsidRPr="005C470C" w:rsidRDefault="00C53143" w:rsidP="002F6AEF">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5D9724B3" w14:textId="77777777" w:rsidR="00925DE6"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Journal of stomatology, oral and maxillofa</w:t>
            </w:r>
            <w:r w:rsidRPr="00BC17DB">
              <w:rPr>
                <w:rFonts w:ascii="Times New Roman" w:eastAsia="Times New Roman" w:hAnsi="Times New Roman" w:cs="Times New Roman"/>
                <w:sz w:val="20"/>
                <w:szCs w:val="20"/>
                <w:lang w:val="en-US" w:eastAsia="pt-BR"/>
              </w:rPr>
              <w:lastRenderedPageBreak/>
              <w:t>cial surgery</w:t>
            </w:r>
          </w:p>
          <w:p w14:paraId="0660F6EE" w14:textId="5419643B"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(1.152)</w:t>
            </w:r>
          </w:p>
        </w:tc>
        <w:tc>
          <w:tcPr>
            <w:tcW w:w="1418" w:type="dxa"/>
            <w:shd w:val="clear" w:color="auto" w:fill="auto"/>
            <w:vAlign w:val="center"/>
            <w:hideMark/>
          </w:tcPr>
          <w:p w14:paraId="50EDB35B" w14:textId="77777777" w:rsidR="00925DE6" w:rsidRPr="005C470C" w:rsidRDefault="00925DE6"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Oral and Maxillofacial Surgery</w:t>
            </w:r>
          </w:p>
        </w:tc>
        <w:tc>
          <w:tcPr>
            <w:tcW w:w="1275" w:type="dxa"/>
            <w:shd w:val="clear" w:color="auto" w:fill="auto"/>
            <w:vAlign w:val="center"/>
            <w:hideMark/>
          </w:tcPr>
          <w:p w14:paraId="4A0696AB" w14:textId="77777777" w:rsidR="00925DE6" w:rsidRPr="005C470C" w:rsidRDefault="00925DE6" w:rsidP="002F6AEF">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compare the occurrence of tissue artifacts in punch and </w:t>
            </w:r>
            <w:r w:rsidRPr="005C470C">
              <w:rPr>
                <w:rFonts w:ascii="Times New Roman" w:eastAsia="Times New Roman" w:hAnsi="Times New Roman" w:cs="Times New Roman"/>
                <w:sz w:val="20"/>
                <w:szCs w:val="20"/>
                <w:lang w:val="en-US" w:eastAsia="pt-BR"/>
              </w:rPr>
              <w:lastRenderedPageBreak/>
              <w:t>scalpel biopsies of oral and maxillofacial lesions</w:t>
            </w:r>
          </w:p>
        </w:tc>
        <w:tc>
          <w:tcPr>
            <w:tcW w:w="1134" w:type="dxa"/>
            <w:shd w:val="clear" w:color="auto" w:fill="auto"/>
            <w:vAlign w:val="center"/>
            <w:hideMark/>
          </w:tcPr>
          <w:p w14:paraId="79CEEFCA" w14:textId="77777777"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Individuals who underwent incisional biopsies of oral and </w:t>
            </w:r>
            <w:r w:rsidRPr="005C470C">
              <w:rPr>
                <w:rFonts w:ascii="Times New Roman" w:eastAsia="Times New Roman" w:hAnsi="Times New Roman" w:cs="Times New Roman"/>
                <w:color w:val="000000"/>
                <w:sz w:val="20"/>
                <w:szCs w:val="20"/>
                <w:lang w:val="en-US" w:eastAsia="pt-BR"/>
              </w:rPr>
              <w:lastRenderedPageBreak/>
              <w:t>maxillofacial lesions</w:t>
            </w:r>
          </w:p>
        </w:tc>
        <w:tc>
          <w:tcPr>
            <w:tcW w:w="1276" w:type="dxa"/>
            <w:shd w:val="clear" w:color="auto" w:fill="auto"/>
            <w:vAlign w:val="center"/>
            <w:hideMark/>
          </w:tcPr>
          <w:p w14:paraId="12D21823" w14:textId="77777777" w:rsidR="00925DE6" w:rsidRPr="005C470C" w:rsidRDefault="00925DE6" w:rsidP="002F6AEF">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Punch biopsy</w:t>
            </w:r>
          </w:p>
        </w:tc>
        <w:tc>
          <w:tcPr>
            <w:tcW w:w="1418" w:type="dxa"/>
            <w:shd w:val="clear" w:color="auto" w:fill="auto"/>
            <w:vAlign w:val="center"/>
            <w:hideMark/>
          </w:tcPr>
          <w:p w14:paraId="20F4C504" w14:textId="77777777" w:rsidR="00925DE6" w:rsidRPr="005C470C" w:rsidRDefault="00925DE6" w:rsidP="002F6AEF">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Scalpel biopsy</w:t>
            </w:r>
          </w:p>
        </w:tc>
        <w:tc>
          <w:tcPr>
            <w:tcW w:w="1275" w:type="dxa"/>
            <w:shd w:val="clear" w:color="auto" w:fill="auto"/>
            <w:vAlign w:val="center"/>
            <w:hideMark/>
          </w:tcPr>
          <w:p w14:paraId="6936FD2C" w14:textId="77777777" w:rsidR="00925DE6" w:rsidRPr="005C470C" w:rsidRDefault="00925DE6" w:rsidP="002F6AEF">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Occurrence of tissue</w:t>
            </w:r>
            <w:r w:rsidRPr="005C470C">
              <w:rPr>
                <w:rFonts w:ascii="Times New Roman" w:eastAsia="Times New Roman" w:hAnsi="Times New Roman" w:cs="Times New Roman"/>
                <w:color w:val="000000"/>
                <w:sz w:val="20"/>
                <w:szCs w:val="20"/>
                <w:lang w:eastAsia="pt-BR"/>
              </w:rPr>
              <w:br/>
              <w:t xml:space="preserve">artifacts </w:t>
            </w:r>
          </w:p>
        </w:tc>
        <w:tc>
          <w:tcPr>
            <w:tcW w:w="1134" w:type="dxa"/>
            <w:shd w:val="clear" w:color="auto" w:fill="auto"/>
            <w:vAlign w:val="center"/>
            <w:hideMark/>
          </w:tcPr>
          <w:p w14:paraId="7D9B6F33" w14:textId="77777777"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Non-randomized studies (n=1) and RCTs (n=3)</w:t>
            </w:r>
          </w:p>
        </w:tc>
        <w:tc>
          <w:tcPr>
            <w:tcW w:w="567" w:type="dxa"/>
            <w:shd w:val="clear" w:color="auto" w:fill="auto"/>
            <w:vAlign w:val="center"/>
            <w:hideMark/>
          </w:tcPr>
          <w:p w14:paraId="4F05FF26" w14:textId="77777777" w:rsidR="00925DE6" w:rsidRPr="005C470C" w:rsidRDefault="00925DE6" w:rsidP="002F6AEF">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41A25F4" w14:textId="1D4F1198"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Biopsies of oral and maxillofacial lesions, especially premalignant and squamous cell carcinoma, </w:t>
            </w:r>
            <w:r w:rsidRPr="005C470C">
              <w:rPr>
                <w:rFonts w:ascii="Times New Roman" w:eastAsia="Times New Roman" w:hAnsi="Times New Roman" w:cs="Times New Roman"/>
                <w:color w:val="000000"/>
                <w:sz w:val="20"/>
                <w:szCs w:val="20"/>
                <w:lang w:val="en-US" w:eastAsia="pt-BR"/>
              </w:rPr>
              <w:lastRenderedPageBreak/>
              <w:t>performed by means of punch were less likely to produce artifacts, such as crush, fragmentation, splits and hemorrhage than biopsies performed with scalpel</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A2ED09D" w14:textId="77777777"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Y </w:t>
            </w:r>
          </w:p>
        </w:tc>
      </w:tr>
      <w:tr w:rsidR="002914BB" w:rsidRPr="00114AF5" w14:paraId="1146A294" w14:textId="77777777" w:rsidTr="00114AF5">
        <w:trPr>
          <w:trHeight w:val="20"/>
        </w:trPr>
        <w:tc>
          <w:tcPr>
            <w:tcW w:w="1135" w:type="dxa"/>
            <w:shd w:val="clear" w:color="auto" w:fill="auto"/>
            <w:vAlign w:val="center"/>
            <w:hideMark/>
          </w:tcPr>
          <w:p w14:paraId="2B037E29"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Omori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&lt;EndNote&gt;&lt;Cite&gt;&lt;Author&gt;Omori&lt;/Author&gt;&lt;Year&gt;2020&lt;/Year&gt;&lt;RecNum&gt;20966&lt;/RecNum&gt;&lt;DisplayText&gt;&lt;style face="superscript"&gt;74&lt;/style&gt;&lt;/DisplayText&gt;&lt;record&gt;&lt;rec-number&gt;20966&lt;/rec-number&gt;&lt;foreign-keys&gt;&lt;key app="EN" db-id="f5fv5a2shx52dqesxzmpffeqzt5ffxae2vev" timestamp="1607902584"&gt;20966&lt;/key&gt;&lt;/foreign-keys&gt;&lt;ref-type name="Journal Article"&gt;17&lt;/ref-type&gt;&lt;contributors&gt;&lt;authors&gt;&lt;author&gt;Omori, Yuki&lt;/author&gt;&lt;author&gt;Lang, Niklaus P&lt;/author&gt;&lt;author&gt;Botticelli, Daniele&lt;/author&gt;&lt;author&gt;Papageorgiou, Spyridon N&lt;/author&gt;&lt;author&gt;Baba, Shunsuke&lt;/author&gt;&lt;/authors&gt;&lt;/contributors&gt;&lt;titles&gt;&lt;title&gt;Biological and mechanical complications of angulated abutments connected to fixed dental prostheses: A systematic review with meta‐analysis&lt;/title&gt;&lt;secondary-title&gt;Journal of oral rehabilitation&lt;/secondary-title&gt;&lt;/titles&gt;&lt;periodical&gt;&lt;full-title&gt;J Oral Rehabil&lt;/full-title&gt;&lt;abbr-1&gt;Journal of oral rehabilitation&lt;/abbr-1&gt;&lt;/periodical&gt;&lt;pages&gt;101-111&lt;/pages&gt;&lt;volume&gt;47&lt;/volume&gt;&lt;number&gt;1&lt;/number&gt;&lt;dates&gt;&lt;year&gt;2020&lt;/year&gt;&lt;/dates&gt;&lt;isbn&gt;0305-182X&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74</w:t>
            </w:r>
            <w:r w:rsidR="0008652B" w:rsidRPr="005C470C">
              <w:rPr>
                <w:rFonts w:ascii="Times New Roman" w:eastAsia="Times New Roman" w:hAnsi="Times New Roman" w:cs="Times New Roman"/>
                <w:sz w:val="20"/>
                <w:szCs w:val="20"/>
                <w:lang w:eastAsia="pt-BR"/>
              </w:rPr>
              <w:fldChar w:fldCharType="end"/>
            </w:r>
          </w:p>
          <w:p w14:paraId="0239B018" w14:textId="7CCD9526"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Japan</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573DA9D"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oral rehabilitation</w:t>
            </w:r>
          </w:p>
          <w:p w14:paraId="7A252B7B" w14:textId="23522047"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(2.304)</w:t>
            </w:r>
          </w:p>
        </w:tc>
        <w:tc>
          <w:tcPr>
            <w:tcW w:w="1418" w:type="dxa"/>
            <w:shd w:val="clear" w:color="auto" w:fill="auto"/>
            <w:vAlign w:val="center"/>
            <w:hideMark/>
          </w:tcPr>
          <w:p w14:paraId="7F0218A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0E799385" w14:textId="38C38090"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biological and mechanical complications of angulated abutments on full‐arch and partial jaw rehabilitations with a follow‐up for at least 1</w:t>
            </w:r>
            <w:r w:rsidR="00693232" w:rsidRPr="005C470C">
              <w:rPr>
                <w:rFonts w:ascii="Times New Roman" w:eastAsia="Times New Roman" w:hAnsi="Times New Roman" w:cs="Times New Roman"/>
                <w:sz w:val="20"/>
                <w:szCs w:val="20"/>
                <w:lang w:val="en-US" w:eastAsia="pt-BR"/>
              </w:rPr>
              <w:t>y</w:t>
            </w:r>
          </w:p>
        </w:tc>
        <w:tc>
          <w:tcPr>
            <w:tcW w:w="1134" w:type="dxa"/>
            <w:shd w:val="clear" w:color="auto" w:fill="auto"/>
            <w:vAlign w:val="center"/>
            <w:hideMark/>
          </w:tcPr>
          <w:p w14:paraId="691D13BB"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Partial or fully edentulous adult patients</w:t>
            </w:r>
          </w:p>
        </w:tc>
        <w:tc>
          <w:tcPr>
            <w:tcW w:w="1276" w:type="dxa"/>
            <w:shd w:val="clear" w:color="auto" w:fill="auto"/>
            <w:vAlign w:val="center"/>
            <w:hideMark/>
          </w:tcPr>
          <w:p w14:paraId="1B8AD28A" w14:textId="4B40D44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Angulated abutments connected to fixed dental</w:t>
            </w:r>
            <w:r w:rsidR="00693232"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prostheses (FDPs)</w:t>
            </w:r>
          </w:p>
        </w:tc>
        <w:tc>
          <w:tcPr>
            <w:tcW w:w="1418" w:type="dxa"/>
            <w:shd w:val="clear" w:color="auto" w:fill="auto"/>
            <w:vAlign w:val="center"/>
            <w:hideMark/>
          </w:tcPr>
          <w:p w14:paraId="37BBB74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Straight abutments connected to FDPs</w:t>
            </w:r>
          </w:p>
        </w:tc>
        <w:tc>
          <w:tcPr>
            <w:tcW w:w="1275" w:type="dxa"/>
            <w:shd w:val="clear" w:color="auto" w:fill="auto"/>
            <w:vAlign w:val="center"/>
            <w:hideMark/>
          </w:tcPr>
          <w:p w14:paraId="3773BD2B" w14:textId="06DE595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Biological and mechanical complications after at least 1</w:t>
            </w:r>
            <w:r w:rsidR="00434FEC"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of follow-up</w:t>
            </w:r>
          </w:p>
        </w:tc>
        <w:tc>
          <w:tcPr>
            <w:tcW w:w="1134" w:type="dxa"/>
            <w:shd w:val="clear" w:color="auto" w:fill="auto"/>
            <w:vAlign w:val="center"/>
            <w:hideMark/>
          </w:tcPr>
          <w:p w14:paraId="6E2CFD4D" w14:textId="49AE9899"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Non-</w:t>
            </w:r>
            <w:r w:rsidR="00693232" w:rsidRPr="005C470C">
              <w:rPr>
                <w:rFonts w:ascii="Times New Roman" w:eastAsia="Times New Roman" w:hAnsi="Times New Roman" w:cs="Times New Roman"/>
                <w:sz w:val="20"/>
                <w:szCs w:val="20"/>
                <w:lang w:val="en-US" w:eastAsia="pt-BR"/>
              </w:rPr>
              <w:t>RCTs</w:t>
            </w:r>
            <w:r w:rsidRPr="005C470C">
              <w:rPr>
                <w:rFonts w:ascii="Times New Roman" w:eastAsia="Times New Roman" w:hAnsi="Times New Roman" w:cs="Times New Roman"/>
                <w:sz w:val="20"/>
                <w:szCs w:val="20"/>
                <w:lang w:val="en-US" w:eastAsia="pt-BR"/>
              </w:rPr>
              <w:t xml:space="preserve"> in humans:  prospective (n=3) and retrospective (n=6) cohort studies</w:t>
            </w:r>
          </w:p>
        </w:tc>
        <w:tc>
          <w:tcPr>
            <w:tcW w:w="567" w:type="dxa"/>
            <w:shd w:val="clear" w:color="auto" w:fill="auto"/>
            <w:vAlign w:val="center"/>
            <w:hideMark/>
          </w:tcPr>
          <w:p w14:paraId="4EFE554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E1A6AA0" w14:textId="4EDED14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 statistically and clinically relevant higher implant loss was disclosed for implant supporting angulated compared to straight abutments. Similar mechanical abutment complications were seen between angulated and straight abutments. The failures were mostly associated with the retention screw while screw fracture was the second most frequent event. Angulated abutments were associated with a statistically significant increase </w:t>
            </w:r>
            <w:r w:rsidRPr="005C470C">
              <w:rPr>
                <w:rFonts w:ascii="Times New Roman" w:eastAsia="Times New Roman" w:hAnsi="Times New Roman" w:cs="Times New Roman"/>
                <w:color w:val="000000"/>
                <w:sz w:val="20"/>
                <w:szCs w:val="20"/>
                <w:lang w:val="en-US" w:eastAsia="pt-BR"/>
              </w:rPr>
              <w:lastRenderedPageBreak/>
              <w:t>in MBL 1</w:t>
            </w:r>
            <w:r w:rsidR="00693232"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after insertion compared to straight abutments, however, with a difference between groups of limited clinical interest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67929D5" w14:textId="7D62B5A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Y - statistically and clinically relevant higher implant loss was disclosed for implant supporting angulated compared to straight abutments</w:t>
            </w:r>
            <w:r w:rsidR="00B0457E">
              <w:rPr>
                <w:rFonts w:ascii="Times New Roman" w:eastAsia="Times New Roman" w:hAnsi="Times New Roman" w:cs="Times New Roman"/>
                <w:color w:val="000000"/>
                <w:sz w:val="20"/>
                <w:szCs w:val="20"/>
                <w:lang w:val="en-US" w:eastAsia="pt-BR"/>
              </w:rPr>
              <w:t>.</w:t>
            </w:r>
          </w:p>
        </w:tc>
      </w:tr>
      <w:tr w:rsidR="002914BB" w:rsidRPr="00114AF5" w14:paraId="7F966BE1" w14:textId="77777777" w:rsidTr="00114AF5">
        <w:trPr>
          <w:trHeight w:val="3809"/>
        </w:trPr>
        <w:tc>
          <w:tcPr>
            <w:tcW w:w="1135" w:type="dxa"/>
            <w:shd w:val="clear" w:color="auto" w:fill="auto"/>
            <w:vAlign w:val="center"/>
            <w:hideMark/>
          </w:tcPr>
          <w:p w14:paraId="3D943F0B"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Papageorgiou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&lt;EndNote&gt;&lt;Cite&gt;&lt;Author&gt;Papageorgiou&lt;/Author&gt;&lt;Year&gt;2020&lt;/Year&gt;&lt;RecNum&gt;20965&lt;/RecNum&gt;&lt;DisplayText&gt;&lt;style face="superscript"&gt;75&lt;/style&gt;&lt;/DisplayText&gt;&lt;record&gt;&lt;rec-number&gt;20965&lt;/rec-number&gt;&lt;foreign-keys&gt;&lt;key app="EN" db-id="f5fv5a2shx52dqesxzmpffeqzt5ffxae2vev" timestamp="1607902584"&gt;20965&lt;/key&gt;&lt;/foreign-keys&gt;&lt;ref-type name="Journal Article"&gt;17&lt;/ref-type&gt;&lt;contributors&gt;&lt;authors&gt;&lt;author&gt;Papageorgiou, Spyridon N&lt;/author&gt;&lt;author&gt;Koletsi, Despina&lt;/author&gt;&lt;author&gt;Iliadi, Anna&lt;/author&gt;&lt;author&gt;Peltomaki, Timo&lt;/author&gt;&lt;author&gt;Eliades, Theodore&lt;/author&gt;&lt;/authors&gt;&lt;/contributors&gt;&lt;titles&gt;&lt;title&gt;Treatment outcome with orthodontic aligners and fixed appliances: a systematic review with meta-analyses&lt;/title&gt;&lt;secondary-title&gt;European Journal of Orthodontics&lt;/secondary-title&gt;&lt;/titles&gt;&lt;periodical&gt;&lt;full-title&gt;Eur J Orthod&lt;/full-title&gt;&lt;abbr-1&gt;European journal of orthodontics&lt;/abbr-1&gt;&lt;/periodical&gt;&lt;pages&gt;331-343&lt;/pages&gt;&lt;volume&gt;42&lt;/volume&gt;&lt;number&gt;3&lt;/number&gt;&lt;dates&gt;&lt;year&gt;2020&lt;/year&gt;&lt;/dates&gt;&lt;isbn&gt;0141-5387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75</w:t>
            </w:r>
            <w:r w:rsidR="0008652B" w:rsidRPr="005C470C">
              <w:rPr>
                <w:rFonts w:ascii="Times New Roman" w:eastAsia="Times New Roman" w:hAnsi="Times New Roman" w:cs="Times New Roman"/>
                <w:sz w:val="20"/>
                <w:szCs w:val="20"/>
                <w:lang w:eastAsia="pt-BR"/>
              </w:rPr>
              <w:fldChar w:fldCharType="end"/>
            </w:r>
          </w:p>
          <w:p w14:paraId="5DD7C535" w14:textId="7E8BE74C"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Switzerland</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BE25844" w14:textId="7777777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European journal of orthodontics</w:t>
            </w:r>
          </w:p>
          <w:p w14:paraId="39B559FF" w14:textId="4560F6DA" w:rsidR="006226A8"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(2.202)</w:t>
            </w:r>
          </w:p>
        </w:tc>
        <w:tc>
          <w:tcPr>
            <w:tcW w:w="1418" w:type="dxa"/>
            <w:shd w:val="clear" w:color="auto" w:fill="auto"/>
            <w:vAlign w:val="center"/>
            <w:hideMark/>
          </w:tcPr>
          <w:p w14:paraId="7D4A5A02"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286BFEC8"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assess the efficacy of aligners and fixed appliances for comprehensive orthodontic treatment</w:t>
            </w:r>
          </w:p>
        </w:tc>
        <w:tc>
          <w:tcPr>
            <w:tcW w:w="1134" w:type="dxa"/>
            <w:shd w:val="clear" w:color="auto" w:fill="auto"/>
            <w:vAlign w:val="center"/>
            <w:hideMark/>
          </w:tcPr>
          <w:p w14:paraId="521A0277"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Humans under-going orthodontic treatment </w:t>
            </w:r>
          </w:p>
        </w:tc>
        <w:tc>
          <w:tcPr>
            <w:tcW w:w="1276" w:type="dxa"/>
            <w:shd w:val="clear" w:color="auto" w:fill="auto"/>
            <w:vAlign w:val="center"/>
            <w:hideMark/>
          </w:tcPr>
          <w:p w14:paraId="4ADD77D4"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Aligners</w:t>
            </w:r>
          </w:p>
        </w:tc>
        <w:tc>
          <w:tcPr>
            <w:tcW w:w="1418" w:type="dxa"/>
            <w:shd w:val="clear" w:color="auto" w:fill="auto"/>
            <w:vAlign w:val="center"/>
            <w:hideMark/>
          </w:tcPr>
          <w:p w14:paraId="2D4AEFB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Fixed appliances</w:t>
            </w:r>
          </w:p>
        </w:tc>
        <w:tc>
          <w:tcPr>
            <w:tcW w:w="1275" w:type="dxa"/>
            <w:shd w:val="clear" w:color="auto" w:fill="auto"/>
            <w:vAlign w:val="center"/>
            <w:hideMark/>
          </w:tcPr>
          <w:p w14:paraId="2EDBD27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Efficacy and adverse effects</w:t>
            </w:r>
          </w:p>
        </w:tc>
        <w:tc>
          <w:tcPr>
            <w:tcW w:w="1134" w:type="dxa"/>
            <w:shd w:val="clear" w:color="auto" w:fill="auto"/>
            <w:vAlign w:val="center"/>
            <w:hideMark/>
          </w:tcPr>
          <w:p w14:paraId="422610E6" w14:textId="1D9D9B0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(n=4) and non-</w:t>
            </w:r>
            <w:r w:rsidR="00693232" w:rsidRPr="005C470C">
              <w:rPr>
                <w:rFonts w:ascii="Times New Roman" w:eastAsia="Times New Roman" w:hAnsi="Times New Roman" w:cs="Times New Roman"/>
                <w:color w:val="000000"/>
                <w:sz w:val="20"/>
                <w:szCs w:val="20"/>
                <w:lang w:val="en-US" w:eastAsia="pt-BR"/>
              </w:rPr>
              <w:t>RCTs</w:t>
            </w:r>
            <w:r w:rsidRPr="005C470C">
              <w:rPr>
                <w:rFonts w:ascii="Times New Roman" w:eastAsia="Times New Roman" w:hAnsi="Times New Roman" w:cs="Times New Roman"/>
                <w:color w:val="000000"/>
                <w:sz w:val="20"/>
                <w:szCs w:val="20"/>
                <w:lang w:val="en-US" w:eastAsia="pt-BR"/>
              </w:rPr>
              <w:t xml:space="preserve"> (n=7)</w:t>
            </w:r>
          </w:p>
        </w:tc>
        <w:tc>
          <w:tcPr>
            <w:tcW w:w="567" w:type="dxa"/>
            <w:shd w:val="clear" w:color="auto" w:fill="auto"/>
            <w:vAlign w:val="center"/>
            <w:hideMark/>
          </w:tcPr>
          <w:p w14:paraId="49631016"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86CEF3C" w14:textId="5145D7CA" w:rsidR="006226A8" w:rsidRPr="005C470C" w:rsidRDefault="00693232"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w:t>
            </w:r>
            <w:r w:rsidR="006226A8" w:rsidRPr="005C470C">
              <w:rPr>
                <w:rFonts w:ascii="Times New Roman" w:eastAsia="Times New Roman" w:hAnsi="Times New Roman" w:cs="Times New Roman"/>
                <w:color w:val="000000"/>
                <w:sz w:val="20"/>
                <w:szCs w:val="20"/>
                <w:lang w:val="en-US" w:eastAsia="pt-BR"/>
              </w:rPr>
              <w:t xml:space="preserve">rthodontic treatment with aligners is associated with worse treatment outcomes compared to fixed appliances. Treatment duration does not seem to be defined by appliance alone and patient or treatment-related factors might come into play. For adverse outcomes such as </w:t>
            </w:r>
            <w:r w:rsidR="00B63FE6" w:rsidRPr="00B63FE6">
              <w:rPr>
                <w:rFonts w:ascii="Times New Roman" w:eastAsia="Times New Roman" w:hAnsi="Times New Roman" w:cs="Times New Roman"/>
                <w:color w:val="000000"/>
                <w:sz w:val="20"/>
                <w:szCs w:val="20"/>
                <w:lang w:val="en-US" w:eastAsia="pt-BR"/>
              </w:rPr>
              <w:t>External Apical Root Resorption</w:t>
            </w:r>
            <w:r w:rsidR="00B63FE6" w:rsidRPr="005C470C">
              <w:rPr>
                <w:rFonts w:ascii="Times New Roman" w:eastAsia="Times New Roman" w:hAnsi="Times New Roman" w:cs="Times New Roman"/>
                <w:color w:val="000000"/>
                <w:sz w:val="20"/>
                <w:szCs w:val="20"/>
                <w:lang w:val="en-US" w:eastAsia="pt-BR"/>
              </w:rPr>
              <w:t xml:space="preserve"> </w:t>
            </w:r>
            <w:r w:rsidR="00B63FE6">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EARR</w:t>
            </w:r>
            <w:r w:rsidR="00B63FE6">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proclination of lower incisors and development of gingival recessions, limited data exists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0622C96F" w14:textId="550F914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693232" w:rsidRPr="005C470C">
              <w:rPr>
                <w:rFonts w:ascii="Times New Roman" w:eastAsia="Times New Roman" w:hAnsi="Times New Roman" w:cs="Times New Roman"/>
                <w:color w:val="000000"/>
                <w:sz w:val="20"/>
                <w:szCs w:val="20"/>
                <w:lang w:val="en-US" w:eastAsia="pt-BR"/>
              </w:rPr>
              <w:t xml:space="preserve"> - further individual well-conducted trials will be useful in formulating robust conclusions</w:t>
            </w:r>
            <w:r w:rsidR="00B0457E">
              <w:rPr>
                <w:rFonts w:ascii="Times New Roman" w:eastAsia="Times New Roman" w:hAnsi="Times New Roman" w:cs="Times New Roman"/>
                <w:color w:val="000000"/>
                <w:sz w:val="20"/>
                <w:szCs w:val="20"/>
                <w:lang w:val="en-US" w:eastAsia="pt-BR"/>
              </w:rPr>
              <w:t>.</w:t>
            </w:r>
          </w:p>
        </w:tc>
      </w:tr>
      <w:tr w:rsidR="002914BB" w:rsidRPr="00114AF5" w14:paraId="14D56084" w14:textId="77777777" w:rsidTr="00114AF5">
        <w:trPr>
          <w:trHeight w:val="3961"/>
        </w:trPr>
        <w:tc>
          <w:tcPr>
            <w:tcW w:w="1135" w:type="dxa"/>
            <w:shd w:val="clear" w:color="auto" w:fill="auto"/>
            <w:vAlign w:val="center"/>
            <w:hideMark/>
          </w:tcPr>
          <w:p w14:paraId="60C72F80"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lastRenderedPageBreak/>
              <w:t>Pardal-Peláez et al, 2020</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&lt;EndNote&gt;&lt;Cite&gt;&lt;Author&gt;Pardal-Peláez&lt;/Author&gt;&lt;Year&gt;2020&lt;/Year&gt;&lt;RecNum&gt;20964&lt;/RecNum&gt;&lt;DisplayText&gt;&lt;style face="superscript"&gt;76&lt;/style&gt;&lt;/DisplayText&gt;&lt;record&gt;&lt;rec-number&gt;20964&lt;/rec-number&gt;&lt;foreign-keys&gt;&lt;key app="EN" db-id="f5fv5a2shx52dqesxzmpffeqzt5ffxae2vev" timestamp="1607902584"&gt;20964&lt;/key&gt;&lt;/foreign-keys&gt;&lt;ref-type name="Journal Article"&gt;17&lt;/ref-type&gt;&lt;contributors&gt;&lt;authors&gt;&lt;author&gt;Pardal-Peláez, Beatriz&lt;/author&gt;&lt;author&gt;Flores-Fraile, Javier&lt;/author&gt;&lt;author&gt;Pardal-Refoyo, José Luis&lt;/author&gt;&lt;author&gt;Montero, Javier&lt;/author&gt;&lt;/authors&gt;&lt;/contributors&gt;&lt;titles&gt;&lt;title&gt;Implant loss and crestal bone loss in immediate versus delayed load in edentulous mandibles: A systematic review and meta-analysis&lt;/title&gt;&lt;secondary-title&gt;The Journal of Prosthetic Dentistry&lt;/secondary-title&gt;&lt;/titles&gt;&lt;periodical&gt;&lt;full-title&gt;The Journal of Prosthetic Dentistry&lt;/full-title&gt;&lt;/periodical&gt;&lt;dates&gt;&lt;year&gt;2020&lt;/year&gt;&lt;/dates&gt;&lt;isbn&gt;0022-3913&lt;/isbn&gt;&lt;urls&gt;&lt;/urls&gt;&lt;/record&gt;&lt;/Cite&gt;&lt;/EndNote&gt;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76</w:t>
            </w:r>
            <w:r w:rsidR="0008652B" w:rsidRPr="005C470C">
              <w:rPr>
                <w:rFonts w:ascii="Times New Roman" w:eastAsia="Times New Roman" w:hAnsi="Times New Roman" w:cs="Times New Roman"/>
                <w:sz w:val="20"/>
                <w:szCs w:val="20"/>
                <w:lang w:eastAsia="pt-BR"/>
              </w:rPr>
              <w:fldChar w:fldCharType="end"/>
            </w:r>
          </w:p>
          <w:p w14:paraId="48B59EA8" w14:textId="241451B3"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(Spain)</w:t>
            </w:r>
          </w:p>
        </w:tc>
        <w:tc>
          <w:tcPr>
            <w:tcW w:w="992" w:type="dxa"/>
            <w:shd w:val="clear" w:color="auto" w:fill="auto"/>
            <w:vAlign w:val="center"/>
            <w:hideMark/>
          </w:tcPr>
          <w:p w14:paraId="45478062" w14:textId="77777777" w:rsidR="00C53143"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The Journal of Prosthetic Dentistry</w:t>
            </w:r>
          </w:p>
          <w:p w14:paraId="7A94800C" w14:textId="234B18FE" w:rsidR="00C53143"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(2.444)</w:t>
            </w:r>
          </w:p>
        </w:tc>
        <w:tc>
          <w:tcPr>
            <w:tcW w:w="1418" w:type="dxa"/>
            <w:shd w:val="clear" w:color="auto" w:fill="auto"/>
            <w:vAlign w:val="center"/>
            <w:hideMark/>
          </w:tcPr>
          <w:p w14:paraId="2E015794"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04898F21" w14:textId="0292D048"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study immediate (IL) and</w:t>
            </w:r>
            <w:r w:rsidR="007D52E1"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delayed loading (DL) protocols in edentulous mandibles to determine whether differences exist in implant success and crestal bone loss and to evaluate these possible differences in relation to the type of prosthesis and the splinting of the implants</w:t>
            </w:r>
          </w:p>
        </w:tc>
        <w:tc>
          <w:tcPr>
            <w:tcW w:w="1134" w:type="dxa"/>
            <w:shd w:val="clear" w:color="auto" w:fill="auto"/>
            <w:vAlign w:val="center"/>
            <w:hideMark/>
          </w:tcPr>
          <w:p w14:paraId="2C44879B"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who require complete mandibular implant rehabilitation through fixed or removable prostheses</w:t>
            </w:r>
          </w:p>
        </w:tc>
        <w:tc>
          <w:tcPr>
            <w:tcW w:w="1276" w:type="dxa"/>
            <w:shd w:val="clear" w:color="auto" w:fill="auto"/>
            <w:vAlign w:val="center"/>
            <w:hideMark/>
          </w:tcPr>
          <w:p w14:paraId="5C131C00"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Immediate loading</w:t>
            </w:r>
          </w:p>
        </w:tc>
        <w:tc>
          <w:tcPr>
            <w:tcW w:w="1418" w:type="dxa"/>
            <w:shd w:val="clear" w:color="auto" w:fill="auto"/>
            <w:vAlign w:val="center"/>
            <w:hideMark/>
          </w:tcPr>
          <w:p w14:paraId="64260BE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Delayed loading</w:t>
            </w:r>
          </w:p>
        </w:tc>
        <w:tc>
          <w:tcPr>
            <w:tcW w:w="1275" w:type="dxa"/>
            <w:shd w:val="clear" w:color="auto" w:fill="auto"/>
            <w:vAlign w:val="center"/>
            <w:hideMark/>
          </w:tcPr>
          <w:p w14:paraId="22A3B04E"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Implant survival after the first year of implant loading</w:t>
            </w:r>
          </w:p>
        </w:tc>
        <w:tc>
          <w:tcPr>
            <w:tcW w:w="1134" w:type="dxa"/>
            <w:shd w:val="clear" w:color="auto" w:fill="auto"/>
            <w:vAlign w:val="center"/>
            <w:hideMark/>
          </w:tcPr>
          <w:p w14:paraId="7CAF5ED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(n=9)</w:t>
            </w:r>
          </w:p>
        </w:tc>
        <w:tc>
          <w:tcPr>
            <w:tcW w:w="567" w:type="dxa"/>
            <w:shd w:val="clear" w:color="auto" w:fill="auto"/>
            <w:vAlign w:val="center"/>
            <w:hideMark/>
          </w:tcPr>
          <w:p w14:paraId="6ED5B139"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6FCB931" w14:textId="2C20896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risk of early loss (implant loss before </w:t>
            </w:r>
            <w:r w:rsidR="00693232" w:rsidRPr="005C470C">
              <w:rPr>
                <w:rFonts w:ascii="Times New Roman" w:eastAsia="Times New Roman" w:hAnsi="Times New Roman" w:cs="Times New Roman"/>
                <w:color w:val="000000"/>
                <w:sz w:val="20"/>
                <w:szCs w:val="20"/>
                <w:lang w:val="en-US" w:eastAsia="pt-BR"/>
              </w:rPr>
              <w:t>1y</w:t>
            </w:r>
            <w:r w:rsidRPr="005C470C">
              <w:rPr>
                <w:rFonts w:ascii="Times New Roman" w:eastAsia="Times New Roman" w:hAnsi="Times New Roman" w:cs="Times New Roman"/>
                <w:color w:val="000000"/>
                <w:sz w:val="20"/>
                <w:szCs w:val="20"/>
                <w:lang w:val="en-US" w:eastAsia="pt-BR"/>
              </w:rPr>
              <w:t xml:space="preserve">) is greater in immediately loaded implants </w:t>
            </w:r>
            <w:r w:rsidR="00693232" w:rsidRPr="005C470C">
              <w:rPr>
                <w:rFonts w:ascii="Times New Roman" w:eastAsia="Times New Roman" w:hAnsi="Times New Roman" w:cs="Times New Roman"/>
                <w:color w:val="000000"/>
                <w:sz w:val="20"/>
                <w:szCs w:val="20"/>
                <w:lang w:val="en-US" w:eastAsia="pt-BR"/>
              </w:rPr>
              <w:t>(high</w:t>
            </w:r>
            <w:r w:rsidRPr="005C470C">
              <w:rPr>
                <w:rFonts w:ascii="Times New Roman" w:eastAsia="Times New Roman" w:hAnsi="Times New Roman" w:cs="Times New Roman"/>
                <w:color w:val="000000"/>
                <w:sz w:val="20"/>
                <w:szCs w:val="20"/>
                <w:lang w:val="en-US" w:eastAsia="pt-BR"/>
              </w:rPr>
              <w:t xml:space="preserve"> quality of evidence in favor of delayed loading</w:t>
            </w:r>
            <w:r w:rsidR="00693232"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In removable prostheses and for nonsplinted implants with ball or </w:t>
            </w:r>
            <w:r w:rsidR="00693232" w:rsidRPr="005C470C">
              <w:rPr>
                <w:rFonts w:ascii="Times New Roman" w:eastAsia="Times New Roman" w:hAnsi="Times New Roman" w:cs="Times New Roman"/>
                <w:color w:val="000000"/>
                <w:sz w:val="20"/>
                <w:szCs w:val="20"/>
                <w:lang w:val="en-US" w:eastAsia="pt-BR"/>
              </w:rPr>
              <w:t xml:space="preserve">locator </w:t>
            </w:r>
            <w:r w:rsidRPr="005C470C">
              <w:rPr>
                <w:rFonts w:ascii="Times New Roman" w:eastAsia="Times New Roman" w:hAnsi="Times New Roman" w:cs="Times New Roman"/>
                <w:color w:val="000000"/>
                <w:sz w:val="20"/>
                <w:szCs w:val="20"/>
                <w:lang w:val="en-US" w:eastAsia="pt-BR"/>
              </w:rPr>
              <w:t>attachments, delayed loading is preferred</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8594C69" w14:textId="7F744FA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 - The quality of scientific evidence significantly favors DL</w:t>
            </w:r>
            <w:r w:rsidR="00B0457E">
              <w:rPr>
                <w:rFonts w:ascii="Times New Roman" w:eastAsia="Times New Roman" w:hAnsi="Times New Roman" w:cs="Times New Roman"/>
                <w:color w:val="000000"/>
                <w:sz w:val="20"/>
                <w:szCs w:val="20"/>
                <w:lang w:val="en-US" w:eastAsia="pt-BR"/>
              </w:rPr>
              <w:t>.</w:t>
            </w:r>
          </w:p>
        </w:tc>
      </w:tr>
      <w:tr w:rsidR="002914BB" w:rsidRPr="00114AF5" w14:paraId="75E11833" w14:textId="77777777" w:rsidTr="00114AF5">
        <w:trPr>
          <w:trHeight w:val="3667"/>
        </w:trPr>
        <w:tc>
          <w:tcPr>
            <w:tcW w:w="1135" w:type="dxa"/>
            <w:shd w:val="clear" w:color="auto" w:fill="auto"/>
            <w:vAlign w:val="center"/>
            <w:hideMark/>
          </w:tcPr>
          <w:p w14:paraId="6A84456E"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Peng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&lt;EndNote&gt;&lt;Cite&gt;&lt;Author&gt;Peng&lt;/Author&gt;&lt;Year&gt;2020&lt;/Year&gt;&lt;RecNum&gt;20989&lt;/RecNum&gt;&lt;DisplayText&gt;&lt;style face="superscript"&gt;77&lt;/style&gt;&lt;/DisplayText&gt;&lt;record&gt;&lt;rec-number&gt;20989&lt;/rec-number&gt;&lt;foreign-keys&gt;&lt;key app="EN" db-id="f5fv5a2shx52dqesxzmpffeqzt5ffxae2vev" timestamp="1607902594"&gt;20989&lt;/key&gt;&lt;/foreign-keys&gt;&lt;ref-type name="Journal Article"&gt;17&lt;/ref-type&gt;&lt;contributors&gt;&lt;authors&gt;&lt;author&gt;Peng, Jiakuan&lt;/author&gt;&lt;author&gt;Shi, Yujie&lt;/author&gt;&lt;author&gt;Wang, Jiongke&lt;/author&gt;&lt;author&gt;Wang, Fei&lt;/author&gt;&lt;author&gt;Dan, Hongxia&lt;/author&gt;&lt;author&gt;Xu, Hao&lt;/author&gt;&lt;author&gt;Zeng, Xin&lt;/author&gt;&lt;/authors&gt;&lt;/contributors&gt;&lt;titles&gt;&lt;title&gt;Low-level laser therapy in the prevention and treatment of oral mucositis: a systematic review and meta-analysis&lt;/title&gt;&lt;secondary-title&gt;Oral Surgery, Oral Medicine, Oral Pathology and Oral Radiology&lt;/secondary-title&gt;&lt;/titles&gt;&lt;periodical&gt;&lt;full-title&gt;Oral Surgery, Oral Medicine, Oral Pathology and Oral Radiology&lt;/full-title&gt;&lt;/periodical&gt;&lt;dates&gt;&lt;year&gt;2020&lt;/year&gt;&lt;/dates&gt;&lt;isbn&gt;2212-4403&lt;/isbn&gt;&lt;urls&gt;&lt;/urls&gt;&lt;/record&gt;&lt;/Cite&gt;&lt;/EndNote&gt;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77</w:t>
            </w:r>
            <w:r w:rsidR="0008652B" w:rsidRPr="005C470C">
              <w:rPr>
                <w:rFonts w:ascii="Times New Roman" w:eastAsia="Times New Roman" w:hAnsi="Times New Roman" w:cs="Times New Roman"/>
                <w:sz w:val="20"/>
                <w:szCs w:val="20"/>
                <w:lang w:eastAsia="pt-BR"/>
              </w:rPr>
              <w:fldChar w:fldCharType="end"/>
            </w:r>
          </w:p>
          <w:p w14:paraId="58E471E8" w14:textId="54F77C4E"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China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B7C77CF" w14:textId="77777777"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Oral Surgery, Oral Medicine, Oral Pathology and Oral Radiology</w:t>
            </w:r>
          </w:p>
          <w:p w14:paraId="4EF2B5D6" w14:textId="4D546FC0"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(1.601)</w:t>
            </w:r>
          </w:p>
        </w:tc>
        <w:tc>
          <w:tcPr>
            <w:tcW w:w="1418" w:type="dxa"/>
            <w:shd w:val="clear" w:color="auto" w:fill="auto"/>
            <w:vAlign w:val="center"/>
            <w:hideMark/>
          </w:tcPr>
          <w:p w14:paraId="5036A370"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Pathology</w:t>
            </w:r>
          </w:p>
        </w:tc>
        <w:tc>
          <w:tcPr>
            <w:tcW w:w="1275" w:type="dxa"/>
            <w:shd w:val="clear" w:color="auto" w:fill="auto"/>
            <w:vAlign w:val="center"/>
            <w:hideMark/>
          </w:tcPr>
          <w:p w14:paraId="5B28F194" w14:textId="156F47F6"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determine whether prophylactic and therapeutic low-level laser therapy (LLLT), compared</w:t>
            </w:r>
            <w:r w:rsidRPr="005C470C">
              <w:rPr>
                <w:rFonts w:ascii="Times New Roman" w:eastAsia="Times New Roman" w:hAnsi="Times New Roman" w:cs="Times New Roman"/>
                <w:sz w:val="20"/>
                <w:szCs w:val="20"/>
                <w:lang w:val="en-US" w:eastAsia="pt-BR"/>
              </w:rPr>
              <w:br/>
              <w:t>with placebo or no therapy, reduced the risk of severe oral mucositis (OM) in patients receiving chemotherapy or radiotherapy</w:t>
            </w:r>
          </w:p>
        </w:tc>
        <w:tc>
          <w:tcPr>
            <w:tcW w:w="1134" w:type="dxa"/>
            <w:shd w:val="clear" w:color="auto" w:fill="auto"/>
            <w:vAlign w:val="center"/>
            <w:hideMark/>
          </w:tcPr>
          <w:p w14:paraId="4CC89833" w14:textId="5E71876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receiving chemotherapy or radiotherapy</w:t>
            </w:r>
          </w:p>
        </w:tc>
        <w:tc>
          <w:tcPr>
            <w:tcW w:w="1276" w:type="dxa"/>
            <w:shd w:val="clear" w:color="auto" w:fill="auto"/>
            <w:vAlign w:val="center"/>
            <w:hideMark/>
          </w:tcPr>
          <w:p w14:paraId="4683C9C6" w14:textId="59E135F7"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Rophylactic </w:t>
            </w:r>
            <w:r w:rsidR="006226A8" w:rsidRPr="005C470C">
              <w:rPr>
                <w:rFonts w:ascii="Times New Roman" w:eastAsia="Times New Roman" w:hAnsi="Times New Roman" w:cs="Times New Roman"/>
                <w:color w:val="000000"/>
                <w:sz w:val="20"/>
                <w:szCs w:val="20"/>
                <w:lang w:val="en-US" w:eastAsia="pt-BR"/>
              </w:rPr>
              <w:t>and therapeutic low-level laser therapy (LLLT)</w:t>
            </w:r>
          </w:p>
        </w:tc>
        <w:tc>
          <w:tcPr>
            <w:tcW w:w="1418" w:type="dxa"/>
            <w:shd w:val="clear" w:color="auto" w:fill="auto"/>
            <w:vAlign w:val="center"/>
            <w:hideMark/>
          </w:tcPr>
          <w:p w14:paraId="48E08453" w14:textId="4845E791" w:rsidR="006226A8" w:rsidRPr="005C470C" w:rsidRDefault="00A70A8C" w:rsidP="006226A8">
            <w:pPr>
              <w:jc w:val="center"/>
              <w:rPr>
                <w:rFonts w:ascii="Times New Roman" w:eastAsia="Times New Roman" w:hAnsi="Times New Roman" w:cs="Times New Roman"/>
                <w:color w:val="333333"/>
                <w:sz w:val="20"/>
                <w:szCs w:val="20"/>
                <w:lang w:eastAsia="pt-BR"/>
              </w:rPr>
            </w:pPr>
            <w:r w:rsidRPr="005C470C">
              <w:rPr>
                <w:rFonts w:ascii="Times New Roman" w:eastAsia="Times New Roman" w:hAnsi="Times New Roman" w:cs="Times New Roman"/>
                <w:sz w:val="20"/>
                <w:szCs w:val="20"/>
                <w:lang w:eastAsia="pt-BR"/>
              </w:rPr>
              <w:t xml:space="preserve">Placebo </w:t>
            </w:r>
            <w:r w:rsidR="006226A8" w:rsidRPr="005C470C">
              <w:rPr>
                <w:rFonts w:ascii="Times New Roman" w:eastAsia="Times New Roman" w:hAnsi="Times New Roman" w:cs="Times New Roman"/>
                <w:sz w:val="20"/>
                <w:szCs w:val="20"/>
                <w:lang w:eastAsia="pt-BR"/>
              </w:rPr>
              <w:t>or no therapy</w:t>
            </w:r>
          </w:p>
        </w:tc>
        <w:tc>
          <w:tcPr>
            <w:tcW w:w="1275" w:type="dxa"/>
            <w:shd w:val="clear" w:color="auto" w:fill="auto"/>
            <w:vAlign w:val="center"/>
            <w:hideMark/>
          </w:tcPr>
          <w:p w14:paraId="6841445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Reduction of the risk of severe oral mucositis (OM)</w:t>
            </w:r>
          </w:p>
        </w:tc>
        <w:tc>
          <w:tcPr>
            <w:tcW w:w="1134" w:type="dxa"/>
            <w:shd w:val="clear" w:color="auto" w:fill="auto"/>
            <w:vAlign w:val="center"/>
            <w:hideMark/>
          </w:tcPr>
          <w:p w14:paraId="2AE85FF4"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(n=29)</w:t>
            </w:r>
          </w:p>
        </w:tc>
        <w:tc>
          <w:tcPr>
            <w:tcW w:w="567" w:type="dxa"/>
            <w:shd w:val="clear" w:color="auto" w:fill="auto"/>
            <w:vAlign w:val="center"/>
            <w:hideMark/>
          </w:tcPr>
          <w:p w14:paraId="2FB5E803"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09282CB" w14:textId="792B80B4" w:rsidR="006226A8" w:rsidRPr="005C470C" w:rsidRDefault="007D52E1"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w:t>
            </w:r>
            <w:r w:rsidR="006226A8" w:rsidRPr="005C470C">
              <w:rPr>
                <w:rFonts w:ascii="Times New Roman" w:eastAsia="Times New Roman" w:hAnsi="Times New Roman" w:cs="Times New Roman"/>
                <w:color w:val="000000"/>
                <w:sz w:val="20"/>
                <w:szCs w:val="20"/>
                <w:lang w:val="en-US" w:eastAsia="pt-BR"/>
              </w:rPr>
              <w:t>rophylactic LLLT is effective in preventing OM in patients receiving chemotherapy or radiotherapy and that therapeutic LLLT is effective in reducing severe OM duration. The uncertain influence of different laser parameters and LLLT schedules indicate the need to determine the optimal setting for LLLT, which ought to be the focus in future studies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3FB09F6E" w14:textId="7743A55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D52E1" w:rsidRPr="005C470C">
              <w:rPr>
                <w:rFonts w:ascii="Times New Roman" w:eastAsia="Times New Roman" w:hAnsi="Times New Roman" w:cs="Times New Roman"/>
                <w:color w:val="000000"/>
                <w:sz w:val="20"/>
                <w:szCs w:val="20"/>
                <w:lang w:val="en-US" w:eastAsia="pt-BR"/>
              </w:rPr>
              <w:t xml:space="preserve"> - More well-designed multicenter RCTs on this subject are needed</w:t>
            </w:r>
            <w:r w:rsidR="00B0457E">
              <w:rPr>
                <w:rFonts w:ascii="Times New Roman" w:eastAsia="Times New Roman" w:hAnsi="Times New Roman" w:cs="Times New Roman"/>
                <w:color w:val="000000"/>
                <w:sz w:val="20"/>
                <w:szCs w:val="20"/>
                <w:lang w:val="en-US" w:eastAsia="pt-BR"/>
              </w:rPr>
              <w:t>.</w:t>
            </w:r>
          </w:p>
        </w:tc>
      </w:tr>
      <w:tr w:rsidR="002914BB" w:rsidRPr="00114AF5" w14:paraId="117E5991" w14:textId="77777777" w:rsidTr="00114AF5">
        <w:trPr>
          <w:trHeight w:val="20"/>
        </w:trPr>
        <w:tc>
          <w:tcPr>
            <w:tcW w:w="1135" w:type="dxa"/>
            <w:shd w:val="clear" w:color="auto" w:fill="auto"/>
            <w:vAlign w:val="center"/>
            <w:hideMark/>
          </w:tcPr>
          <w:p w14:paraId="144DAC6F"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Polak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&lt;EndNote&gt;&lt;Cite&gt;&lt;Author&gt;Polak&lt;/Author&gt;&lt;Year&gt;2020&lt;/Year&gt;&lt;RecNum&gt;21008&lt;/RecNum&gt;&lt;DisplayText&gt;&lt;style face="superscript"&gt;78&lt;/style&gt;&lt;/DisplayText&gt;&lt;record&gt;&lt;rec-number&gt;21008&lt;/rec-number&gt;&lt;foreign-keys&gt;&lt;key app="EN" db-id="f5fv5a2shx52dqesxzmpffeqzt5ffxae2vev" timestamp="1607902605"&gt;21008&lt;/key&gt;&lt;/foreign-keys&gt;&lt;ref-type name="Journal Article"&gt;17&lt;/ref-type&gt;&lt;contributors&gt;&lt;authors&gt;&lt;author&gt;Polak, David&lt;/author&gt;&lt;author&gt;Wilensky, Asaf&lt;/author&gt;&lt;author&gt;Antonoglou, Georgios N&lt;/author&gt;&lt;author&gt;Shapira, Lior&lt;/author&gt;&lt;author&gt;Goldstein, Moshe&lt;/author&gt;&lt;author&gt;Martin, Conchita&lt;/author&gt;&lt;/authors&gt;&lt;/contributors&gt;&lt;titles&gt;&lt;title&gt;The Efficacy of Pocket Elimination/Reduction Compared to Access Flap Surgery: A Systematic Review and Meta‐analysis&lt;/title&gt;&lt;secondary-title&gt;Journal of Clinical Periodontology&lt;/secondary-title&gt;&lt;/titles&gt;&lt;periodical&gt;&lt;full-title&gt;Journal of clinical periodontology&lt;/full-title&gt;&lt;/periodical&gt;&lt;dates&gt;&lt;year&gt;2020&lt;/year&gt;&lt;/dates&gt;&lt;isbn&gt;0303-6979&lt;/isbn&gt;&lt;urls&gt;&lt;/urls&gt;&lt;/record&gt;&lt;/Cite&gt;&lt;/EndNote&gt;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78</w:t>
            </w:r>
            <w:r w:rsidR="0008652B" w:rsidRPr="005C470C">
              <w:rPr>
                <w:rFonts w:ascii="Times New Roman" w:eastAsia="Times New Roman" w:hAnsi="Times New Roman" w:cs="Times New Roman"/>
                <w:sz w:val="20"/>
                <w:szCs w:val="20"/>
                <w:lang w:eastAsia="pt-BR"/>
              </w:rPr>
              <w:fldChar w:fldCharType="end"/>
            </w:r>
          </w:p>
          <w:p w14:paraId="576A432E" w14:textId="64192DCD"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Israel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119A981B"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Clinical Periodontology</w:t>
            </w:r>
          </w:p>
          <w:p w14:paraId="22A00FDC" w14:textId="0F3E320F"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(5.241)</w:t>
            </w:r>
          </w:p>
        </w:tc>
        <w:tc>
          <w:tcPr>
            <w:tcW w:w="1418" w:type="dxa"/>
            <w:shd w:val="clear" w:color="auto" w:fill="auto"/>
            <w:vAlign w:val="center"/>
            <w:hideMark/>
          </w:tcPr>
          <w:p w14:paraId="718D1DB8"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4DBA21E4"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assess the efficacy and adverse effects of resective surgery compared to access flap in patients with periodontitis</w:t>
            </w:r>
          </w:p>
        </w:tc>
        <w:tc>
          <w:tcPr>
            <w:tcW w:w="1134" w:type="dxa"/>
            <w:shd w:val="clear" w:color="auto" w:fill="auto"/>
            <w:vAlign w:val="center"/>
            <w:hideMark/>
          </w:tcPr>
          <w:p w14:paraId="78B30004" w14:textId="16B1FE9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Individuals aged above 18</w:t>
            </w:r>
            <w:r w:rsidR="007D52E1"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with periodontitis, otherwise healthy, after the initial step of supra-/subgingival biofilm control with residual pockets of 5 mm or more</w:t>
            </w:r>
          </w:p>
        </w:tc>
        <w:tc>
          <w:tcPr>
            <w:tcW w:w="1276" w:type="dxa"/>
            <w:shd w:val="clear" w:color="auto" w:fill="auto"/>
            <w:vAlign w:val="center"/>
            <w:hideMark/>
          </w:tcPr>
          <w:p w14:paraId="061491A4" w14:textId="0C35EEF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Pocket elimination or reduction surgery with or without osteoplasty/ostectomy </w:t>
            </w:r>
          </w:p>
        </w:tc>
        <w:tc>
          <w:tcPr>
            <w:tcW w:w="1418" w:type="dxa"/>
            <w:shd w:val="clear" w:color="auto" w:fill="auto"/>
            <w:vAlign w:val="center"/>
            <w:hideMark/>
          </w:tcPr>
          <w:p w14:paraId="5E24018A" w14:textId="1342288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Access flap surgery, including open flap curettage, open flap debridement, access flap, modified Widman flap, and all the modified/pertinent techniques that do not include resection of </w:t>
            </w:r>
            <w:r w:rsidRPr="005C470C">
              <w:rPr>
                <w:rFonts w:ascii="Times New Roman" w:eastAsia="Times New Roman" w:hAnsi="Times New Roman" w:cs="Times New Roman"/>
                <w:color w:val="000000"/>
                <w:sz w:val="20"/>
                <w:szCs w:val="20"/>
                <w:lang w:val="en-US" w:eastAsia="pt-BR"/>
              </w:rPr>
              <w:lastRenderedPageBreak/>
              <w:t>soft and hard tissue</w:t>
            </w:r>
          </w:p>
        </w:tc>
        <w:tc>
          <w:tcPr>
            <w:tcW w:w="1275" w:type="dxa"/>
            <w:shd w:val="clear" w:color="auto" w:fill="auto"/>
            <w:vAlign w:val="center"/>
            <w:hideMark/>
          </w:tcPr>
          <w:p w14:paraId="265BF77B" w14:textId="2BA2916E" w:rsidR="006226A8" w:rsidRPr="005C470C" w:rsidRDefault="007D52E1"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P</w:t>
            </w:r>
            <w:r w:rsidR="006226A8" w:rsidRPr="005C470C">
              <w:rPr>
                <w:rFonts w:ascii="Times New Roman" w:eastAsia="Times New Roman" w:hAnsi="Times New Roman" w:cs="Times New Roman"/>
                <w:color w:val="000000"/>
                <w:sz w:val="20"/>
                <w:szCs w:val="20"/>
                <w:lang w:val="en-US" w:eastAsia="pt-BR"/>
              </w:rPr>
              <w:t>robing pocket depth, and clinical attachment level</w:t>
            </w:r>
          </w:p>
        </w:tc>
        <w:tc>
          <w:tcPr>
            <w:tcW w:w="1134" w:type="dxa"/>
            <w:shd w:val="clear" w:color="auto" w:fill="auto"/>
            <w:vAlign w:val="center"/>
            <w:hideMark/>
          </w:tcPr>
          <w:p w14:paraId="3131F630"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RCT/split-mouth studies (n=15 papers / n=7 studies)</w:t>
            </w:r>
          </w:p>
        </w:tc>
        <w:tc>
          <w:tcPr>
            <w:tcW w:w="567" w:type="dxa"/>
            <w:shd w:val="clear" w:color="auto" w:fill="auto"/>
            <w:vAlign w:val="center"/>
            <w:hideMark/>
          </w:tcPr>
          <w:p w14:paraId="64BE545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4B79E8B" w14:textId="24BA36D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Pocket reduction/</w:t>
            </w:r>
            <w:r w:rsidR="007D52E1"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elimination techniques were found to be superior to access flap approaches 6–12</w:t>
            </w:r>
            <w:r w:rsidR="007D52E1" w:rsidRPr="005C470C">
              <w:rPr>
                <w:rFonts w:ascii="Times New Roman" w:eastAsia="Times New Roman" w:hAnsi="Times New Roman" w:cs="Times New Roman"/>
                <w:color w:val="000000"/>
                <w:sz w:val="20"/>
                <w:szCs w:val="20"/>
                <w:lang w:val="en-US" w:eastAsia="pt-BR"/>
              </w:rPr>
              <w:t>mo</w:t>
            </w:r>
            <w:r w:rsidRPr="005C470C">
              <w:rPr>
                <w:rFonts w:ascii="Times New Roman" w:eastAsia="Times New Roman" w:hAnsi="Times New Roman" w:cs="Times New Roman"/>
                <w:color w:val="000000"/>
                <w:sz w:val="20"/>
                <w:szCs w:val="20"/>
                <w:lang w:val="en-US" w:eastAsia="pt-BR"/>
              </w:rPr>
              <w:t xml:space="preserve"> post-surgery, particularly in sites with initial PPD of &gt;6 mm</w:t>
            </w:r>
            <w:r w:rsidR="007D52E1"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Longer-term follow-up (36–60</w:t>
            </w:r>
            <w:r w:rsidR="007D52E1" w:rsidRPr="005C470C">
              <w:rPr>
                <w:rFonts w:ascii="Times New Roman" w:eastAsia="Times New Roman" w:hAnsi="Times New Roman" w:cs="Times New Roman"/>
                <w:color w:val="000000"/>
                <w:sz w:val="20"/>
                <w:szCs w:val="20"/>
                <w:lang w:val="en-US" w:eastAsia="pt-BR"/>
              </w:rPr>
              <w:t>mo</w:t>
            </w:r>
            <w:r w:rsidRPr="005C470C">
              <w:rPr>
                <w:rFonts w:ascii="Times New Roman" w:eastAsia="Times New Roman" w:hAnsi="Times New Roman" w:cs="Times New Roman"/>
                <w:color w:val="000000"/>
                <w:sz w:val="20"/>
                <w:szCs w:val="20"/>
                <w:lang w:val="en-US" w:eastAsia="pt-BR"/>
              </w:rPr>
              <w:t xml:space="preserve">) was not able to find significant differences </w:t>
            </w:r>
            <w:r w:rsidRPr="005C470C">
              <w:rPr>
                <w:rFonts w:ascii="Times New Roman" w:eastAsia="Times New Roman" w:hAnsi="Times New Roman" w:cs="Times New Roman"/>
                <w:color w:val="000000"/>
                <w:sz w:val="20"/>
                <w:szCs w:val="20"/>
                <w:lang w:val="en-US" w:eastAsia="pt-BR"/>
              </w:rPr>
              <w:lastRenderedPageBreak/>
              <w:t>between the two surgical approaches.</w:t>
            </w:r>
            <w:r w:rsidR="007D52E1" w:rsidRPr="005C470C">
              <w:rPr>
                <w:rFonts w:ascii="Times New Roman" w:eastAsia="Times New Roman" w:hAnsi="Times New Roman" w:cs="Times New Roman"/>
                <w:color w:val="000000"/>
                <w:sz w:val="20"/>
                <w:szCs w:val="20"/>
                <w:lang w:val="en-US" w:eastAsia="pt-BR"/>
              </w:rPr>
              <w:t xml:space="preserve"> T</w:t>
            </w:r>
            <w:r w:rsidRPr="005C470C">
              <w:rPr>
                <w:rFonts w:ascii="Times New Roman" w:eastAsia="Times New Roman" w:hAnsi="Times New Roman" w:cs="Times New Roman"/>
                <w:color w:val="000000"/>
                <w:sz w:val="20"/>
                <w:szCs w:val="20"/>
                <w:lang w:val="en-US" w:eastAsia="pt-BR"/>
              </w:rPr>
              <w:t xml:space="preserve">he present review found a significant difference between pocket reduction/elimination </w:t>
            </w:r>
            <w:r w:rsidR="007D52E1" w:rsidRPr="005C470C">
              <w:rPr>
                <w:rFonts w:ascii="Times New Roman" w:eastAsia="Times New Roman" w:hAnsi="Times New Roman" w:cs="Times New Roman"/>
                <w:color w:val="000000"/>
                <w:sz w:val="20"/>
                <w:szCs w:val="20"/>
                <w:lang w:val="en-US" w:eastAsia="pt-BR"/>
              </w:rPr>
              <w:t>vs.</w:t>
            </w:r>
            <w:r w:rsidRPr="005C470C">
              <w:rPr>
                <w:rFonts w:ascii="Times New Roman" w:eastAsia="Times New Roman" w:hAnsi="Times New Roman" w:cs="Times New Roman"/>
                <w:color w:val="000000"/>
                <w:sz w:val="20"/>
                <w:szCs w:val="20"/>
                <w:lang w:val="en-US" w:eastAsia="pt-BR"/>
              </w:rPr>
              <w:t xml:space="preserve"> access flap surgery for the short term (6–12</w:t>
            </w:r>
            <w:r w:rsidR="007D52E1" w:rsidRPr="005C470C">
              <w:rPr>
                <w:rFonts w:ascii="Times New Roman" w:eastAsia="Times New Roman" w:hAnsi="Times New Roman" w:cs="Times New Roman"/>
                <w:color w:val="000000"/>
                <w:sz w:val="20"/>
                <w:szCs w:val="20"/>
                <w:lang w:val="en-US" w:eastAsia="pt-BR"/>
              </w:rPr>
              <w:t>mo</w:t>
            </w:r>
            <w:r w:rsidRPr="005C470C">
              <w:rPr>
                <w:rFonts w:ascii="Times New Roman" w:eastAsia="Times New Roman" w:hAnsi="Times New Roman" w:cs="Times New Roman"/>
                <w:color w:val="000000"/>
                <w:sz w:val="20"/>
                <w:szCs w:val="20"/>
                <w:lang w:val="en-US" w:eastAsia="pt-BR"/>
              </w:rPr>
              <w:t>) only</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34A3920" w14:textId="14F561E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Y - the authors feel that the choice of treatment for each case may rely on other factors, such as the surgeon's experience as well as individual patient-related preferences, aesthetic considerations, </w:t>
            </w:r>
            <w:r w:rsidRPr="005C470C">
              <w:rPr>
                <w:rFonts w:ascii="Times New Roman" w:eastAsia="Times New Roman" w:hAnsi="Times New Roman" w:cs="Times New Roman"/>
                <w:color w:val="000000"/>
                <w:sz w:val="20"/>
                <w:szCs w:val="20"/>
                <w:lang w:val="en-US" w:eastAsia="pt-BR"/>
              </w:rPr>
              <w:lastRenderedPageBreak/>
              <w:t>and post-surgical restorative aspects</w:t>
            </w:r>
            <w:r w:rsidR="00B0457E">
              <w:rPr>
                <w:rFonts w:ascii="Times New Roman" w:eastAsia="Times New Roman" w:hAnsi="Times New Roman" w:cs="Times New Roman"/>
                <w:color w:val="000000"/>
                <w:sz w:val="20"/>
                <w:szCs w:val="20"/>
                <w:lang w:val="en-US" w:eastAsia="pt-BR"/>
              </w:rPr>
              <w:t>.</w:t>
            </w:r>
          </w:p>
        </w:tc>
      </w:tr>
      <w:tr w:rsidR="002914BB" w:rsidRPr="00114AF5" w14:paraId="2B319BC0" w14:textId="77777777" w:rsidTr="00114AF5">
        <w:trPr>
          <w:trHeight w:val="20"/>
        </w:trPr>
        <w:tc>
          <w:tcPr>
            <w:tcW w:w="1135" w:type="dxa"/>
            <w:shd w:val="clear" w:color="auto" w:fill="auto"/>
            <w:vAlign w:val="center"/>
            <w:hideMark/>
          </w:tcPr>
          <w:p w14:paraId="5EBD2F01"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Prado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&lt;EndNote&gt;&lt;Cite&gt;&lt;Author&gt;Prado&lt;/Author&gt;&lt;Year&gt;2019&lt;/Year&gt;&lt;RecNum&gt;20993&lt;/RecNum&gt;&lt;DisplayText&gt;&lt;style face="superscript"&gt;79&lt;/style&gt;&lt;/DisplayText&gt;&lt;record&gt;&lt;rec-number&gt;20993&lt;/rec-number&gt;&lt;foreign-keys&gt;&lt;key app="EN" db-id="f5fv5a2shx52dqesxzmpffeqzt5ffxae2vev" timestamp="1607902594"&gt;20993&lt;/key&gt;&lt;/foreign-keys&gt;&lt;ref-type name="Journal Article"&gt;17&lt;/ref-type&gt;&lt;contributors&gt;&lt;authors&gt;&lt;author&gt;Prado, Ivana Meyer&lt;/author&gt;&lt;author&gt;Carcavalli, Larissa&lt;/author&gt;&lt;author&gt;Abreu, Lucas Guimarães&lt;/author&gt;&lt;author&gt;Serra‐Negra, Júnia Maria&lt;/author&gt;&lt;author&gt;Paiva, Saul Martins&lt;/author&gt;&lt;author&gt;Martins, Carolina Castro&lt;/author&gt;&lt;/authors&gt;&lt;/contributors&gt;&lt;titles&gt;&lt;title&gt;Use of distraction techniques for the management of anxiety and fear in paediatric dental practice: A systematic review of randomized controlled trials&lt;/title&gt;&lt;secondary-title&gt;International Journal of Paediatric Dentistry&lt;/secondary-title&gt;&lt;/titles&gt;&lt;periodical&gt;&lt;full-title&gt;International journal of paediatric dentistry&lt;/full-title&gt;&lt;/periodical&gt;&lt;pages&gt;650-668&lt;/pages&gt;&lt;volume&gt;29&lt;/volume&gt;&lt;number&gt;5&lt;/number&gt;&lt;dates&gt;&lt;year&gt;2019&lt;/year&gt;&lt;/dates&gt;&lt;isbn&gt;0960-7439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79</w:t>
            </w:r>
            <w:r w:rsidR="0008652B" w:rsidRPr="005C470C">
              <w:rPr>
                <w:rFonts w:ascii="Times New Roman" w:eastAsia="Times New Roman" w:hAnsi="Times New Roman" w:cs="Times New Roman"/>
                <w:sz w:val="20"/>
                <w:szCs w:val="20"/>
                <w:lang w:eastAsia="pt-BR"/>
              </w:rPr>
              <w:fldChar w:fldCharType="end"/>
            </w:r>
          </w:p>
          <w:p w14:paraId="373EDA75" w14:textId="010E22EE"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390B307B" w14:textId="77777777"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International Journal of Paediatric Dentistry</w:t>
            </w:r>
          </w:p>
          <w:p w14:paraId="014F78A0" w14:textId="38116C4A" w:rsidR="00C53143"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(1.993)</w:t>
            </w:r>
          </w:p>
        </w:tc>
        <w:tc>
          <w:tcPr>
            <w:tcW w:w="1418" w:type="dxa"/>
            <w:shd w:val="clear" w:color="auto" w:fill="auto"/>
            <w:vAlign w:val="center"/>
            <w:hideMark/>
          </w:tcPr>
          <w:p w14:paraId="60D3357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Pediatric Dentistry</w:t>
            </w:r>
          </w:p>
        </w:tc>
        <w:tc>
          <w:tcPr>
            <w:tcW w:w="1275" w:type="dxa"/>
            <w:shd w:val="clear" w:color="auto" w:fill="auto"/>
            <w:vAlign w:val="center"/>
            <w:hideMark/>
          </w:tcPr>
          <w:p w14:paraId="21B7F26D" w14:textId="576CAA09"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determine whether distraction techniques (DT) reduce children's/</w:t>
            </w:r>
            <w:r w:rsidR="007D52E1"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adolescent's anxiety and fear during dental treatment</w:t>
            </w:r>
          </w:p>
        </w:tc>
        <w:tc>
          <w:tcPr>
            <w:tcW w:w="1134" w:type="dxa"/>
            <w:shd w:val="clear" w:color="auto" w:fill="auto"/>
            <w:vAlign w:val="center"/>
            <w:hideMark/>
          </w:tcPr>
          <w:p w14:paraId="28DC01C3" w14:textId="7573CCF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Children and adolescents </w:t>
            </w:r>
            <w:r w:rsidR="00491835" w:rsidRPr="005C470C">
              <w:rPr>
                <w:rFonts w:ascii="Times New Roman" w:eastAsia="Times New Roman" w:hAnsi="Times New Roman" w:cs="Times New Roman"/>
                <w:color w:val="000000"/>
                <w:sz w:val="20"/>
                <w:szCs w:val="20"/>
                <w:lang w:val="en-US" w:eastAsia="pt-BR"/>
              </w:rPr>
              <w:t>(&lt;</w:t>
            </w:r>
            <w:r w:rsidRPr="005C470C">
              <w:rPr>
                <w:rFonts w:ascii="Times New Roman" w:eastAsia="Times New Roman" w:hAnsi="Times New Roman" w:cs="Times New Roman"/>
                <w:color w:val="000000"/>
                <w:sz w:val="20"/>
                <w:szCs w:val="20"/>
                <w:lang w:val="en-US" w:eastAsia="pt-BR"/>
              </w:rPr>
              <w:t xml:space="preserve"> 18</w:t>
            </w:r>
            <w:r w:rsidR="007D52E1"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old</w:t>
            </w:r>
            <w:r w:rsidR="00491835"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with no alterations in growth or developmental and without cognitive disorders or syndromes</w:t>
            </w:r>
          </w:p>
        </w:tc>
        <w:tc>
          <w:tcPr>
            <w:tcW w:w="1276" w:type="dxa"/>
            <w:shd w:val="clear" w:color="auto" w:fill="auto"/>
            <w:vAlign w:val="center"/>
            <w:hideMark/>
          </w:tcPr>
          <w:p w14:paraId="1B3C583B"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Use of distraction techniques during dental treatment</w:t>
            </w:r>
          </w:p>
        </w:tc>
        <w:tc>
          <w:tcPr>
            <w:tcW w:w="1418" w:type="dxa"/>
            <w:shd w:val="clear" w:color="auto" w:fill="auto"/>
            <w:vAlign w:val="center"/>
            <w:hideMark/>
          </w:tcPr>
          <w:p w14:paraId="7511805C" w14:textId="7EC3FFD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No use of distraction techniques during dental treatmen</w:t>
            </w:r>
            <w:r w:rsidR="007D52E1" w:rsidRPr="005C470C">
              <w:rPr>
                <w:rFonts w:ascii="Times New Roman" w:eastAsia="Times New Roman" w:hAnsi="Times New Roman" w:cs="Times New Roman"/>
                <w:color w:val="000000"/>
                <w:sz w:val="20"/>
                <w:szCs w:val="20"/>
                <w:lang w:val="en-US" w:eastAsia="pt-BR"/>
              </w:rPr>
              <w:t>t</w:t>
            </w:r>
          </w:p>
        </w:tc>
        <w:tc>
          <w:tcPr>
            <w:tcW w:w="1275" w:type="dxa"/>
            <w:shd w:val="clear" w:color="auto" w:fill="auto"/>
            <w:vAlign w:val="center"/>
            <w:hideMark/>
          </w:tcPr>
          <w:p w14:paraId="3B763AB7"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Dental anxiety and /or dental fear</w:t>
            </w:r>
          </w:p>
        </w:tc>
        <w:tc>
          <w:tcPr>
            <w:tcW w:w="1134" w:type="dxa"/>
            <w:shd w:val="clear" w:color="auto" w:fill="auto"/>
            <w:vAlign w:val="center"/>
            <w:hideMark/>
          </w:tcPr>
          <w:p w14:paraId="41B74A8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(n=20)</w:t>
            </w:r>
          </w:p>
        </w:tc>
        <w:tc>
          <w:tcPr>
            <w:tcW w:w="567" w:type="dxa"/>
            <w:shd w:val="clear" w:color="auto" w:fill="auto"/>
            <w:vAlign w:val="center"/>
            <w:hideMark/>
          </w:tcPr>
          <w:p w14:paraId="2FB32B42"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078F5361" w14:textId="16D667A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is a very low certainty of evidence that DT can be effective in managing children's/adolescents' dental fear and anxiety during dental treatment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07E5FE5" w14:textId="146B336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7D52E1" w:rsidRPr="005C470C">
              <w:rPr>
                <w:rFonts w:ascii="Times New Roman" w:eastAsia="Times New Roman" w:hAnsi="Times New Roman" w:cs="Times New Roman"/>
                <w:color w:val="000000"/>
                <w:sz w:val="20"/>
                <w:szCs w:val="20"/>
                <w:lang w:val="en-US" w:eastAsia="pt-BR"/>
              </w:rPr>
              <w:t xml:space="preserve"> - More robust, and well-executed RCTs are needed</w:t>
            </w:r>
            <w:r w:rsidR="00B0457E">
              <w:rPr>
                <w:rFonts w:ascii="Times New Roman" w:eastAsia="Times New Roman" w:hAnsi="Times New Roman" w:cs="Times New Roman"/>
                <w:color w:val="000000"/>
                <w:sz w:val="20"/>
                <w:szCs w:val="20"/>
                <w:lang w:val="en-US" w:eastAsia="pt-BR"/>
              </w:rPr>
              <w:t>.</w:t>
            </w:r>
          </w:p>
        </w:tc>
      </w:tr>
      <w:tr w:rsidR="002914BB" w:rsidRPr="005C470C" w14:paraId="25A4DEC0" w14:textId="77777777" w:rsidTr="00114AF5">
        <w:trPr>
          <w:trHeight w:val="20"/>
        </w:trPr>
        <w:tc>
          <w:tcPr>
            <w:tcW w:w="1135" w:type="dxa"/>
            <w:shd w:val="clear" w:color="auto" w:fill="auto"/>
            <w:vAlign w:val="center"/>
            <w:hideMark/>
          </w:tcPr>
          <w:p w14:paraId="2645AE81"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Riley et al, 2020</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&lt;EndNote&gt;&lt;Cite&gt;&lt;Author&gt;Riley&lt;/Author&gt;&lt;Year&gt;2020&lt;/Year&gt;&lt;RecNum&gt;20987&lt;/RecNum&gt;&lt;DisplayText&gt;&lt;style face="superscript"&gt;80&lt;/style&gt;&lt;/DisplayText&gt;&lt;record&gt;&lt;rec-number&gt;20987&lt;/rec-number&gt;&lt;foreign-keys&gt;&lt;key app="EN" db-id="f5fv5a2shx52dqesxzmpffeqzt5ffxae2vev" timestamp="1607902594"&gt;20987&lt;/key&gt;&lt;/foreign-keys&gt;&lt;ref-type name="Journal Article"&gt;17&lt;/ref-type&gt;&lt;contributors&gt;&lt;authors&gt;&lt;author&gt;Riley, Philip&lt;/author&gt;&lt;author&gt;Glenny, Anne-Marie&lt;/author&gt;&lt;author&gt;Worthington, Helen V&lt;/author&gt;&lt;author&gt;Jacobsen, Elisabet&lt;/author&gt;&lt;author&gt;Robertson, Clare&lt;/author&gt;&lt;author&gt;Durham, Justin&lt;/author&gt;&lt;author&gt;Davies, Stephen&lt;/author&gt;&lt;author&gt;Petersen, Helen&lt;/author&gt;&lt;author&gt;Boyers, Dwayne&lt;/author&gt;&lt;/authors&gt;&lt;/contributors&gt;&lt;titles&gt;&lt;title&gt;Oral splints for temporomandibular disorder or bruxism: a systematic review&lt;/title&gt;&lt;secondary-title&gt;British Dental Journal&lt;/secondary-title&gt;&lt;/titles&gt;&lt;periodical&gt;&lt;full-title&gt;Br Dent J&lt;/full-title&gt;&lt;abbr-1&gt;British dental journal&lt;/abbr-1&gt;&lt;/periodical&gt;&lt;pages&gt;191-197&lt;/pages&gt;&lt;volume&gt;228&lt;/volume&gt;&lt;number&gt;3&lt;/number&gt;&lt;dates&gt;&lt;year&gt;2020&lt;/year&gt;&lt;/dates&gt;&lt;isbn&gt;1476-5373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80</w:t>
            </w:r>
            <w:r w:rsidR="0008652B" w:rsidRPr="005C470C">
              <w:rPr>
                <w:rFonts w:ascii="Times New Roman" w:eastAsia="Times New Roman" w:hAnsi="Times New Roman" w:cs="Times New Roman"/>
                <w:sz w:val="20"/>
                <w:szCs w:val="20"/>
                <w:lang w:eastAsia="pt-BR"/>
              </w:rPr>
              <w:fldChar w:fldCharType="end"/>
            </w:r>
          </w:p>
          <w:p w14:paraId="1360E832" w14:textId="30E58CB0"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(United Kingdom)</w:t>
            </w:r>
          </w:p>
        </w:tc>
        <w:tc>
          <w:tcPr>
            <w:tcW w:w="992" w:type="dxa"/>
            <w:shd w:val="clear" w:color="auto" w:fill="auto"/>
            <w:vAlign w:val="center"/>
            <w:hideMark/>
          </w:tcPr>
          <w:p w14:paraId="12C765A8"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British dental journal</w:t>
            </w:r>
          </w:p>
          <w:p w14:paraId="07B88389" w14:textId="17DDD05A"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(1.306)</w:t>
            </w:r>
          </w:p>
        </w:tc>
        <w:tc>
          <w:tcPr>
            <w:tcW w:w="1418" w:type="dxa"/>
            <w:shd w:val="clear" w:color="auto" w:fill="auto"/>
            <w:vAlign w:val="center"/>
            <w:hideMark/>
          </w:tcPr>
          <w:p w14:paraId="4C9AC92E"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Orofacial Pain</w:t>
            </w:r>
          </w:p>
        </w:tc>
        <w:tc>
          <w:tcPr>
            <w:tcW w:w="1275" w:type="dxa"/>
            <w:shd w:val="clear" w:color="auto" w:fill="auto"/>
            <w:vAlign w:val="center"/>
            <w:hideMark/>
          </w:tcPr>
          <w:p w14:paraId="6924BC34" w14:textId="111587BE"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evaluate the clinical-effectiveness of oral splints for patients with </w:t>
            </w:r>
            <w:r w:rsidR="007D52E1" w:rsidRPr="005C470C">
              <w:rPr>
                <w:rFonts w:ascii="Times New Roman" w:eastAsia="Times New Roman" w:hAnsi="Times New Roman" w:cs="Times New Roman"/>
                <w:sz w:val="20"/>
                <w:szCs w:val="20"/>
                <w:lang w:val="en-US" w:eastAsia="pt-BR"/>
              </w:rPr>
              <w:t>temporomandibular disfunction (</w:t>
            </w:r>
            <w:r w:rsidRPr="005C470C">
              <w:rPr>
                <w:rFonts w:ascii="Times New Roman" w:eastAsia="Times New Roman" w:hAnsi="Times New Roman" w:cs="Times New Roman"/>
                <w:sz w:val="20"/>
                <w:szCs w:val="20"/>
                <w:lang w:val="en-US" w:eastAsia="pt-BR"/>
              </w:rPr>
              <w:t>TMD</w:t>
            </w:r>
            <w:r w:rsidR="007D52E1" w:rsidRPr="005C470C">
              <w:rPr>
                <w:rFonts w:ascii="Times New Roman" w:eastAsia="Times New Roman" w:hAnsi="Times New Roman" w:cs="Times New Roman"/>
                <w:sz w:val="20"/>
                <w:szCs w:val="20"/>
                <w:lang w:val="en-US" w:eastAsia="pt-BR"/>
              </w:rPr>
              <w:t>)</w:t>
            </w:r>
            <w:r w:rsidRPr="005C470C">
              <w:rPr>
                <w:rFonts w:ascii="Times New Roman" w:eastAsia="Times New Roman" w:hAnsi="Times New Roman" w:cs="Times New Roman"/>
                <w:sz w:val="20"/>
                <w:szCs w:val="20"/>
                <w:lang w:val="en-US" w:eastAsia="pt-BR"/>
              </w:rPr>
              <w:t xml:space="preserve"> or bruxism </w:t>
            </w:r>
          </w:p>
        </w:tc>
        <w:tc>
          <w:tcPr>
            <w:tcW w:w="1134" w:type="dxa"/>
            <w:shd w:val="clear" w:color="auto" w:fill="auto"/>
            <w:vAlign w:val="center"/>
            <w:hideMark/>
          </w:tcPr>
          <w:p w14:paraId="41551692" w14:textId="2FCCA84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Children (over 11</w:t>
            </w:r>
            <w:r w:rsidR="007D52E1"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old) and adults who had either TMD or bruxism, in either primary or secondary care</w:t>
            </w:r>
          </w:p>
        </w:tc>
        <w:tc>
          <w:tcPr>
            <w:tcW w:w="1276" w:type="dxa"/>
            <w:shd w:val="clear" w:color="auto" w:fill="auto"/>
            <w:vAlign w:val="center"/>
            <w:hideMark/>
          </w:tcPr>
          <w:p w14:paraId="784FA64B" w14:textId="1752CA9E"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Any </w:t>
            </w:r>
            <w:r w:rsidR="006226A8" w:rsidRPr="005C470C">
              <w:rPr>
                <w:rFonts w:ascii="Times New Roman" w:eastAsia="Times New Roman" w:hAnsi="Times New Roman" w:cs="Times New Roman"/>
                <w:color w:val="000000"/>
                <w:sz w:val="20"/>
                <w:szCs w:val="20"/>
                <w:lang w:val="en-US" w:eastAsia="pt-BR"/>
              </w:rPr>
              <w:t>type of oral splint</w:t>
            </w:r>
          </w:p>
        </w:tc>
        <w:tc>
          <w:tcPr>
            <w:tcW w:w="1418" w:type="dxa"/>
            <w:shd w:val="clear" w:color="auto" w:fill="auto"/>
            <w:vAlign w:val="center"/>
            <w:hideMark/>
          </w:tcPr>
          <w:p w14:paraId="22AB817C" w14:textId="07066C2A"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sz w:val="20"/>
                <w:szCs w:val="20"/>
                <w:lang w:eastAsia="pt-BR"/>
              </w:rPr>
              <w:t xml:space="preserve">No </w:t>
            </w:r>
            <w:r w:rsidR="006226A8" w:rsidRPr="005C470C">
              <w:rPr>
                <w:rFonts w:ascii="Times New Roman" w:eastAsia="Times New Roman" w:hAnsi="Times New Roman" w:cs="Times New Roman"/>
                <w:sz w:val="20"/>
                <w:szCs w:val="20"/>
                <w:lang w:eastAsia="pt-BR"/>
              </w:rPr>
              <w:t xml:space="preserve">splint/minimal intervention </w:t>
            </w:r>
          </w:p>
        </w:tc>
        <w:tc>
          <w:tcPr>
            <w:tcW w:w="1275" w:type="dxa"/>
            <w:shd w:val="clear" w:color="auto" w:fill="auto"/>
            <w:vAlign w:val="center"/>
            <w:hideMark/>
          </w:tcPr>
          <w:p w14:paraId="28933DCD" w14:textId="647AE3D3" w:rsidR="006226A8" w:rsidRPr="005C470C" w:rsidRDefault="007D52E1"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w:t>
            </w:r>
            <w:r w:rsidR="006226A8" w:rsidRPr="005C470C">
              <w:rPr>
                <w:rFonts w:ascii="Times New Roman" w:eastAsia="Times New Roman" w:hAnsi="Times New Roman" w:cs="Times New Roman"/>
                <w:color w:val="000000"/>
                <w:sz w:val="20"/>
                <w:szCs w:val="20"/>
                <w:lang w:val="en-US" w:eastAsia="pt-BR"/>
              </w:rPr>
              <w:t>ain and harms</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clicking of the </w:t>
            </w:r>
            <w:r w:rsidR="00491835" w:rsidRPr="005C470C">
              <w:rPr>
                <w:rFonts w:ascii="Times New Roman" w:eastAsia="Times New Roman" w:hAnsi="Times New Roman" w:cs="Times New Roman"/>
                <w:color w:val="000000"/>
                <w:sz w:val="20"/>
                <w:szCs w:val="20"/>
                <w:lang w:val="en-US" w:eastAsia="pt-BR"/>
              </w:rPr>
              <w:t>TMJ</w:t>
            </w:r>
            <w:r w:rsidR="006226A8" w:rsidRPr="005C470C">
              <w:rPr>
                <w:rFonts w:ascii="Times New Roman" w:eastAsia="Times New Roman" w:hAnsi="Times New Roman" w:cs="Times New Roman"/>
                <w:color w:val="000000"/>
                <w:sz w:val="20"/>
                <w:szCs w:val="20"/>
                <w:lang w:val="en-US" w:eastAsia="pt-BR"/>
              </w:rPr>
              <w:t xml:space="preserve">, change in restricted mouth opening, frequency of headaches and reduced </w:t>
            </w:r>
            <w:r w:rsidR="006226A8" w:rsidRPr="005C470C">
              <w:rPr>
                <w:rFonts w:ascii="Times New Roman" w:eastAsia="Times New Roman" w:hAnsi="Times New Roman" w:cs="Times New Roman"/>
                <w:color w:val="000000"/>
                <w:sz w:val="20"/>
                <w:szCs w:val="20"/>
                <w:lang w:val="en-US" w:eastAsia="pt-BR"/>
              </w:rPr>
              <w:lastRenderedPageBreak/>
              <w:t>quality of life</w:t>
            </w:r>
            <w:r w:rsidR="00491835"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w:t>
            </w:r>
            <w:r w:rsidR="00491835" w:rsidRPr="005C470C">
              <w:rPr>
                <w:rFonts w:ascii="Times New Roman" w:eastAsia="Times New Roman" w:hAnsi="Times New Roman" w:cs="Times New Roman"/>
                <w:color w:val="000000"/>
                <w:sz w:val="20"/>
                <w:szCs w:val="20"/>
                <w:lang w:val="en-US" w:eastAsia="pt-BR"/>
              </w:rPr>
              <w:t>p</w:t>
            </w:r>
            <w:r w:rsidR="006226A8" w:rsidRPr="005C470C">
              <w:rPr>
                <w:rFonts w:ascii="Times New Roman" w:eastAsia="Times New Roman" w:hAnsi="Times New Roman" w:cs="Times New Roman"/>
                <w:color w:val="000000"/>
                <w:sz w:val="20"/>
                <w:szCs w:val="20"/>
                <w:lang w:val="en-US" w:eastAsia="pt-BR"/>
              </w:rPr>
              <w:t>atient satisfaction</w:t>
            </w:r>
            <w:r w:rsidR="00491835"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and adherence to treatment </w:t>
            </w:r>
            <w:r w:rsidR="00491835" w:rsidRPr="005C470C">
              <w:rPr>
                <w:rFonts w:ascii="Times New Roman" w:eastAsia="Times New Roman" w:hAnsi="Times New Roman" w:cs="Times New Roman"/>
                <w:color w:val="000000"/>
                <w:sz w:val="20"/>
                <w:szCs w:val="20"/>
                <w:lang w:val="en-US" w:eastAsia="pt-BR"/>
              </w:rPr>
              <w:t xml:space="preserve">(bruxism patients: tooth wear, </w:t>
            </w:r>
            <w:r w:rsidR="006226A8" w:rsidRPr="005C470C">
              <w:rPr>
                <w:rFonts w:ascii="Times New Roman" w:eastAsia="Times New Roman" w:hAnsi="Times New Roman" w:cs="Times New Roman"/>
                <w:color w:val="000000"/>
                <w:sz w:val="20"/>
                <w:szCs w:val="20"/>
                <w:lang w:val="en-US" w:eastAsia="pt-BR"/>
              </w:rPr>
              <w:t>index</w:t>
            </w:r>
            <w:r w:rsidR="00491835"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 xml:space="preserve">and frequency of bruxism activity </w:t>
            </w:r>
            <w:r w:rsidR="00491835" w:rsidRPr="005C470C">
              <w:rPr>
                <w:rFonts w:ascii="Times New Roman" w:eastAsia="Times New Roman" w:hAnsi="Times New Roman" w:cs="Times New Roman"/>
                <w:color w:val="000000"/>
                <w:sz w:val="20"/>
                <w:szCs w:val="20"/>
                <w:lang w:val="en-US" w:eastAsia="pt-BR"/>
              </w:rPr>
              <w:t>were</w:t>
            </w:r>
            <w:r w:rsidR="006226A8" w:rsidRPr="005C470C">
              <w:rPr>
                <w:rFonts w:ascii="Times New Roman" w:eastAsia="Times New Roman" w:hAnsi="Times New Roman" w:cs="Times New Roman"/>
                <w:color w:val="000000"/>
                <w:sz w:val="20"/>
                <w:szCs w:val="20"/>
                <w:lang w:val="en-US" w:eastAsia="pt-BR"/>
              </w:rPr>
              <w:t xml:space="preserve"> also recorded</w:t>
            </w:r>
            <w:r w:rsidR="00491835"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33B6AD7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(n=37)</w:t>
            </w:r>
          </w:p>
        </w:tc>
        <w:tc>
          <w:tcPr>
            <w:tcW w:w="567" w:type="dxa"/>
            <w:shd w:val="clear" w:color="auto" w:fill="auto"/>
            <w:vAlign w:val="center"/>
            <w:hideMark/>
          </w:tcPr>
          <w:p w14:paraId="0228F5AA"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86528E9" w14:textId="3A52C563" w:rsidR="006226A8" w:rsidRPr="005C470C" w:rsidRDefault="00491835"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w:t>
            </w:r>
            <w:r w:rsidR="006226A8" w:rsidRPr="005C470C">
              <w:rPr>
                <w:rFonts w:ascii="Times New Roman" w:eastAsia="Times New Roman" w:hAnsi="Times New Roman" w:cs="Times New Roman"/>
                <w:color w:val="000000"/>
                <w:sz w:val="20"/>
                <w:szCs w:val="20"/>
                <w:lang w:val="en-US" w:eastAsia="pt-BR"/>
              </w:rPr>
              <w:t xml:space="preserve">here is no clear evidence to support the provision of splints for the various sub-types of TMD or bruxism. However, the body of evidence that this conclusion is based </w:t>
            </w:r>
            <w:r w:rsidR="006226A8" w:rsidRPr="005C470C">
              <w:rPr>
                <w:rFonts w:ascii="Times New Roman" w:eastAsia="Times New Roman" w:hAnsi="Times New Roman" w:cs="Times New Roman"/>
                <w:color w:val="000000"/>
                <w:sz w:val="20"/>
                <w:szCs w:val="20"/>
                <w:lang w:val="en-US" w:eastAsia="pt-BR"/>
              </w:rPr>
              <w:lastRenderedPageBreak/>
              <w:t>on is of very low certainty</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BDF6EA7"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5C470C" w14:paraId="6BC56844" w14:textId="77777777" w:rsidTr="00114AF5">
        <w:trPr>
          <w:trHeight w:val="20"/>
        </w:trPr>
        <w:tc>
          <w:tcPr>
            <w:tcW w:w="1135" w:type="dxa"/>
            <w:shd w:val="clear" w:color="auto" w:fill="auto"/>
            <w:vAlign w:val="center"/>
            <w:hideMark/>
          </w:tcPr>
          <w:p w14:paraId="61AA1E1B"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Robertson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&lt;EndNote&gt;&lt;Cite&gt;&lt;Author&gt;Robertson&lt;/Author&gt;&lt;Year&gt;2020&lt;/Year&gt;&lt;RecNum&gt;20986&lt;/RecNum&gt;&lt;DisplayText&gt;&lt;style face="superscript"&gt;81&lt;/style&gt;&lt;/DisplayText&gt;&lt;record&gt;&lt;rec-number&gt;20986&lt;/rec-number&gt;&lt;foreign-keys&gt;&lt;key app="EN" db-id="f5fv5a2shx52dqesxzmpffeqzt5ffxae2vev" timestamp="1607902594"&gt;20986&lt;/key&gt;&lt;/foreign-keys&gt;&lt;ref-type name="Journal Article"&gt;17&lt;/ref-type&gt;&lt;contributors&gt;&lt;authors&gt;&lt;author&gt;Robertson, Lindsay&lt;/author&gt;&lt;author&gt;Kaur, Harsimrat&lt;/author&gt;&lt;author&gt;Fagundes, Nathalia Carolina Fernandes&lt;/author&gt;&lt;author&gt;Romanyk, Dan&lt;/author&gt;&lt;author&gt;Major, Paul&lt;/author&gt;&lt;author&gt;Flores Mir, Carlos&lt;/author&gt;&lt;/authors&gt;&lt;/contributors&gt;&lt;titles&gt;&lt;title&gt;Effectiveness of clear aligner therapy for orthodontic treatment: A systematic review&lt;/title&gt;&lt;secondary-title&gt;Orthodontics &amp;amp; craniofacial research&lt;/secondary-title&gt;&lt;/titles&gt;&lt;periodical&gt;&lt;full-title&gt;Orthod Craniofac Res&lt;/full-title&gt;&lt;abbr-1&gt;Orthodontics &amp;amp; craniofacial research&lt;/abbr-1&gt;&lt;/periodical&gt;&lt;pages&gt;133-142&lt;/pages&gt;&lt;volume&gt;23&lt;/volume&gt;&lt;number&gt;2&lt;/number&gt;&lt;dates&gt;&lt;year&gt;2020&lt;/year&gt;&lt;/dates&gt;&lt;isbn&gt;1601-6335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81</w:t>
            </w:r>
            <w:r w:rsidR="0008652B" w:rsidRPr="005C470C">
              <w:rPr>
                <w:rFonts w:ascii="Times New Roman" w:eastAsia="Times New Roman" w:hAnsi="Times New Roman" w:cs="Times New Roman"/>
                <w:sz w:val="20"/>
                <w:szCs w:val="20"/>
                <w:lang w:eastAsia="pt-BR"/>
              </w:rPr>
              <w:fldChar w:fldCharType="end"/>
            </w:r>
          </w:p>
          <w:p w14:paraId="41023CAC" w14:textId="0EBAB93B"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Canada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39BD6D39"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Orthodontics &amp; craniofacial research</w:t>
            </w:r>
          </w:p>
          <w:p w14:paraId="0DDE72EC" w14:textId="26928736"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(1.455)</w:t>
            </w:r>
          </w:p>
        </w:tc>
        <w:tc>
          <w:tcPr>
            <w:tcW w:w="1418" w:type="dxa"/>
            <w:shd w:val="clear" w:color="auto" w:fill="auto"/>
            <w:vAlign w:val="center"/>
            <w:hideMark/>
          </w:tcPr>
          <w:p w14:paraId="29EB7272"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4892476C" w14:textId="0C0AD53B"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analyse the effectiveness of clear aligners by </w:t>
            </w:r>
            <w:r w:rsidR="00491835" w:rsidRPr="005C470C">
              <w:rPr>
                <w:rFonts w:ascii="Times New Roman" w:eastAsia="Times New Roman" w:hAnsi="Times New Roman" w:cs="Times New Roman"/>
                <w:sz w:val="20"/>
                <w:szCs w:val="20"/>
                <w:lang w:val="en-US" w:eastAsia="pt-BR"/>
              </w:rPr>
              <w:t xml:space="preserve">assessing </w:t>
            </w:r>
            <w:r w:rsidRPr="005C470C">
              <w:rPr>
                <w:rFonts w:ascii="Times New Roman" w:eastAsia="Times New Roman" w:hAnsi="Times New Roman" w:cs="Times New Roman"/>
                <w:sz w:val="20"/>
                <w:szCs w:val="20"/>
                <w:lang w:val="en-US" w:eastAsia="pt-BR"/>
              </w:rPr>
              <w:t>predictability of clear aligners and treatment outcome comparison of clear aligner therapy with fixed appliance therapy</w:t>
            </w:r>
          </w:p>
        </w:tc>
        <w:tc>
          <w:tcPr>
            <w:tcW w:w="1134" w:type="dxa"/>
            <w:shd w:val="clear" w:color="auto" w:fill="auto"/>
            <w:vAlign w:val="center"/>
            <w:hideMark/>
          </w:tcPr>
          <w:p w14:paraId="2ECAC311" w14:textId="675474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Patients undergoing orthodontic</w:t>
            </w:r>
            <w:r w:rsidR="00491835" w:rsidRPr="005C470C">
              <w:rPr>
                <w:rFonts w:ascii="Times New Roman" w:eastAsia="Times New Roman" w:hAnsi="Times New Roman" w:cs="Times New Roman"/>
                <w:color w:val="000000"/>
                <w:sz w:val="20"/>
                <w:szCs w:val="20"/>
                <w:lang w:eastAsia="pt-BR"/>
              </w:rPr>
              <w:t xml:space="preserve"> </w:t>
            </w:r>
            <w:r w:rsidRPr="005C470C">
              <w:rPr>
                <w:rFonts w:ascii="Times New Roman" w:eastAsia="Times New Roman" w:hAnsi="Times New Roman" w:cs="Times New Roman"/>
                <w:color w:val="000000"/>
                <w:sz w:val="20"/>
                <w:szCs w:val="20"/>
                <w:lang w:eastAsia="pt-BR"/>
              </w:rPr>
              <w:t>treatment</w:t>
            </w:r>
          </w:p>
        </w:tc>
        <w:tc>
          <w:tcPr>
            <w:tcW w:w="1276" w:type="dxa"/>
            <w:shd w:val="clear" w:color="auto" w:fill="auto"/>
            <w:vAlign w:val="center"/>
            <w:hideMark/>
          </w:tcPr>
          <w:p w14:paraId="33AA2BEF" w14:textId="1ABD76A0"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Tooth </w:t>
            </w:r>
            <w:r w:rsidR="006226A8" w:rsidRPr="005C470C">
              <w:rPr>
                <w:rFonts w:ascii="Times New Roman" w:eastAsia="Times New Roman" w:hAnsi="Times New Roman" w:cs="Times New Roman"/>
                <w:color w:val="000000"/>
                <w:sz w:val="20"/>
                <w:szCs w:val="20"/>
                <w:lang w:val="en-US" w:eastAsia="pt-BR"/>
              </w:rPr>
              <w:t>movement with clear aligners, or if aligner treatment</w:t>
            </w:r>
          </w:p>
        </w:tc>
        <w:tc>
          <w:tcPr>
            <w:tcW w:w="1418" w:type="dxa"/>
            <w:shd w:val="clear" w:color="auto" w:fill="auto"/>
            <w:vAlign w:val="center"/>
            <w:hideMark/>
          </w:tcPr>
          <w:p w14:paraId="2264319D" w14:textId="51A2A903"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Fixed </w:t>
            </w:r>
            <w:r w:rsidR="006226A8" w:rsidRPr="005C470C">
              <w:rPr>
                <w:rFonts w:ascii="Times New Roman" w:eastAsia="Times New Roman" w:hAnsi="Times New Roman" w:cs="Times New Roman"/>
                <w:color w:val="000000"/>
                <w:sz w:val="20"/>
                <w:szCs w:val="20"/>
                <w:lang w:eastAsia="pt-BR"/>
              </w:rPr>
              <w:t>appliance therapy</w:t>
            </w:r>
          </w:p>
        </w:tc>
        <w:tc>
          <w:tcPr>
            <w:tcW w:w="1275" w:type="dxa"/>
            <w:shd w:val="clear" w:color="auto" w:fill="auto"/>
            <w:vAlign w:val="center"/>
            <w:hideMark/>
          </w:tcPr>
          <w:p w14:paraId="78D019F1"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Effectiveness for orthodontic treatment</w:t>
            </w:r>
          </w:p>
        </w:tc>
        <w:tc>
          <w:tcPr>
            <w:tcW w:w="1134" w:type="dxa"/>
            <w:shd w:val="clear" w:color="auto" w:fill="auto"/>
            <w:vAlign w:val="center"/>
            <w:hideMark/>
          </w:tcPr>
          <w:p w14:paraId="62801E72" w14:textId="683ACA8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 (n=1) and retrospective cohort studies (n=6)</w:t>
            </w:r>
          </w:p>
        </w:tc>
        <w:tc>
          <w:tcPr>
            <w:tcW w:w="567" w:type="dxa"/>
            <w:shd w:val="clear" w:color="auto" w:fill="auto"/>
            <w:vAlign w:val="center"/>
            <w:hideMark/>
          </w:tcPr>
          <w:p w14:paraId="681CEAD5"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3869CB0A" w14:textId="6F9F67A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Most of the tooth movements may not be predictable enough with clear aligner therapy except for minor horizontal teeth movement (moderate level of evidence);</w:t>
            </w:r>
            <w:r w:rsidR="00491835"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Predictability of minor extrusion of anterior teeth (very low level of evidence) has been increased;</w:t>
            </w:r>
            <w:r w:rsidR="00491835"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 xml:space="preserve">Clear aligners may produce clinically acceptable outcomes comparable to </w:t>
            </w:r>
            <w:r w:rsidRPr="005C470C">
              <w:rPr>
                <w:rFonts w:ascii="Times New Roman" w:eastAsia="Times New Roman" w:hAnsi="Times New Roman" w:cs="Times New Roman"/>
                <w:color w:val="000000"/>
                <w:sz w:val="20"/>
                <w:szCs w:val="20"/>
                <w:lang w:val="en-US" w:eastAsia="pt-BR"/>
              </w:rPr>
              <w:lastRenderedPageBreak/>
              <w:t>fixed appliance therapy for minor buccolingual inclination of upper and lower incisors (low level of evidence)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D9F1A6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621524C8" w14:textId="77777777" w:rsidTr="00114AF5">
        <w:trPr>
          <w:trHeight w:val="20"/>
        </w:trPr>
        <w:tc>
          <w:tcPr>
            <w:tcW w:w="1135" w:type="dxa"/>
            <w:shd w:val="clear" w:color="auto" w:fill="auto"/>
            <w:vAlign w:val="center"/>
            <w:hideMark/>
          </w:tcPr>
          <w:p w14:paraId="028A5458"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Ruksakiet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&lt;EndNote&gt;&lt;Cite&gt;&lt;Author&gt;Ruksakiet&lt;/Author&gt;&lt;Year&gt;2020&lt;/Year&gt;&lt;RecNum&gt;21005&lt;/RecNum&gt;&lt;DisplayText&gt;&lt;style face="superscript"&gt;82&lt;/style&gt;&lt;/DisplayText&gt;&lt;record&gt;&lt;rec-number&gt;21005&lt;/rec-number&gt;&lt;foreign-keys&gt;&lt;key app="EN" db-id="f5fv5a2shx52dqesxzmpffeqzt5ffxae2vev" timestamp="1607902605"&gt;21005&lt;/key&gt;&lt;/foreign-keys&gt;&lt;ref-type name="Journal Article"&gt;17&lt;/ref-type&gt;&lt;contributors&gt;&lt;authors&gt;&lt;author&gt;Ruksakiet, Kasidid&lt;/author&gt;&lt;author&gt;Hanák, Lilla&lt;/author&gt;&lt;author&gt;Farkas, Nelli&lt;/author&gt;&lt;author&gt;Hegyi, Péter&lt;/author&gt;&lt;author&gt;Sadaeng, Wuttapon&lt;/author&gt;&lt;author&gt;Czumbel, László Márk&lt;/author&gt;&lt;author&gt;Sang-ngoen, Thanyaporn&lt;/author&gt;&lt;author&gt;Garami, András&lt;/author&gt;&lt;author&gt;Mikó, Alexandra&lt;/author&gt;&lt;author&gt;Varga, Gábor&lt;/author&gt;&lt;/authors&gt;&lt;/contributors&gt;&lt;titles&gt;&lt;title&gt;Antimicrobial efficacy of chlorhexidine and sodium hypochlorite in root canal disinfection: A systematic review and meta-analysis of randomized controlled trials&lt;/title&gt;&lt;secondary-title&gt;Journal of Endodontics&lt;/secondary-title&gt;&lt;/titles&gt;&lt;periodical&gt;&lt;full-title&gt;Journal of endodontics&lt;/full-title&gt;&lt;/periodical&gt;&lt;dates&gt;&lt;year&gt;2020&lt;/year&gt;&lt;/dates&gt;&lt;isbn&gt;0099-2399&lt;/isbn&gt;&lt;urls&gt;&lt;/urls&gt;&lt;/record&gt;&lt;/Cite&gt;&lt;/EndNote&gt;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82</w:t>
            </w:r>
            <w:r w:rsidR="0008652B" w:rsidRPr="005C470C">
              <w:rPr>
                <w:rFonts w:ascii="Times New Roman" w:eastAsia="Times New Roman" w:hAnsi="Times New Roman" w:cs="Times New Roman"/>
                <w:sz w:val="20"/>
                <w:szCs w:val="20"/>
                <w:lang w:eastAsia="pt-BR"/>
              </w:rPr>
              <w:fldChar w:fldCharType="end"/>
            </w:r>
          </w:p>
          <w:p w14:paraId="0F3DDA0A" w14:textId="25EE33C7" w:rsidR="00C53143" w:rsidRPr="005C470C" w:rsidRDefault="00C53143" w:rsidP="00C53143">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Hungary</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3B9B1AD5" w14:textId="77777777" w:rsidR="006226A8"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Endodontics</w:t>
            </w:r>
          </w:p>
          <w:p w14:paraId="52E2634F" w14:textId="0115851F" w:rsidR="00C53143" w:rsidRPr="005C470C"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(3.118)</w:t>
            </w:r>
          </w:p>
        </w:tc>
        <w:tc>
          <w:tcPr>
            <w:tcW w:w="1418" w:type="dxa"/>
            <w:shd w:val="clear" w:color="auto" w:fill="auto"/>
            <w:vAlign w:val="center"/>
            <w:hideMark/>
          </w:tcPr>
          <w:p w14:paraId="5208B7F2"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Endodontics</w:t>
            </w:r>
          </w:p>
        </w:tc>
        <w:tc>
          <w:tcPr>
            <w:tcW w:w="1275" w:type="dxa"/>
            <w:shd w:val="clear" w:color="auto" w:fill="auto"/>
            <w:vAlign w:val="center"/>
            <w:hideMark/>
          </w:tcPr>
          <w:p w14:paraId="3385AE7C" w14:textId="6BD3C4E3"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compare the antimicrobial efficacy of chlorhexidine (CHX) and sodium hypochlorite (NaOCl), 2 irrigants routinely used in root canal therapy of permanent teeth</w:t>
            </w:r>
          </w:p>
        </w:tc>
        <w:tc>
          <w:tcPr>
            <w:tcW w:w="1134" w:type="dxa"/>
            <w:shd w:val="clear" w:color="auto" w:fill="auto"/>
            <w:vAlign w:val="center"/>
            <w:hideMark/>
          </w:tcPr>
          <w:p w14:paraId="2A839048" w14:textId="32779EB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with root canal therapy of permanent teeth with pulpal and/or periapical disease</w:t>
            </w:r>
          </w:p>
        </w:tc>
        <w:tc>
          <w:tcPr>
            <w:tcW w:w="1276" w:type="dxa"/>
            <w:shd w:val="clear" w:color="auto" w:fill="auto"/>
            <w:vAlign w:val="center"/>
            <w:hideMark/>
          </w:tcPr>
          <w:p w14:paraId="1442EDB4"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CHX irrigant</w:t>
            </w:r>
          </w:p>
        </w:tc>
        <w:tc>
          <w:tcPr>
            <w:tcW w:w="1418" w:type="dxa"/>
            <w:shd w:val="clear" w:color="auto" w:fill="auto"/>
            <w:vAlign w:val="center"/>
            <w:hideMark/>
          </w:tcPr>
          <w:p w14:paraId="66A5DA2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NaOCl irrigant</w:t>
            </w:r>
          </w:p>
        </w:tc>
        <w:tc>
          <w:tcPr>
            <w:tcW w:w="1275" w:type="dxa"/>
            <w:shd w:val="clear" w:color="auto" w:fill="auto"/>
            <w:vAlign w:val="center"/>
            <w:hideMark/>
          </w:tcPr>
          <w:p w14:paraId="03AFA447"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Bacterial reduction using bacterial cultivation and/or molecular</w:t>
            </w:r>
          </w:p>
        </w:tc>
        <w:tc>
          <w:tcPr>
            <w:tcW w:w="1134" w:type="dxa"/>
            <w:shd w:val="clear" w:color="auto" w:fill="auto"/>
            <w:vAlign w:val="center"/>
            <w:hideMark/>
          </w:tcPr>
          <w:p w14:paraId="043DE68D"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(n=8)</w:t>
            </w:r>
          </w:p>
        </w:tc>
        <w:tc>
          <w:tcPr>
            <w:tcW w:w="567" w:type="dxa"/>
            <w:shd w:val="clear" w:color="auto" w:fill="auto"/>
            <w:vAlign w:val="center"/>
            <w:hideMark/>
          </w:tcPr>
          <w:p w14:paraId="55C26FE3"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F4B27F1" w14:textId="51587A30" w:rsidR="006226A8" w:rsidRPr="005C470C" w:rsidRDefault="00491835"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w:t>
            </w:r>
            <w:r w:rsidR="006226A8" w:rsidRPr="005C470C">
              <w:rPr>
                <w:rFonts w:ascii="Times New Roman" w:eastAsia="Times New Roman" w:hAnsi="Times New Roman" w:cs="Times New Roman"/>
                <w:color w:val="000000"/>
                <w:sz w:val="20"/>
                <w:szCs w:val="20"/>
                <w:lang w:val="en-US" w:eastAsia="pt-BR"/>
              </w:rPr>
              <w:t xml:space="preserve"> obtained evidence suggested that both CHX and NaOCl significantly, but not completely, reduced endodontic infections during root canal therapy. They were found to be equally effective despite their different molecular mechanisms. </w:t>
            </w:r>
            <w:r w:rsidR="004B61C1" w:rsidRPr="005C470C">
              <w:rPr>
                <w:rFonts w:ascii="Times New Roman" w:eastAsia="Times New Roman" w:hAnsi="Times New Roman" w:cs="Times New Roman"/>
                <w:color w:val="000000"/>
                <w:sz w:val="20"/>
                <w:szCs w:val="20"/>
                <w:lang w:val="en-US" w:eastAsia="pt-BR"/>
              </w:rPr>
              <w:t>T</w:t>
            </w:r>
            <w:r w:rsidR="006226A8" w:rsidRPr="005C470C">
              <w:rPr>
                <w:rFonts w:ascii="Times New Roman" w:eastAsia="Times New Roman" w:hAnsi="Times New Roman" w:cs="Times New Roman"/>
                <w:color w:val="000000"/>
                <w:sz w:val="20"/>
                <w:szCs w:val="20"/>
                <w:lang w:val="en-US" w:eastAsia="pt-BR"/>
              </w:rPr>
              <w:t>heir consecutive application with intermediate flushes between each irrigant as well as the development of more potent antibacterial agents is proposed</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147FF2D" w14:textId="4A545B7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491835" w:rsidRPr="005C470C">
              <w:rPr>
                <w:rFonts w:ascii="Times New Roman" w:eastAsia="Times New Roman" w:hAnsi="Times New Roman" w:cs="Times New Roman"/>
                <w:color w:val="000000"/>
                <w:sz w:val="20"/>
                <w:szCs w:val="20"/>
                <w:lang w:val="en-US" w:eastAsia="pt-BR"/>
              </w:rPr>
              <w:t xml:space="preserve"> – The results were limited by inconsistencies among retrieved articles and a lack of clinically relevant outcomes</w:t>
            </w:r>
            <w:r w:rsidR="00B0457E">
              <w:rPr>
                <w:rFonts w:ascii="Times New Roman" w:eastAsia="Times New Roman" w:hAnsi="Times New Roman" w:cs="Times New Roman"/>
                <w:color w:val="000000"/>
                <w:sz w:val="20"/>
                <w:szCs w:val="20"/>
                <w:lang w:val="en-US" w:eastAsia="pt-BR"/>
              </w:rPr>
              <w:t>.</w:t>
            </w:r>
          </w:p>
        </w:tc>
      </w:tr>
      <w:tr w:rsidR="002914BB" w:rsidRPr="005C470C" w14:paraId="37CEC166" w14:textId="77777777" w:rsidTr="00114AF5">
        <w:trPr>
          <w:trHeight w:val="20"/>
        </w:trPr>
        <w:tc>
          <w:tcPr>
            <w:tcW w:w="1135" w:type="dxa"/>
            <w:shd w:val="clear" w:color="auto" w:fill="auto"/>
            <w:vAlign w:val="center"/>
            <w:hideMark/>
          </w:tcPr>
          <w:p w14:paraId="4AE0E33C"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Sakamoto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&lt;EndNote&gt;&lt;Cite&gt;&lt;Author&gt;Sakamoto&lt;/Author&gt;&lt;Year&gt;2019&lt;/Year&gt;&lt;RecNum&gt;21012&lt;/RecNum&gt;&lt;DisplayText&gt;&lt;style face="superscript"&gt;83&lt;/style&gt;&lt;/DisplayText&gt;&lt;record&gt;&lt;rec-number&gt;21012&lt;/rec-number&gt;&lt;foreign-keys&gt;&lt;key app="EN" db-id="f5fv5a2shx52dqesxzmpffeqzt5ffxae2vev" timestamp="1607902605"&gt;21012&lt;/key&gt;&lt;/foreign-keys&gt;&lt;ref-type name="Journal Article"&gt;17&lt;/ref-type&gt;&lt;contributors&gt;&lt;authors&gt;&lt;author&gt;Sakamoto, Yuki&lt;/author&gt;&lt;author&gt;Furuhashi, Akifumi&lt;/author&gt;&lt;author&gt;Komori, Eri&lt;/author&gt;&lt;author&gt;Ishiyama, Hiroyuki&lt;/author&gt;&lt;author&gt;Hasebe, Daichi&lt;/author&gt;&lt;author&gt;Sato, Kazumichi&lt;/author&gt;&lt;author&gt;Yuasa, Hidemichi&lt;/author&gt;&lt;/authors&gt;&lt;/contributors&gt;&lt;titles&gt;&lt;title&gt;The Most Effective Amount of Forward Movement for Oral Appliances for Obstructive Sleep Apnea: A Systematic Review&lt;/title&gt;&lt;secondary-title&gt;International journal of environmental research and public health&lt;/secondary-title&gt;&lt;/titles&gt;&lt;periodical&gt;&lt;full-title&gt;International journal of environmental research and public health&lt;/full-title&gt;&lt;/periodical&gt;&lt;pages&gt;3248&lt;/pages&gt;&lt;volume&gt;16&lt;/volume&gt;&lt;number&gt;18&lt;/number&gt;&lt;dates&gt;&lt;year&gt;2019&lt;/year&gt;&lt;/dates&gt;&lt;urls&gt;&lt;/urls&gt;&lt;/record&gt;&lt;/Cite&gt;&lt;/EndNote&gt;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83</w:t>
            </w:r>
            <w:r w:rsidR="0008652B" w:rsidRPr="005C470C">
              <w:rPr>
                <w:rFonts w:ascii="Times New Roman" w:eastAsia="Times New Roman" w:hAnsi="Times New Roman" w:cs="Times New Roman"/>
                <w:sz w:val="20"/>
                <w:szCs w:val="20"/>
                <w:lang w:eastAsia="pt-BR"/>
              </w:rPr>
              <w:fldChar w:fldCharType="end"/>
            </w:r>
          </w:p>
          <w:p w14:paraId="6030F8C7" w14:textId="048EBA48"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Japan</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3E1714BA" w14:textId="77777777" w:rsidR="006226A8"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 xml:space="preserve">International journal of </w:t>
            </w:r>
            <w:r w:rsidRPr="00BC17DB">
              <w:rPr>
                <w:rFonts w:ascii="Times New Roman" w:eastAsia="Times New Roman" w:hAnsi="Times New Roman" w:cs="Times New Roman"/>
                <w:sz w:val="20"/>
                <w:szCs w:val="20"/>
                <w:lang w:val="en-US" w:eastAsia="pt-BR"/>
              </w:rPr>
              <w:lastRenderedPageBreak/>
              <w:t>environmental research and public health</w:t>
            </w:r>
          </w:p>
          <w:p w14:paraId="51C4C841" w14:textId="290A7711" w:rsidR="00C53143"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(2.849)</w:t>
            </w:r>
          </w:p>
        </w:tc>
        <w:tc>
          <w:tcPr>
            <w:tcW w:w="1418" w:type="dxa"/>
            <w:shd w:val="clear" w:color="auto" w:fill="auto"/>
            <w:vAlign w:val="center"/>
            <w:hideMark/>
          </w:tcPr>
          <w:p w14:paraId="054336EA"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Oral Medicine</w:t>
            </w:r>
          </w:p>
        </w:tc>
        <w:tc>
          <w:tcPr>
            <w:tcW w:w="1275" w:type="dxa"/>
            <w:shd w:val="clear" w:color="auto" w:fill="auto"/>
            <w:vAlign w:val="center"/>
            <w:hideMark/>
          </w:tcPr>
          <w:p w14:paraId="7E9E658D"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examine the most</w:t>
            </w:r>
            <w:r w:rsidRPr="005C470C">
              <w:rPr>
                <w:rFonts w:ascii="Times New Roman" w:eastAsia="Times New Roman" w:hAnsi="Times New Roman" w:cs="Times New Roman"/>
                <w:sz w:val="20"/>
                <w:szCs w:val="20"/>
                <w:lang w:val="en-US" w:eastAsia="pt-BR"/>
              </w:rPr>
              <w:br/>
              <w:t xml:space="preserve">effective </w:t>
            </w:r>
            <w:r w:rsidRPr="005C470C">
              <w:rPr>
                <w:rFonts w:ascii="Times New Roman" w:eastAsia="Times New Roman" w:hAnsi="Times New Roman" w:cs="Times New Roman"/>
                <w:sz w:val="20"/>
                <w:szCs w:val="20"/>
                <w:lang w:val="en-US" w:eastAsia="pt-BR"/>
              </w:rPr>
              <w:lastRenderedPageBreak/>
              <w:t>protrusion of mandibular orientation of oral appliances (OAs) afresh</w:t>
            </w:r>
          </w:p>
        </w:tc>
        <w:tc>
          <w:tcPr>
            <w:tcW w:w="1134" w:type="dxa"/>
            <w:shd w:val="clear" w:color="auto" w:fill="auto"/>
            <w:vAlign w:val="center"/>
            <w:hideMark/>
          </w:tcPr>
          <w:p w14:paraId="1DAADB6B"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Patients with obstructive </w:t>
            </w:r>
            <w:r w:rsidRPr="005C470C">
              <w:rPr>
                <w:rFonts w:ascii="Times New Roman" w:eastAsia="Times New Roman" w:hAnsi="Times New Roman" w:cs="Times New Roman"/>
                <w:color w:val="000000"/>
                <w:sz w:val="20"/>
                <w:szCs w:val="20"/>
                <w:lang w:val="en-US" w:eastAsia="pt-BR"/>
              </w:rPr>
              <w:lastRenderedPageBreak/>
              <w:t>sleep apnea (OSA)</w:t>
            </w:r>
          </w:p>
        </w:tc>
        <w:tc>
          <w:tcPr>
            <w:tcW w:w="1276" w:type="dxa"/>
            <w:shd w:val="clear" w:color="auto" w:fill="auto"/>
            <w:vAlign w:val="center"/>
            <w:hideMark/>
          </w:tcPr>
          <w:p w14:paraId="3EB061D3" w14:textId="17272FA8"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 xml:space="preserve">Oral </w:t>
            </w:r>
            <w:r w:rsidR="006226A8" w:rsidRPr="005C470C">
              <w:rPr>
                <w:rFonts w:ascii="Times New Roman" w:eastAsia="Times New Roman" w:hAnsi="Times New Roman" w:cs="Times New Roman"/>
                <w:color w:val="000000"/>
                <w:sz w:val="20"/>
                <w:szCs w:val="20"/>
                <w:lang w:eastAsia="pt-BR"/>
              </w:rPr>
              <w:t>appliances</w:t>
            </w:r>
          </w:p>
        </w:tc>
        <w:tc>
          <w:tcPr>
            <w:tcW w:w="1418" w:type="dxa"/>
            <w:shd w:val="clear" w:color="auto" w:fill="auto"/>
            <w:vAlign w:val="center"/>
            <w:hideMark/>
          </w:tcPr>
          <w:p w14:paraId="0FA5C036"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50%, 75%</w:t>
            </w:r>
            <w:r w:rsidRPr="005C470C">
              <w:rPr>
                <w:rFonts w:ascii="Times New Roman" w:eastAsia="Times New Roman" w:hAnsi="Times New Roman" w:cs="Times New Roman"/>
                <w:color w:val="000000"/>
                <w:sz w:val="20"/>
                <w:szCs w:val="20"/>
                <w:lang w:eastAsia="pt-BR"/>
              </w:rPr>
              <w:br/>
              <w:t>protrusion</w:t>
            </w:r>
          </w:p>
        </w:tc>
        <w:tc>
          <w:tcPr>
            <w:tcW w:w="1275" w:type="dxa"/>
            <w:shd w:val="clear" w:color="auto" w:fill="auto"/>
            <w:vAlign w:val="center"/>
            <w:hideMark/>
          </w:tcPr>
          <w:p w14:paraId="64CB81F3" w14:textId="434567C2"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w:t>
            </w:r>
            <w:r w:rsidR="006226A8" w:rsidRPr="005C470C">
              <w:rPr>
                <w:rFonts w:ascii="Times New Roman" w:eastAsia="Times New Roman" w:hAnsi="Times New Roman" w:cs="Times New Roman"/>
                <w:color w:val="000000"/>
                <w:sz w:val="20"/>
                <w:szCs w:val="20"/>
                <w:lang w:val="en-US" w:eastAsia="pt-BR"/>
              </w:rPr>
              <w:t xml:space="preserve">amount of effective protrusion: </w:t>
            </w:r>
            <w:r w:rsidR="006226A8" w:rsidRPr="005C470C">
              <w:rPr>
                <w:rFonts w:ascii="Times New Roman" w:eastAsia="Times New Roman" w:hAnsi="Times New Roman" w:cs="Times New Roman"/>
                <w:color w:val="000000"/>
                <w:sz w:val="20"/>
                <w:szCs w:val="20"/>
                <w:lang w:val="en-US" w:eastAsia="pt-BR"/>
              </w:rPr>
              <w:lastRenderedPageBreak/>
              <w:t>AHI, ODI, Lowest SPO2, Total sleep time, Stage3, Stage REM, ESS, AI, SI</w:t>
            </w:r>
          </w:p>
        </w:tc>
        <w:tc>
          <w:tcPr>
            <w:tcW w:w="1134" w:type="dxa"/>
            <w:shd w:val="clear" w:color="auto" w:fill="auto"/>
            <w:vAlign w:val="center"/>
            <w:hideMark/>
          </w:tcPr>
          <w:p w14:paraId="6E45392A"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(n=3)</w:t>
            </w:r>
          </w:p>
        </w:tc>
        <w:tc>
          <w:tcPr>
            <w:tcW w:w="567" w:type="dxa"/>
            <w:shd w:val="clear" w:color="auto" w:fill="auto"/>
            <w:vAlign w:val="center"/>
            <w:hideMark/>
          </w:tcPr>
          <w:p w14:paraId="70AF040E"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53B7A69" w14:textId="21464192" w:rsidR="006226A8" w:rsidRPr="005C470C" w:rsidRDefault="004B61C1"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It is</w:t>
            </w:r>
            <w:r w:rsidR="006226A8" w:rsidRPr="005C470C">
              <w:rPr>
                <w:rFonts w:ascii="Times New Roman" w:eastAsia="Times New Roman" w:hAnsi="Times New Roman" w:cs="Times New Roman"/>
                <w:color w:val="000000"/>
                <w:sz w:val="20"/>
                <w:szCs w:val="20"/>
                <w:lang w:val="en-US" w:eastAsia="pt-BR"/>
              </w:rPr>
              <w:t xml:space="preserve"> recommend</w:t>
            </w:r>
            <w:r w:rsidRPr="005C470C">
              <w:rPr>
                <w:rFonts w:ascii="Times New Roman" w:eastAsia="Times New Roman" w:hAnsi="Times New Roman" w:cs="Times New Roman"/>
                <w:color w:val="000000"/>
                <w:sz w:val="20"/>
                <w:szCs w:val="20"/>
                <w:lang w:val="en-US" w:eastAsia="pt-BR"/>
              </w:rPr>
              <w:t>ed</w:t>
            </w:r>
            <w:r w:rsidR="006226A8" w:rsidRPr="005C470C">
              <w:rPr>
                <w:rFonts w:ascii="Times New Roman" w:eastAsia="Times New Roman" w:hAnsi="Times New Roman" w:cs="Times New Roman"/>
                <w:color w:val="000000"/>
                <w:sz w:val="20"/>
                <w:szCs w:val="20"/>
                <w:lang w:val="en-US" w:eastAsia="pt-BR"/>
              </w:rPr>
              <w:t xml:space="preserve"> that for patients with severe OSA, </w:t>
            </w:r>
            <w:r w:rsidR="006226A8" w:rsidRPr="005C470C">
              <w:rPr>
                <w:rFonts w:ascii="Times New Roman" w:eastAsia="Times New Roman" w:hAnsi="Times New Roman" w:cs="Times New Roman"/>
                <w:color w:val="000000"/>
                <w:sz w:val="20"/>
                <w:szCs w:val="20"/>
                <w:lang w:val="en-US" w:eastAsia="pt-BR"/>
              </w:rPr>
              <w:lastRenderedPageBreak/>
              <w:t>it is beneficial to begin with a mandibular protrusion of approximately 70%, and in cases of mild to moderate OSA, begin with that of approximately 50%</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5D3C238" w14:textId="206D223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Y</w:t>
            </w:r>
          </w:p>
        </w:tc>
      </w:tr>
      <w:tr w:rsidR="002914BB" w:rsidRPr="00114AF5" w14:paraId="3513FDD8" w14:textId="77777777" w:rsidTr="00114AF5">
        <w:trPr>
          <w:trHeight w:val="20"/>
        </w:trPr>
        <w:tc>
          <w:tcPr>
            <w:tcW w:w="1135" w:type="dxa"/>
            <w:shd w:val="clear" w:color="auto" w:fill="auto"/>
            <w:vAlign w:val="center"/>
            <w:hideMark/>
          </w:tcPr>
          <w:p w14:paraId="4F6934A3"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Sales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&lt;EndNote&gt;&lt;Cite&gt;&lt;Author&gt;Sales&lt;/Author&gt;&lt;Year&gt;2020&lt;/Year&gt;&lt;RecNum&gt;20984&lt;/RecNum&gt;&lt;DisplayText&gt;&lt;style face="superscript"&gt;84&lt;/style&gt;&lt;/DisplayText&gt;&lt;record&gt;&lt;rec-number&gt;20984&lt;/rec-number&gt;&lt;foreign-keys&gt;&lt;key app="EN" db-id="f5fv5a2shx52dqesxzmpffeqzt5ffxae2vev" timestamp="1607902594"&gt;20984&lt;/key&gt;&lt;/foreign-keys&gt;&lt;ref-type name="Journal Article"&gt;17&lt;/ref-type&gt;&lt;contributors&gt;&lt;authors&gt;&lt;author&gt;Sales, PHH&lt;/author&gt;&lt;author&gt;Costa, FWG&lt;/author&gt;&lt;author&gt;Cetira Filho, EL&lt;/author&gt;&lt;author&gt;Silva, PGB&lt;/author&gt;&lt;author&gt;Albuquerque, AFM&lt;/author&gt;&lt;author&gt;Leão, JC&lt;/author&gt;&lt;/authors&gt;&lt;/contributors&gt;&lt;titles&gt;&lt;title&gt;Effect of maxillary advancement on speech and velopharyngeal function of patients with cleft palate: Systematic Review and Meta-Analysis&lt;/title&gt;&lt;secondary-title&gt;International Journal of Oral and Maxillofacial Surgery&lt;/secondary-title&gt;&lt;/titles&gt;&lt;periodical&gt;&lt;full-title&gt;Int J Oral Maxillofac Surg&lt;/full-title&gt;&lt;abbr-1&gt;International journal of oral and maxillofacial surgery&lt;/abbr-1&gt;&lt;/periodical&gt;&lt;dates&gt;&lt;year&gt;2020&lt;/year&gt;&lt;/dates&gt;&lt;isbn&gt;0901-5027&lt;/isbn&gt;&lt;urls&gt;&lt;/urls&gt;&lt;/record&gt;&lt;/Cite&gt;&lt;/EndNote&gt;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84</w:t>
            </w:r>
            <w:r w:rsidR="0008652B" w:rsidRPr="005C470C">
              <w:rPr>
                <w:rFonts w:ascii="Times New Roman" w:eastAsia="Times New Roman" w:hAnsi="Times New Roman" w:cs="Times New Roman"/>
                <w:sz w:val="20"/>
                <w:szCs w:val="20"/>
                <w:lang w:eastAsia="pt-BR"/>
              </w:rPr>
              <w:fldChar w:fldCharType="end"/>
            </w:r>
          </w:p>
          <w:p w14:paraId="11DE44D8" w14:textId="6D4185D1"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24A279E7" w14:textId="77777777"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International journal of oral and maxillofacial surgery</w:t>
            </w:r>
          </w:p>
          <w:p w14:paraId="1703BD55" w14:textId="3DD4963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(2.068)</w:t>
            </w:r>
          </w:p>
        </w:tc>
        <w:tc>
          <w:tcPr>
            <w:tcW w:w="1418" w:type="dxa"/>
            <w:shd w:val="clear" w:color="auto" w:fill="auto"/>
            <w:vAlign w:val="center"/>
            <w:hideMark/>
          </w:tcPr>
          <w:p w14:paraId="05831576"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10DB1075" w14:textId="60119C0A"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speech and velopharyngeal function (VPF) changes of patients with cleft palate (CLP) after maxillary advancemen</w:t>
            </w:r>
            <w:r w:rsidR="004B61C1" w:rsidRPr="005C470C">
              <w:rPr>
                <w:rFonts w:ascii="Times New Roman" w:eastAsia="Times New Roman" w:hAnsi="Times New Roman" w:cs="Times New Roman"/>
                <w:sz w:val="20"/>
                <w:szCs w:val="20"/>
                <w:lang w:val="en-US" w:eastAsia="pt-BR"/>
              </w:rPr>
              <w:t>t</w:t>
            </w:r>
            <w:r w:rsidRPr="005C470C">
              <w:rPr>
                <w:rFonts w:ascii="Times New Roman" w:eastAsia="Times New Roman" w:hAnsi="Times New Roman" w:cs="Times New Roman"/>
                <w:sz w:val="20"/>
                <w:szCs w:val="20"/>
                <w:lang w:val="en-US" w:eastAsia="pt-BR"/>
              </w:rPr>
              <w:t xml:space="preserve"> surgery</w:t>
            </w:r>
            <w:r w:rsidR="004B61C1" w:rsidRPr="005C470C">
              <w:rPr>
                <w:rFonts w:ascii="Times New Roman" w:eastAsia="Times New Roman" w:hAnsi="Times New Roman" w:cs="Times New Roman"/>
                <w:sz w:val="20"/>
                <w:szCs w:val="20"/>
                <w:lang w:val="en-US" w:eastAsia="pt-BR"/>
              </w:rPr>
              <w:t xml:space="preserve"> (MAS)</w:t>
            </w:r>
          </w:p>
        </w:tc>
        <w:tc>
          <w:tcPr>
            <w:tcW w:w="1134" w:type="dxa"/>
            <w:shd w:val="clear" w:color="auto" w:fill="auto"/>
            <w:vAlign w:val="center"/>
            <w:hideMark/>
          </w:tcPr>
          <w:p w14:paraId="3F132202"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Patients with cleft palate (CLP) </w:t>
            </w:r>
          </w:p>
        </w:tc>
        <w:tc>
          <w:tcPr>
            <w:tcW w:w="1276" w:type="dxa"/>
            <w:shd w:val="clear" w:color="auto" w:fill="auto"/>
            <w:vAlign w:val="center"/>
            <w:hideMark/>
          </w:tcPr>
          <w:p w14:paraId="5C0C87D5" w14:textId="512D8C28"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Maxillary advancement</w:t>
            </w:r>
            <w:r w:rsidR="004B61C1" w:rsidRPr="005C470C">
              <w:rPr>
                <w:rFonts w:ascii="Times New Roman" w:eastAsia="Times New Roman" w:hAnsi="Times New Roman" w:cs="Times New Roman"/>
                <w:color w:val="000000"/>
                <w:sz w:val="20"/>
                <w:szCs w:val="20"/>
                <w:lang w:eastAsia="pt-BR"/>
              </w:rPr>
              <w:t xml:space="preserve"> surgery (MAS)</w:t>
            </w:r>
          </w:p>
        </w:tc>
        <w:tc>
          <w:tcPr>
            <w:tcW w:w="1418" w:type="dxa"/>
            <w:shd w:val="clear" w:color="auto" w:fill="auto"/>
            <w:vAlign w:val="center"/>
            <w:hideMark/>
          </w:tcPr>
          <w:p w14:paraId="67C3DFCD" w14:textId="0EF1447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Presence or absence of </w:t>
            </w:r>
            <w:r w:rsidR="004B61C1" w:rsidRPr="005C470C">
              <w:rPr>
                <w:rFonts w:ascii="Times New Roman" w:eastAsia="Times New Roman" w:hAnsi="Times New Roman" w:cs="Times New Roman"/>
                <w:color w:val="000000"/>
                <w:sz w:val="20"/>
                <w:szCs w:val="20"/>
                <w:lang w:val="en-US" w:eastAsia="pt-BR"/>
              </w:rPr>
              <w:t>velopharyngeal dysfunction (</w:t>
            </w:r>
            <w:r w:rsidRPr="005C470C">
              <w:rPr>
                <w:rFonts w:ascii="Times New Roman" w:eastAsia="Times New Roman" w:hAnsi="Times New Roman" w:cs="Times New Roman"/>
                <w:color w:val="000000"/>
                <w:sz w:val="20"/>
                <w:szCs w:val="20"/>
                <w:lang w:val="en-US" w:eastAsia="pt-BR"/>
              </w:rPr>
              <w:t>VD</w:t>
            </w:r>
            <w:r w:rsidR="004B61C1"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and speech disorders</w:t>
            </w:r>
          </w:p>
        </w:tc>
        <w:tc>
          <w:tcPr>
            <w:tcW w:w="1275" w:type="dxa"/>
            <w:shd w:val="clear" w:color="auto" w:fill="auto"/>
            <w:vAlign w:val="center"/>
            <w:hideMark/>
          </w:tcPr>
          <w:p w14:paraId="606DAB1D"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VD, speech problems, and other complications</w:t>
            </w:r>
          </w:p>
        </w:tc>
        <w:tc>
          <w:tcPr>
            <w:tcW w:w="1134" w:type="dxa"/>
            <w:shd w:val="clear" w:color="auto" w:fill="auto"/>
            <w:vAlign w:val="center"/>
            <w:hideMark/>
          </w:tcPr>
          <w:p w14:paraId="6A4A6A19" w14:textId="5DD4893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(n=3) and prospective</w:t>
            </w:r>
            <w:r w:rsidR="00DA4084"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retrospective observational studies (n=7)</w:t>
            </w:r>
          </w:p>
        </w:tc>
        <w:tc>
          <w:tcPr>
            <w:tcW w:w="567" w:type="dxa"/>
            <w:shd w:val="clear" w:color="auto" w:fill="auto"/>
            <w:vAlign w:val="center"/>
            <w:hideMark/>
          </w:tcPr>
          <w:p w14:paraId="43D536D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65A6D12A" w14:textId="1910012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effect of </w:t>
            </w:r>
            <w:r w:rsidR="004B61C1" w:rsidRPr="005C470C">
              <w:rPr>
                <w:rFonts w:ascii="Times New Roman" w:eastAsia="Times New Roman" w:hAnsi="Times New Roman" w:cs="Times New Roman"/>
                <w:color w:val="000000"/>
                <w:sz w:val="20"/>
                <w:szCs w:val="20"/>
                <w:lang w:val="en-US" w:eastAsia="pt-BR"/>
              </w:rPr>
              <w:t>MAS</w:t>
            </w:r>
            <w:r w:rsidRPr="005C470C">
              <w:rPr>
                <w:rFonts w:ascii="Times New Roman" w:eastAsia="Times New Roman" w:hAnsi="Times New Roman" w:cs="Times New Roman"/>
                <w:color w:val="000000"/>
                <w:sz w:val="20"/>
                <w:szCs w:val="20"/>
                <w:lang w:val="en-US" w:eastAsia="pt-BR"/>
              </w:rPr>
              <w:t xml:space="preserve"> on speech and VPF remains controversial in CLP patients. The RoB, inconsistencies, and imprecisions severely affected the overall quality of evidence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BB33563" w14:textId="1F4E473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4B61C1" w:rsidRPr="005C470C">
              <w:rPr>
                <w:rFonts w:ascii="Times New Roman" w:eastAsia="Times New Roman" w:hAnsi="Times New Roman" w:cs="Times New Roman"/>
                <w:color w:val="000000"/>
                <w:sz w:val="20"/>
                <w:szCs w:val="20"/>
                <w:lang w:val="en-US" w:eastAsia="pt-BR"/>
              </w:rPr>
              <w:t xml:space="preserve"> - Further adequately delineated clinical studies are necessary</w:t>
            </w:r>
            <w:r w:rsidR="00B0457E">
              <w:rPr>
                <w:rFonts w:ascii="Times New Roman" w:eastAsia="Times New Roman" w:hAnsi="Times New Roman" w:cs="Times New Roman"/>
                <w:color w:val="000000"/>
                <w:sz w:val="20"/>
                <w:szCs w:val="20"/>
                <w:lang w:val="en-US" w:eastAsia="pt-BR"/>
              </w:rPr>
              <w:t>.</w:t>
            </w:r>
          </w:p>
        </w:tc>
      </w:tr>
      <w:tr w:rsidR="002914BB" w:rsidRPr="005C470C" w14:paraId="6055AEE7" w14:textId="77777777" w:rsidTr="00114AF5">
        <w:trPr>
          <w:trHeight w:val="20"/>
        </w:trPr>
        <w:tc>
          <w:tcPr>
            <w:tcW w:w="1135" w:type="dxa"/>
            <w:shd w:val="clear" w:color="auto" w:fill="auto"/>
            <w:vAlign w:val="center"/>
            <w:hideMark/>
          </w:tcPr>
          <w:p w14:paraId="78462D60"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Salgado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&lt;EndNote&gt;&lt;Cite&gt;&lt;Author&gt;Salgado&lt;/Author&gt;&lt;Year&gt;2019&lt;/Year&gt;&lt;RecNum&gt;21011&lt;/RecNum&gt;&lt;DisplayText&gt;&lt;style face="superscript"&gt;85&lt;/style&gt;&lt;/DisplayText&gt;&lt;record&gt;&lt;rec-number&gt;21011&lt;/rec-number&gt;&lt;foreign-keys&gt;&lt;key app="EN" db-id="f5fv5a2shx52dqesxzmpffeqzt5ffxae2vev" timestamp="1607902605"&gt;21011&lt;/key&gt;&lt;/foreign-keys&gt;&lt;ref-type name="Journal Article"&gt;17&lt;/ref-type&gt;&lt;contributors&gt;&lt;authors&gt;&lt;author&gt;Salgado, Karina Rodrigues&lt;/author&gt;&lt;author&gt;Wendt, Andréa Reis&lt;/author&gt;&lt;author&gt;Fagundes, Nathalia Carolina Fernandes&lt;/author&gt;&lt;author&gt;Maia, Lucianne Copple&lt;/author&gt;&lt;author&gt;Normando, David&lt;/author&gt;&lt;author&gt;Leão, Patrícia Botelho&lt;/author&gt;&lt;/authors&gt;&lt;/contributors&gt;&lt;titles&gt;&lt;title&gt;Early or delayed palatoplasty in complete unilateral cleft lip and palate patients? A systematic review of the effects on maxillary growth&lt;/title&gt;&lt;secondary-title&gt;Journal of Cranio-Maxillofacial Surgery&lt;/secondary-title&gt;&lt;/titles&gt;&lt;periodical&gt;&lt;full-title&gt;Journal of Cranio-Maxillofacial Surgery&lt;/full-title&gt;&lt;/periodical&gt;&lt;pages&gt;1690-1698&lt;/pages&gt;&lt;volume&gt;47&lt;/volume&gt;&lt;number&gt;11&lt;/number&gt;&lt;dates&gt;&lt;year&gt;2019&lt;/year&gt;&lt;/dates&gt;&lt;isbn&gt;1010-5182&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85</w:t>
            </w:r>
            <w:r w:rsidR="0008652B" w:rsidRPr="005C470C">
              <w:rPr>
                <w:rFonts w:ascii="Times New Roman" w:eastAsia="Times New Roman" w:hAnsi="Times New Roman" w:cs="Times New Roman"/>
                <w:sz w:val="20"/>
                <w:szCs w:val="20"/>
                <w:lang w:eastAsia="pt-BR"/>
              </w:rPr>
              <w:fldChar w:fldCharType="end"/>
            </w:r>
          </w:p>
          <w:p w14:paraId="5AFE0A01" w14:textId="25AC16B8"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18600FEE" w14:textId="77777777" w:rsidR="006226A8"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Journal of Cranio-Maxillofacial Surgery</w:t>
            </w:r>
          </w:p>
          <w:p w14:paraId="5ED2AD97" w14:textId="38B677F2"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(1.766)</w:t>
            </w:r>
          </w:p>
        </w:tc>
        <w:tc>
          <w:tcPr>
            <w:tcW w:w="1418" w:type="dxa"/>
            <w:shd w:val="clear" w:color="auto" w:fill="auto"/>
            <w:vAlign w:val="center"/>
            <w:hideMark/>
          </w:tcPr>
          <w:p w14:paraId="535A62E7"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4D912B15"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review the effects of early and late hard palate repair on maxillary growth</w:t>
            </w:r>
          </w:p>
        </w:tc>
        <w:tc>
          <w:tcPr>
            <w:tcW w:w="1134" w:type="dxa"/>
            <w:shd w:val="clear" w:color="auto" w:fill="auto"/>
            <w:vAlign w:val="center"/>
            <w:hideMark/>
          </w:tcPr>
          <w:p w14:paraId="552EA56F"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Children with unilateral complete cleft lip and palate</w:t>
            </w:r>
          </w:p>
        </w:tc>
        <w:tc>
          <w:tcPr>
            <w:tcW w:w="1276" w:type="dxa"/>
            <w:shd w:val="clear" w:color="auto" w:fill="auto"/>
            <w:vAlign w:val="center"/>
            <w:hideMark/>
          </w:tcPr>
          <w:p w14:paraId="798D873C" w14:textId="0A69A92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Early palatoplasty, with hard palate surgery carried out before</w:t>
            </w:r>
            <w:r w:rsidR="004B61C1"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18</w:t>
            </w:r>
            <w:r w:rsidR="004B61C1" w:rsidRPr="005C470C">
              <w:rPr>
                <w:rFonts w:ascii="Times New Roman" w:eastAsia="Times New Roman" w:hAnsi="Times New Roman" w:cs="Times New Roman"/>
                <w:color w:val="000000"/>
                <w:sz w:val="20"/>
                <w:szCs w:val="20"/>
                <w:lang w:val="en-US" w:eastAsia="pt-BR"/>
              </w:rPr>
              <w:t>mo</w:t>
            </w:r>
          </w:p>
        </w:tc>
        <w:tc>
          <w:tcPr>
            <w:tcW w:w="1418" w:type="dxa"/>
            <w:shd w:val="clear" w:color="auto" w:fill="auto"/>
            <w:vAlign w:val="center"/>
            <w:hideMark/>
          </w:tcPr>
          <w:p w14:paraId="458A08ED" w14:textId="7CC7DBD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Late palatoplasty, with hard palate surgery carried out after 18</w:t>
            </w:r>
            <w:r w:rsidR="004B61C1" w:rsidRPr="005C470C">
              <w:rPr>
                <w:rFonts w:ascii="Times New Roman" w:eastAsia="Times New Roman" w:hAnsi="Times New Roman" w:cs="Times New Roman"/>
                <w:color w:val="000000"/>
                <w:sz w:val="20"/>
                <w:szCs w:val="20"/>
                <w:lang w:val="en-US" w:eastAsia="pt-BR"/>
              </w:rPr>
              <w:t>mo</w:t>
            </w:r>
          </w:p>
        </w:tc>
        <w:tc>
          <w:tcPr>
            <w:tcW w:w="1275" w:type="dxa"/>
            <w:shd w:val="clear" w:color="auto" w:fill="auto"/>
            <w:vAlign w:val="center"/>
            <w:hideMark/>
          </w:tcPr>
          <w:p w14:paraId="5B8536F3" w14:textId="4C464182" w:rsidR="006226A8" w:rsidRPr="005C470C" w:rsidRDefault="00DA4084"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D</w:t>
            </w:r>
            <w:r w:rsidR="006226A8" w:rsidRPr="005C470C">
              <w:rPr>
                <w:rFonts w:ascii="Times New Roman" w:eastAsia="Times New Roman" w:hAnsi="Times New Roman" w:cs="Times New Roman"/>
                <w:color w:val="000000"/>
                <w:sz w:val="20"/>
                <w:szCs w:val="20"/>
                <w:lang w:val="en-US" w:eastAsia="pt-BR"/>
              </w:rPr>
              <w:t xml:space="preserve">ifferences in the maxillary growth among </w:t>
            </w:r>
            <w:r w:rsidRPr="005C470C">
              <w:rPr>
                <w:rFonts w:ascii="Times New Roman" w:eastAsia="Times New Roman" w:hAnsi="Times New Roman" w:cs="Times New Roman"/>
                <w:color w:val="000000"/>
                <w:sz w:val="20"/>
                <w:szCs w:val="20"/>
                <w:lang w:val="en-US" w:eastAsia="pt-BR"/>
              </w:rPr>
              <w:t xml:space="preserve">the </w:t>
            </w:r>
            <w:r w:rsidR="006226A8" w:rsidRPr="005C470C">
              <w:rPr>
                <w:rFonts w:ascii="Times New Roman" w:eastAsia="Times New Roman" w:hAnsi="Times New Roman" w:cs="Times New Roman"/>
                <w:color w:val="000000"/>
                <w:sz w:val="20"/>
                <w:szCs w:val="20"/>
                <w:lang w:val="en-US" w:eastAsia="pt-BR"/>
              </w:rPr>
              <w:t xml:space="preserve">groups </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cephalometric radiographs in</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lateral norm</w:t>
            </w:r>
            <w:r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2099F3BA" w14:textId="236A770A"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Retrospective </w:t>
            </w:r>
            <w:r w:rsidR="006226A8" w:rsidRPr="005C470C">
              <w:rPr>
                <w:rFonts w:ascii="Times New Roman" w:eastAsia="Times New Roman" w:hAnsi="Times New Roman" w:cs="Times New Roman"/>
                <w:color w:val="000000"/>
                <w:sz w:val="20"/>
                <w:szCs w:val="20"/>
                <w:lang w:val="en-US" w:eastAsia="pt-BR"/>
              </w:rPr>
              <w:t>and non-</w:t>
            </w:r>
            <w:r w:rsidR="00DA4084" w:rsidRPr="005C470C">
              <w:rPr>
                <w:rFonts w:ascii="Times New Roman" w:eastAsia="Times New Roman" w:hAnsi="Times New Roman" w:cs="Times New Roman"/>
                <w:color w:val="000000"/>
                <w:sz w:val="20"/>
                <w:szCs w:val="20"/>
                <w:lang w:val="en-US" w:eastAsia="pt-BR"/>
              </w:rPr>
              <w:t>RCTs</w:t>
            </w:r>
            <w:r w:rsidR="006226A8" w:rsidRPr="005C470C">
              <w:rPr>
                <w:rFonts w:ascii="Times New Roman" w:eastAsia="Times New Roman" w:hAnsi="Times New Roman" w:cs="Times New Roman"/>
                <w:color w:val="000000"/>
                <w:sz w:val="20"/>
                <w:szCs w:val="20"/>
                <w:lang w:val="en-US" w:eastAsia="pt-BR"/>
              </w:rPr>
              <w:t xml:space="preserve"> (n=5)</w:t>
            </w:r>
          </w:p>
        </w:tc>
        <w:tc>
          <w:tcPr>
            <w:tcW w:w="567" w:type="dxa"/>
            <w:shd w:val="clear" w:color="auto" w:fill="auto"/>
            <w:vAlign w:val="center"/>
            <w:hideMark/>
          </w:tcPr>
          <w:p w14:paraId="4D27EC2E"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0F9C70BD" w14:textId="1607D5CF" w:rsidR="006226A8" w:rsidRPr="005C470C" w:rsidRDefault="00DA4084"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w:t>
            </w:r>
            <w:r w:rsidR="006226A8" w:rsidRPr="005C470C">
              <w:rPr>
                <w:rFonts w:ascii="Times New Roman" w:eastAsia="Times New Roman" w:hAnsi="Times New Roman" w:cs="Times New Roman"/>
                <w:color w:val="000000"/>
                <w:sz w:val="20"/>
                <w:szCs w:val="20"/>
                <w:lang w:val="en-US" w:eastAsia="pt-BR"/>
              </w:rPr>
              <w:t>t is not possible to prove or rebut that postponing surgery of the hard palate will bring benefits in terms of maxillary growth</w:t>
            </w:r>
            <w:r w:rsidRPr="005C470C">
              <w:rPr>
                <w:rFonts w:ascii="Times New Roman" w:eastAsia="Times New Roman" w:hAnsi="Times New Roman" w:cs="Times New Roman"/>
                <w:color w:val="000000"/>
                <w:sz w:val="20"/>
                <w:szCs w:val="20"/>
                <w:lang w:val="en-US" w:eastAsia="pt-BR"/>
              </w:rPr>
              <w:t xml:space="preserve"> (low level of evidence/high RoB)</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F9DB5D5" w14:textId="45A22DFB"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r w:rsidR="004B61C1" w:rsidRPr="005C470C">
              <w:rPr>
                <w:rFonts w:ascii="Times New Roman" w:eastAsia="Times New Roman" w:hAnsi="Times New Roman" w:cs="Times New Roman"/>
                <w:color w:val="000000"/>
                <w:sz w:val="20"/>
                <w:szCs w:val="20"/>
                <w:lang w:eastAsia="pt-BR"/>
              </w:rPr>
              <w:t xml:space="preserve"> - </w:t>
            </w:r>
            <w:r w:rsidR="004B61C1" w:rsidRPr="005C470C">
              <w:rPr>
                <w:rFonts w:ascii="Times New Roman" w:eastAsia="Times New Roman" w:hAnsi="Times New Roman" w:cs="Times New Roman"/>
                <w:color w:val="000000"/>
                <w:sz w:val="20"/>
                <w:szCs w:val="20"/>
                <w:lang w:val="en-US" w:eastAsia="pt-BR"/>
              </w:rPr>
              <w:t>Inconclusive diverse results</w:t>
            </w:r>
            <w:r w:rsidR="00B0457E">
              <w:rPr>
                <w:rFonts w:ascii="Times New Roman" w:eastAsia="Times New Roman" w:hAnsi="Times New Roman" w:cs="Times New Roman"/>
                <w:color w:val="000000"/>
                <w:sz w:val="20"/>
                <w:szCs w:val="20"/>
                <w:lang w:val="en-US" w:eastAsia="pt-BR"/>
              </w:rPr>
              <w:t>.</w:t>
            </w:r>
          </w:p>
        </w:tc>
      </w:tr>
      <w:tr w:rsidR="002914BB" w:rsidRPr="005C470C" w14:paraId="4C7E64E6" w14:textId="77777777" w:rsidTr="00114AF5">
        <w:trPr>
          <w:trHeight w:val="20"/>
        </w:trPr>
        <w:tc>
          <w:tcPr>
            <w:tcW w:w="1135" w:type="dxa"/>
            <w:shd w:val="clear" w:color="auto" w:fill="auto"/>
            <w:vAlign w:val="center"/>
            <w:hideMark/>
          </w:tcPr>
          <w:p w14:paraId="1F85FBFD"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Sampaio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&lt;EndNote&gt;&lt;Cite&gt;&lt;Author&gt;Sampaio&lt;/Author&gt;&lt;Year&gt;2019&lt;/Year&gt;&lt;RecNum&gt;21033&lt;/RecNum&gt;&lt;DisplayText&gt;&lt;style face="superscript"&gt;86&lt;/style&gt;&lt;/DisplayText&gt;&lt;record&gt;&lt;rec-number&gt;21033&lt;/rec-number&gt;&lt;foreign-keys&gt;&lt;key app="EN" db-id="f5fv5a2shx52dqesxzmpffeqzt5ffxae2vev" timestamp="1607902614"&gt;21033&lt;/key&gt;&lt;/foreign-keys&gt;&lt;ref-type name="Journal Article"&gt;17&lt;/ref-type&gt;&lt;contributors&gt;&lt;authors&gt;&lt;author&gt;Sampaio, Flávia BWR&lt;/author&gt;&lt;author&gt;Özcan, Mutlu&lt;/author&gt;&lt;author&gt;Gimenez, Thais C&lt;/author&gt;&lt;author&gt;Moreira, Maria SNA&lt;/author&gt;&lt;author&gt;Tedesco, Tamara K&lt;/author&gt;&lt;author&gt;Morimoto, Susana&lt;/author&gt;&lt;/authors&gt;&lt;/contributors&gt;&lt;titles&gt;&lt;title&gt;Effects of manufacturing methods on the survival rate of ceramic and indirect composite restorations: A systematic review and meta‐analysis&lt;/title&gt;&lt;secondary-title&gt;Journal of Esthetic and Restorative Dentistry&lt;/secondary-title&gt;&lt;/titles&gt;&lt;periodical&gt;&lt;full-title&gt;Journal of Esthetic and Restorative Dentistry&lt;/full-title&gt;&lt;/periodical&gt;&lt;pages&gt;561-571&lt;/pages&gt;&lt;volume&gt;31&lt;/volume&gt;&lt;number&gt;6&lt;/number&gt;&lt;dates&gt;&lt;year&gt;2019&lt;/year&gt;&lt;/dates&gt;&lt;isbn&gt;1496-4155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86</w:t>
            </w:r>
            <w:r w:rsidR="0008652B" w:rsidRPr="005C470C">
              <w:rPr>
                <w:rFonts w:ascii="Times New Roman" w:eastAsia="Times New Roman" w:hAnsi="Times New Roman" w:cs="Times New Roman"/>
                <w:sz w:val="20"/>
                <w:szCs w:val="20"/>
                <w:lang w:eastAsia="pt-BR"/>
              </w:rPr>
              <w:fldChar w:fldCharType="end"/>
            </w:r>
          </w:p>
          <w:p w14:paraId="5223BDF1" w14:textId="2E31D71C"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lastRenderedPageBreak/>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058D7203" w14:textId="77777777" w:rsidR="006226A8"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lastRenderedPageBreak/>
              <w:t xml:space="preserve">Journal of Esthetic </w:t>
            </w:r>
            <w:r w:rsidRPr="00BC17DB">
              <w:rPr>
                <w:rFonts w:ascii="Times New Roman" w:eastAsia="Times New Roman" w:hAnsi="Times New Roman" w:cs="Times New Roman"/>
                <w:sz w:val="20"/>
                <w:szCs w:val="20"/>
                <w:lang w:val="en-US" w:eastAsia="pt-BR"/>
              </w:rPr>
              <w:lastRenderedPageBreak/>
              <w:t>and Restorative Dentistry</w:t>
            </w:r>
          </w:p>
          <w:p w14:paraId="403AA137" w14:textId="5775691E" w:rsidR="00C53143"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(1.786)</w:t>
            </w:r>
          </w:p>
        </w:tc>
        <w:tc>
          <w:tcPr>
            <w:tcW w:w="1418" w:type="dxa"/>
            <w:shd w:val="clear" w:color="auto" w:fill="auto"/>
            <w:vAlign w:val="center"/>
            <w:hideMark/>
          </w:tcPr>
          <w:p w14:paraId="24478C94"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Prosthodontics</w:t>
            </w:r>
          </w:p>
        </w:tc>
        <w:tc>
          <w:tcPr>
            <w:tcW w:w="1275" w:type="dxa"/>
            <w:shd w:val="clear" w:color="auto" w:fill="auto"/>
            <w:vAlign w:val="center"/>
            <w:hideMark/>
          </w:tcPr>
          <w:p w14:paraId="67E8DC2F" w14:textId="6ED331DA"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evaluate the survival </w:t>
            </w:r>
            <w:r w:rsidRPr="005C470C">
              <w:rPr>
                <w:rFonts w:ascii="Times New Roman" w:eastAsia="Times New Roman" w:hAnsi="Times New Roman" w:cs="Times New Roman"/>
                <w:sz w:val="20"/>
                <w:szCs w:val="20"/>
                <w:lang w:val="en-US" w:eastAsia="pt-BR"/>
              </w:rPr>
              <w:lastRenderedPageBreak/>
              <w:t>rate of ceramic and indirect composite inlays, onlays, and overlays manufactured according to different methods</w:t>
            </w:r>
          </w:p>
        </w:tc>
        <w:tc>
          <w:tcPr>
            <w:tcW w:w="1134" w:type="dxa"/>
            <w:shd w:val="clear" w:color="auto" w:fill="auto"/>
            <w:vAlign w:val="center"/>
            <w:hideMark/>
          </w:tcPr>
          <w:p w14:paraId="6B53EFC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Patients who </w:t>
            </w:r>
            <w:r w:rsidRPr="005C470C">
              <w:rPr>
                <w:rFonts w:ascii="Times New Roman" w:eastAsia="Times New Roman" w:hAnsi="Times New Roman" w:cs="Times New Roman"/>
                <w:color w:val="000000"/>
                <w:sz w:val="20"/>
                <w:szCs w:val="20"/>
                <w:lang w:val="en-US" w:eastAsia="pt-BR"/>
              </w:rPr>
              <w:lastRenderedPageBreak/>
              <w:t>received indirect composite or ceramic inlays, onlays, and overlays</w:t>
            </w:r>
          </w:p>
        </w:tc>
        <w:tc>
          <w:tcPr>
            <w:tcW w:w="1276" w:type="dxa"/>
            <w:shd w:val="clear" w:color="auto" w:fill="auto"/>
            <w:vAlign w:val="center"/>
            <w:hideMark/>
          </w:tcPr>
          <w:p w14:paraId="0E22BD67" w14:textId="73C481D2"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Inlays</w:t>
            </w:r>
            <w:r w:rsidR="006226A8" w:rsidRPr="005C470C">
              <w:rPr>
                <w:rFonts w:ascii="Times New Roman" w:eastAsia="Times New Roman" w:hAnsi="Times New Roman" w:cs="Times New Roman"/>
                <w:color w:val="000000"/>
                <w:sz w:val="20"/>
                <w:szCs w:val="20"/>
                <w:lang w:val="en-US" w:eastAsia="pt-BR"/>
              </w:rPr>
              <w:t xml:space="preserve">, onlays, and </w:t>
            </w:r>
            <w:r w:rsidR="006226A8" w:rsidRPr="005C470C">
              <w:rPr>
                <w:rFonts w:ascii="Times New Roman" w:eastAsia="Times New Roman" w:hAnsi="Times New Roman" w:cs="Times New Roman"/>
                <w:color w:val="000000"/>
                <w:sz w:val="20"/>
                <w:szCs w:val="20"/>
                <w:lang w:val="en-US" w:eastAsia="pt-BR"/>
              </w:rPr>
              <w:lastRenderedPageBreak/>
              <w:t>overlays made of ceramic or indirect composite</w:t>
            </w:r>
          </w:p>
        </w:tc>
        <w:tc>
          <w:tcPr>
            <w:tcW w:w="1418" w:type="dxa"/>
            <w:shd w:val="clear" w:color="auto" w:fill="auto"/>
            <w:vAlign w:val="center"/>
            <w:hideMark/>
          </w:tcPr>
          <w:p w14:paraId="65C8C1B4"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NA</w:t>
            </w:r>
          </w:p>
        </w:tc>
        <w:tc>
          <w:tcPr>
            <w:tcW w:w="1275" w:type="dxa"/>
            <w:shd w:val="clear" w:color="auto" w:fill="auto"/>
            <w:vAlign w:val="center"/>
            <w:hideMark/>
          </w:tcPr>
          <w:p w14:paraId="61BBF373"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Survival rates</w:t>
            </w:r>
          </w:p>
        </w:tc>
        <w:tc>
          <w:tcPr>
            <w:tcW w:w="1134" w:type="dxa"/>
            <w:shd w:val="clear" w:color="auto" w:fill="auto"/>
            <w:vAlign w:val="center"/>
            <w:hideMark/>
          </w:tcPr>
          <w:p w14:paraId="0277738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RCT (n=1) and clinical </w:t>
            </w:r>
            <w:r w:rsidRPr="005C470C">
              <w:rPr>
                <w:rFonts w:ascii="Times New Roman" w:eastAsia="Times New Roman" w:hAnsi="Times New Roman" w:cs="Times New Roman"/>
                <w:color w:val="000000"/>
                <w:sz w:val="20"/>
                <w:szCs w:val="20"/>
                <w:lang w:val="en-US" w:eastAsia="pt-BR"/>
              </w:rPr>
              <w:lastRenderedPageBreak/>
              <w:t>follow-up studies/observational (n=12)</w:t>
            </w:r>
          </w:p>
        </w:tc>
        <w:tc>
          <w:tcPr>
            <w:tcW w:w="567" w:type="dxa"/>
            <w:shd w:val="clear" w:color="auto" w:fill="auto"/>
            <w:vAlign w:val="center"/>
            <w:hideMark/>
          </w:tcPr>
          <w:p w14:paraId="3B98837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Y</w:t>
            </w:r>
          </w:p>
        </w:tc>
        <w:tc>
          <w:tcPr>
            <w:tcW w:w="1701" w:type="dxa"/>
            <w:shd w:val="clear" w:color="auto" w:fill="auto"/>
            <w:vAlign w:val="center"/>
            <w:hideMark/>
          </w:tcPr>
          <w:p w14:paraId="64F97D79" w14:textId="79CAD078" w:rsidR="006226A8" w:rsidRPr="005C470C" w:rsidRDefault="004B61C1"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V</w:t>
            </w:r>
            <w:r w:rsidR="006226A8" w:rsidRPr="005C470C">
              <w:rPr>
                <w:rFonts w:ascii="Times New Roman" w:eastAsia="Times New Roman" w:hAnsi="Times New Roman" w:cs="Times New Roman"/>
                <w:color w:val="000000"/>
                <w:sz w:val="20"/>
                <w:szCs w:val="20"/>
                <w:lang w:val="en-US" w:eastAsia="pt-BR"/>
              </w:rPr>
              <w:t xml:space="preserve">itreous ceramic inlays, onlays, and </w:t>
            </w:r>
            <w:r w:rsidR="006226A8" w:rsidRPr="005C470C">
              <w:rPr>
                <w:rFonts w:ascii="Times New Roman" w:eastAsia="Times New Roman" w:hAnsi="Times New Roman" w:cs="Times New Roman"/>
                <w:color w:val="000000"/>
                <w:sz w:val="20"/>
                <w:szCs w:val="20"/>
                <w:lang w:val="en-US" w:eastAsia="pt-BR"/>
              </w:rPr>
              <w:lastRenderedPageBreak/>
              <w:t xml:space="preserve">overlays showed high survival, providing evidence that these restorations are a safe treatment, but no conclusive evidence is available about indirect composite or crystalline ceramic inlays, onlays, and overlays </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low</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high-moderate</w:t>
            </w:r>
            <w:r w:rsidRPr="005C470C">
              <w:rPr>
                <w:rFonts w:ascii="Times New Roman" w:eastAsia="Times New Roman" w:hAnsi="Times New Roman" w:cs="Times New Roman"/>
                <w:color w:val="000000"/>
                <w:sz w:val="20"/>
                <w:szCs w:val="20"/>
                <w:lang w:val="en-US" w:eastAsia="pt-BR"/>
              </w:rPr>
              <w:t xml:space="preserve"> quality of evidence)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24F6FBC" w14:textId="2822BAF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p>
        </w:tc>
      </w:tr>
      <w:tr w:rsidR="002914BB" w:rsidRPr="00114AF5" w14:paraId="1E4CD829" w14:textId="77777777" w:rsidTr="00114AF5">
        <w:trPr>
          <w:trHeight w:val="20"/>
        </w:trPr>
        <w:tc>
          <w:tcPr>
            <w:tcW w:w="1135" w:type="dxa"/>
            <w:shd w:val="clear" w:color="auto" w:fill="auto"/>
            <w:vAlign w:val="center"/>
            <w:hideMark/>
          </w:tcPr>
          <w:p w14:paraId="2B73C5A3"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Santana et al, 2020</w:t>
            </w:r>
            <w:r w:rsidR="009314F4" w:rsidRPr="005C470C">
              <w:rPr>
                <w:rFonts w:ascii="Times New Roman" w:eastAsia="Times New Roman" w:hAnsi="Times New Roman" w:cs="Times New Roman"/>
                <w:sz w:val="20"/>
                <w:szCs w:val="20"/>
                <w:lang w:eastAsia="pt-BR"/>
              </w:rPr>
              <w:t xml:space="preserve"> (A)</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&lt;EndNote&gt;&lt;Cite&gt;&lt;Author&gt;Santana&lt;/Author&gt;&lt;Year&gt;2020&lt;/Year&gt;&lt;RecNum&gt;21030&lt;/RecNum&gt;&lt;DisplayText&gt;&lt;style face="superscript"&gt;87&lt;/style&gt;&lt;/DisplayText&gt;&lt;record&gt;&lt;rec-number&gt;21030&lt;/rec-number&gt;&lt;foreign-keys&gt;&lt;key app="EN" db-id="f5fv5a2shx52dqesxzmpffeqzt5ffxae2vev" timestamp="1607902614"&gt;21030&lt;/key&gt;&lt;/foreign-keys&gt;&lt;ref-type name="Journal Article"&gt;17&lt;/ref-type&gt;&lt;contributors&gt;&lt;authors&gt;&lt;author&gt;Santana, Lucas Garcia&lt;/author&gt;&lt;author&gt;Avelar, Kimberlly&lt;/author&gt;&lt;author&gt;Flores‐Mir, Carlos&lt;/author&gt;&lt;author&gt;Marques, Leandro Silva&lt;/author&gt;&lt;/authors&gt;&lt;/contributors&gt;&lt;titles&gt;&lt;title&gt;Incremental or maximal mandibular advancement in the treatment of Class II malocclusion through functional appliances: a systematic review with meta‐analysis&lt;/title&gt;&lt;secondary-title&gt;Orthodontics &amp;amp; Craniofacial Research&lt;/secondary-title&gt;&lt;/titles&gt;&lt;periodical&gt;&lt;full-title&gt;Orthod Craniofac Res&lt;/full-title&gt;&lt;abbr-1&gt;Orthodontics &amp;amp; craniofacial research&lt;/abbr-1&gt;&lt;/periodical&gt;&lt;dates&gt;&lt;year&gt;2020&lt;/year&gt;&lt;/dates&gt;&lt;isbn&gt;1601-6335&lt;/isbn&gt;&lt;urls&gt;&lt;/urls&gt;&lt;/record&gt;&lt;/Cite&gt;&lt;/EndNote&gt;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87</w:t>
            </w:r>
            <w:r w:rsidR="0008652B" w:rsidRPr="005C470C">
              <w:rPr>
                <w:rFonts w:ascii="Times New Roman" w:eastAsia="Times New Roman" w:hAnsi="Times New Roman" w:cs="Times New Roman"/>
                <w:sz w:val="20"/>
                <w:szCs w:val="20"/>
                <w:lang w:eastAsia="pt-BR"/>
              </w:rPr>
              <w:fldChar w:fldCharType="end"/>
            </w:r>
          </w:p>
          <w:p w14:paraId="27F1B116" w14:textId="2BCC0152"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7CE66C2A"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Orthodontics &amp; craniofacial research</w:t>
            </w:r>
          </w:p>
          <w:p w14:paraId="7E23512F" w14:textId="4852FB94"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(1.455)</w:t>
            </w:r>
          </w:p>
        </w:tc>
        <w:tc>
          <w:tcPr>
            <w:tcW w:w="1418" w:type="dxa"/>
            <w:shd w:val="clear" w:color="auto" w:fill="auto"/>
            <w:vAlign w:val="center"/>
            <w:hideMark/>
          </w:tcPr>
          <w:p w14:paraId="2BEE811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77DC3E47" w14:textId="46657381"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systematically review the effects of functional appliances (FA) using incremental vs maximal mandibular advancement regarding cephalometric measurements in class II malocclusion individuals and to assess patient-</w:t>
            </w:r>
            <w:r w:rsidRPr="005C470C">
              <w:rPr>
                <w:rFonts w:ascii="Times New Roman" w:eastAsia="Times New Roman" w:hAnsi="Times New Roman" w:cs="Times New Roman"/>
                <w:sz w:val="20"/>
                <w:szCs w:val="20"/>
                <w:lang w:val="en-US" w:eastAsia="pt-BR"/>
              </w:rPr>
              <w:lastRenderedPageBreak/>
              <w:t>centred-outcomes</w:t>
            </w:r>
          </w:p>
        </w:tc>
        <w:tc>
          <w:tcPr>
            <w:tcW w:w="1134" w:type="dxa"/>
            <w:shd w:val="clear" w:color="auto" w:fill="auto"/>
            <w:vAlign w:val="center"/>
            <w:hideMark/>
          </w:tcPr>
          <w:p w14:paraId="574E1696" w14:textId="3D0CF08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Human patients of any gender, without restriction of ethnicity or age, diagnosed with class II malocclusion</w:t>
            </w:r>
          </w:p>
        </w:tc>
        <w:tc>
          <w:tcPr>
            <w:tcW w:w="1276" w:type="dxa"/>
            <w:shd w:val="clear" w:color="auto" w:fill="auto"/>
            <w:vAlign w:val="center"/>
            <w:hideMark/>
          </w:tcPr>
          <w:p w14:paraId="69C56ECD" w14:textId="347474F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Use of functional mandibular advancement with incremental activations for correction of class II malocclusion</w:t>
            </w:r>
          </w:p>
        </w:tc>
        <w:tc>
          <w:tcPr>
            <w:tcW w:w="1418" w:type="dxa"/>
            <w:shd w:val="clear" w:color="auto" w:fill="auto"/>
            <w:vAlign w:val="center"/>
            <w:hideMark/>
          </w:tcPr>
          <w:p w14:paraId="5638A768" w14:textId="72B8D0B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Use of functional mandibular advancement with maximum (single-step) activations for correction of class II malocclusion</w:t>
            </w:r>
          </w:p>
        </w:tc>
        <w:tc>
          <w:tcPr>
            <w:tcW w:w="1275" w:type="dxa"/>
            <w:shd w:val="clear" w:color="auto" w:fill="auto"/>
            <w:vAlign w:val="center"/>
            <w:hideMark/>
          </w:tcPr>
          <w:p w14:paraId="567B2110" w14:textId="6194F9A4" w:rsidR="006226A8" w:rsidRPr="005C470C" w:rsidRDefault="00DA4084"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w:t>
            </w:r>
            <w:r w:rsidR="006226A8" w:rsidRPr="005C470C">
              <w:rPr>
                <w:rFonts w:ascii="Times New Roman" w:eastAsia="Times New Roman" w:hAnsi="Times New Roman" w:cs="Times New Roman"/>
                <w:color w:val="000000"/>
                <w:sz w:val="20"/>
                <w:szCs w:val="20"/>
                <w:lang w:val="en-US" w:eastAsia="pt-BR"/>
              </w:rPr>
              <w:t>keletal and dento-alveolar cephalometric measurements at short term (ie immediately after removal of the appliance); upper airway changes, patient perception and long-term effects (ie at the end of growth)</w:t>
            </w:r>
          </w:p>
        </w:tc>
        <w:tc>
          <w:tcPr>
            <w:tcW w:w="1134" w:type="dxa"/>
            <w:shd w:val="clear" w:color="auto" w:fill="auto"/>
            <w:vAlign w:val="center"/>
            <w:hideMark/>
          </w:tcPr>
          <w:p w14:paraId="4CB04C50" w14:textId="410959A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 and or non-</w:t>
            </w:r>
            <w:r w:rsidR="00DA4084" w:rsidRPr="005C470C">
              <w:rPr>
                <w:rFonts w:ascii="Times New Roman" w:eastAsia="Times New Roman" w:hAnsi="Times New Roman" w:cs="Times New Roman"/>
                <w:color w:val="000000"/>
                <w:sz w:val="20"/>
                <w:szCs w:val="20"/>
                <w:lang w:val="en-US" w:eastAsia="pt-BR"/>
              </w:rPr>
              <w:t>RCTs</w:t>
            </w:r>
            <w:r w:rsidRPr="005C470C">
              <w:rPr>
                <w:rFonts w:ascii="Times New Roman" w:eastAsia="Times New Roman" w:hAnsi="Times New Roman" w:cs="Times New Roman"/>
                <w:color w:val="000000"/>
                <w:sz w:val="20"/>
                <w:szCs w:val="20"/>
                <w:lang w:val="en-US" w:eastAsia="pt-BR"/>
              </w:rPr>
              <w:t xml:space="preserve"> (n=8 papers / n=6 studies)</w:t>
            </w:r>
          </w:p>
        </w:tc>
        <w:tc>
          <w:tcPr>
            <w:tcW w:w="567" w:type="dxa"/>
            <w:shd w:val="clear" w:color="auto" w:fill="auto"/>
            <w:vAlign w:val="center"/>
            <w:hideMark/>
          </w:tcPr>
          <w:p w14:paraId="226C6950"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410EA25" w14:textId="74AC8713"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current evidence suggests that incremental mandibular advancement results in greater gains in mandibular length, anterior mandibular displacement and SNB angle in the short-term</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07F35D3E" w14:textId="19C6CAE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DA4084" w:rsidRPr="005C470C">
              <w:rPr>
                <w:rFonts w:ascii="Times New Roman" w:eastAsia="Times New Roman" w:hAnsi="Times New Roman" w:cs="Times New Roman"/>
                <w:color w:val="000000"/>
                <w:sz w:val="20"/>
                <w:szCs w:val="20"/>
                <w:lang w:val="en-US" w:eastAsia="pt-BR"/>
              </w:rPr>
              <w:t xml:space="preserve"> – </w:t>
            </w:r>
            <w:r w:rsidR="009314F4" w:rsidRPr="005C470C">
              <w:rPr>
                <w:rFonts w:ascii="Times New Roman" w:eastAsia="Times New Roman" w:hAnsi="Times New Roman" w:cs="Times New Roman"/>
                <w:color w:val="000000"/>
                <w:sz w:val="20"/>
                <w:szCs w:val="20"/>
                <w:lang w:val="en-US" w:eastAsia="pt-BR"/>
              </w:rPr>
              <w:t>The clinical meaning of these differences is questionable and the level of evidence indicating significant uncertainty about the estimate of the effect</w:t>
            </w:r>
            <w:r w:rsidR="00B0457E">
              <w:rPr>
                <w:rFonts w:ascii="Times New Roman" w:eastAsia="Times New Roman" w:hAnsi="Times New Roman" w:cs="Times New Roman"/>
                <w:color w:val="000000"/>
                <w:sz w:val="20"/>
                <w:szCs w:val="20"/>
                <w:lang w:val="en-US" w:eastAsia="pt-BR"/>
              </w:rPr>
              <w:t>.</w:t>
            </w:r>
          </w:p>
        </w:tc>
      </w:tr>
      <w:tr w:rsidR="002914BB" w:rsidRPr="00114AF5" w14:paraId="202FEE08" w14:textId="77777777" w:rsidTr="00114AF5">
        <w:trPr>
          <w:trHeight w:val="20"/>
        </w:trPr>
        <w:tc>
          <w:tcPr>
            <w:tcW w:w="1135" w:type="dxa"/>
            <w:shd w:val="clear" w:color="auto" w:fill="auto"/>
            <w:vAlign w:val="center"/>
            <w:hideMark/>
          </w:tcPr>
          <w:p w14:paraId="561F2D63"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Santana et al, 2020</w:t>
            </w:r>
            <w:r w:rsidR="009314F4" w:rsidRPr="005C470C">
              <w:rPr>
                <w:rFonts w:ascii="Times New Roman" w:eastAsia="Times New Roman" w:hAnsi="Times New Roman" w:cs="Times New Roman"/>
                <w:sz w:val="20"/>
                <w:szCs w:val="20"/>
                <w:lang w:eastAsia="pt-BR"/>
              </w:rPr>
              <w:t xml:space="preserve"> (B)</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&lt;EndNote&gt;&lt;Cite&gt;&lt;Author&gt;Santana&lt;/Author&gt;&lt;Year&gt;2020&lt;/Year&gt;&lt;RecNum&gt;21029&lt;/RecNum&gt;&lt;DisplayText&gt;&lt;style face="superscript"&gt;88&lt;/style&gt;&lt;/DisplayText&gt;&lt;record&gt;&lt;rec-number&gt;21029&lt;/rec-number&gt;&lt;foreign-keys&gt;&lt;key app="EN" db-id="f5fv5a2shx52dqesxzmpffeqzt5ffxae2vev" timestamp="1607902614"&gt;21029&lt;/key&gt;&lt;/foreign-keys&gt;&lt;ref-type name="Journal Article"&gt;17&lt;/ref-type&gt;&lt;contributors&gt;&lt;authors&gt;&lt;author&gt;Santana, Lucas Garcia&lt;/author&gt;&lt;author&gt;de Campos França, Esdras&lt;/author&gt;&lt;author&gt;Flores-Mir, Carlos&lt;/author&gt;&lt;author&gt;Abreu, Lucas Guimarães&lt;/author&gt;&lt;author&gt;Marques, Leandro Silva&lt;/author&gt;&lt;author&gt;Martins-Junior, Paulo Antônio&lt;/author&gt;&lt;/authors&gt;&lt;/contributors&gt;&lt;titles&gt;&lt;title&gt;Effects of lip bumper therapy on the mandibular arch dimensions of children and adolescents: A systematic review&lt;/title&gt;&lt;secondary-title&gt;American Journal of Orthodontics and Dentofacial Orthopedics&lt;/secondary-title&gt;&lt;/titles&gt;&lt;periodical&gt;&lt;full-title&gt;American Journal of Orthodontics and Dentofacial Orthopedics&lt;/full-title&gt;&lt;/periodical&gt;&lt;pages&gt;454-465. e1&lt;/pages&gt;&lt;volume&gt;157&lt;/volume&gt;&lt;number&gt;4&lt;/number&gt;&lt;dates&gt;&lt;year&gt;2020&lt;/year&gt;&lt;/dates&gt;&lt;isbn&gt;0889-5406&lt;/isbn&gt;&lt;urls&gt;&lt;/urls&gt;&lt;/record&gt;&lt;/Cite&gt;&lt;/EndNote&gt;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88</w:t>
            </w:r>
            <w:r w:rsidR="0008652B" w:rsidRPr="005C470C">
              <w:rPr>
                <w:rFonts w:ascii="Times New Roman" w:eastAsia="Times New Roman" w:hAnsi="Times New Roman" w:cs="Times New Roman"/>
                <w:sz w:val="20"/>
                <w:szCs w:val="20"/>
                <w:lang w:eastAsia="pt-BR"/>
              </w:rPr>
              <w:fldChar w:fldCharType="end"/>
            </w:r>
          </w:p>
          <w:p w14:paraId="050D5F0F" w14:textId="7659EADA"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6FA7E194" w14:textId="77777777" w:rsidR="006226A8"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American Journal of Orthodontics and Dentofacial Orthopedics</w:t>
            </w:r>
          </w:p>
          <w:p w14:paraId="6D0484D5" w14:textId="2A418A89" w:rsidR="00C53143" w:rsidRPr="00C53143" w:rsidRDefault="00C53143" w:rsidP="006226A8">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(1.960)</w:t>
            </w:r>
          </w:p>
        </w:tc>
        <w:tc>
          <w:tcPr>
            <w:tcW w:w="1418" w:type="dxa"/>
            <w:shd w:val="clear" w:color="auto" w:fill="auto"/>
            <w:vAlign w:val="center"/>
            <w:hideMark/>
          </w:tcPr>
          <w:p w14:paraId="6168DD08"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Pediatric Dentistry</w:t>
            </w:r>
          </w:p>
        </w:tc>
        <w:tc>
          <w:tcPr>
            <w:tcW w:w="1275" w:type="dxa"/>
            <w:shd w:val="clear" w:color="auto" w:fill="auto"/>
            <w:vAlign w:val="center"/>
            <w:hideMark/>
          </w:tcPr>
          <w:p w14:paraId="0EF46D47" w14:textId="091B7724"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identify, evaluate, and provide a synthesis of the available literature on the effects of lip bumper (LB) therapy on the mandibular dental arch of children and adolescents</w:t>
            </w:r>
          </w:p>
        </w:tc>
        <w:tc>
          <w:tcPr>
            <w:tcW w:w="1134" w:type="dxa"/>
            <w:shd w:val="clear" w:color="auto" w:fill="auto"/>
            <w:vAlign w:val="center"/>
            <w:hideMark/>
          </w:tcPr>
          <w:p w14:paraId="5210E973" w14:textId="4221891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Children and adolescents (under the</w:t>
            </w:r>
            <w:r w:rsidRPr="005C470C">
              <w:rPr>
                <w:rFonts w:ascii="Times New Roman" w:eastAsia="Times New Roman" w:hAnsi="Times New Roman" w:cs="Times New Roman"/>
                <w:color w:val="000000"/>
                <w:sz w:val="20"/>
                <w:szCs w:val="20"/>
                <w:lang w:val="en-US" w:eastAsia="pt-BR"/>
              </w:rPr>
              <w:br/>
              <w:t>age of 18</w:t>
            </w:r>
            <w:r w:rsidR="00DA4084"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with mixed or permanent dentition</w:t>
            </w:r>
          </w:p>
        </w:tc>
        <w:tc>
          <w:tcPr>
            <w:tcW w:w="1276" w:type="dxa"/>
            <w:shd w:val="clear" w:color="auto" w:fill="auto"/>
            <w:vAlign w:val="center"/>
            <w:hideMark/>
          </w:tcPr>
          <w:p w14:paraId="6DD8C481" w14:textId="134AC05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Orthodontic treatment with LB in the</w:t>
            </w:r>
            <w:r w:rsidR="00DA4084"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mandibular arch</w:t>
            </w:r>
          </w:p>
        </w:tc>
        <w:tc>
          <w:tcPr>
            <w:tcW w:w="1418" w:type="dxa"/>
            <w:shd w:val="clear" w:color="auto" w:fill="auto"/>
            <w:vAlign w:val="center"/>
            <w:hideMark/>
          </w:tcPr>
          <w:p w14:paraId="2FF78000" w14:textId="7E6026F1" w:rsidR="006226A8" w:rsidRPr="005C470C" w:rsidRDefault="009314F4"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w:t>
            </w:r>
            <w:r w:rsidR="006226A8" w:rsidRPr="005C470C">
              <w:rPr>
                <w:rFonts w:ascii="Times New Roman" w:eastAsia="Times New Roman" w:hAnsi="Times New Roman" w:cs="Times New Roman"/>
                <w:color w:val="000000"/>
                <w:sz w:val="20"/>
                <w:szCs w:val="20"/>
                <w:lang w:val="en-US" w:eastAsia="pt-BR"/>
              </w:rPr>
              <w:t>ndividuals who were not submitted to any treatment, a group of individuals submitted to orthodontic treatment with other appliances, or measurements before LB</w:t>
            </w:r>
          </w:p>
        </w:tc>
        <w:tc>
          <w:tcPr>
            <w:tcW w:w="1275" w:type="dxa"/>
            <w:shd w:val="clear" w:color="auto" w:fill="auto"/>
            <w:vAlign w:val="center"/>
            <w:hideMark/>
          </w:tcPr>
          <w:p w14:paraId="44F652A5" w14:textId="32B67677" w:rsidR="006226A8" w:rsidRPr="005C470C" w:rsidRDefault="00DA4084"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w:t>
            </w:r>
            <w:r w:rsidR="006226A8" w:rsidRPr="005C470C">
              <w:rPr>
                <w:rFonts w:ascii="Times New Roman" w:eastAsia="Times New Roman" w:hAnsi="Times New Roman" w:cs="Times New Roman"/>
                <w:color w:val="000000"/>
                <w:sz w:val="20"/>
                <w:szCs w:val="20"/>
                <w:lang w:val="en-US" w:eastAsia="pt-BR"/>
              </w:rPr>
              <w:t>rch perimeter, arch width, arch length, incisor angulation, distalization and tip of the M1 and stability or relapse of those changes;</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M2 eruption disturbances</w:t>
            </w:r>
          </w:p>
        </w:tc>
        <w:tc>
          <w:tcPr>
            <w:tcW w:w="1134" w:type="dxa"/>
            <w:shd w:val="clear" w:color="auto" w:fill="auto"/>
            <w:vAlign w:val="center"/>
            <w:hideMark/>
          </w:tcPr>
          <w:p w14:paraId="38CD6B3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 (n=1) or non-RCT (n=5)</w:t>
            </w:r>
          </w:p>
        </w:tc>
        <w:tc>
          <w:tcPr>
            <w:tcW w:w="567" w:type="dxa"/>
            <w:shd w:val="clear" w:color="auto" w:fill="auto"/>
            <w:vAlign w:val="center"/>
            <w:hideMark/>
          </w:tcPr>
          <w:p w14:paraId="3B961C2E"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8C3E156" w14:textId="642279AE" w:rsidR="006226A8" w:rsidRPr="005C470C" w:rsidRDefault="00DA4084"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Weak evidence suggests that: </w:t>
            </w:r>
            <w:r w:rsidR="006226A8" w:rsidRPr="005C470C">
              <w:rPr>
                <w:rFonts w:ascii="Times New Roman" w:eastAsia="Times New Roman" w:hAnsi="Times New Roman" w:cs="Times New Roman"/>
                <w:color w:val="000000"/>
                <w:sz w:val="20"/>
                <w:szCs w:val="20"/>
                <w:lang w:val="en-US" w:eastAsia="pt-BR"/>
              </w:rPr>
              <w:t>regarding the effects of LB therapy on the mandibular arch of children and adolescents</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with the use of an LB an increase in arch perimeter and width were attributed to the proclination of the incisor, buccalization of the deciduous molar and/or premolar areas, and distal inclination of the molars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DA864CD" w14:textId="7A63DD01"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DA4084" w:rsidRPr="005C470C">
              <w:rPr>
                <w:rFonts w:ascii="Times New Roman" w:eastAsia="Times New Roman" w:hAnsi="Times New Roman" w:cs="Times New Roman"/>
                <w:color w:val="000000"/>
                <w:sz w:val="20"/>
                <w:szCs w:val="20"/>
                <w:lang w:val="en-US" w:eastAsia="pt-BR"/>
              </w:rPr>
              <w:t xml:space="preserve"> - Well-designed research is needed to guide treatment decisions on this topic</w:t>
            </w:r>
            <w:r w:rsidR="00B0457E">
              <w:rPr>
                <w:rFonts w:ascii="Times New Roman" w:eastAsia="Times New Roman" w:hAnsi="Times New Roman" w:cs="Times New Roman"/>
                <w:color w:val="000000"/>
                <w:sz w:val="20"/>
                <w:szCs w:val="20"/>
                <w:lang w:val="en-US" w:eastAsia="pt-BR"/>
              </w:rPr>
              <w:t>.</w:t>
            </w:r>
          </w:p>
        </w:tc>
      </w:tr>
      <w:tr w:rsidR="002914BB" w:rsidRPr="005C470C" w14:paraId="4D4B5178" w14:textId="77777777" w:rsidTr="00114AF5">
        <w:trPr>
          <w:trHeight w:val="20"/>
        </w:trPr>
        <w:tc>
          <w:tcPr>
            <w:tcW w:w="1135" w:type="dxa"/>
            <w:shd w:val="clear" w:color="auto" w:fill="auto"/>
            <w:vAlign w:val="center"/>
            <w:hideMark/>
          </w:tcPr>
          <w:p w14:paraId="62F527F0" w14:textId="77777777" w:rsidR="00726290" w:rsidRDefault="00726290" w:rsidP="00DF561E">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Santana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&lt;EndNote&gt;&lt;Cite&gt;&lt;Author&gt;Santana&lt;/Author&gt;&lt;Year&gt;2019&lt;/Year&gt;&lt;RecNum&gt;20846&lt;/RecNum&gt;&lt;DisplayText&gt;&lt;style face="superscript"&gt;89&lt;/style&gt;&lt;/DisplayText&gt;&lt;record&gt;&lt;rec-number&gt;20846&lt;/rec-number&gt;&lt;foreign-keys&gt;&lt;key app="EN" db-id="f5fv5a2shx52dqesxzmpffeqzt5ffxae2vev" timestamp="1607902500"&gt;20846&lt;/key&gt;&lt;/foreign-keys&gt;&lt;ref-type name="Journal Article"&gt;17&lt;/ref-type&gt;&lt;contributors&gt;&lt;authors&gt;&lt;author&gt;Santana, Márcia Luciana Carregosa&lt;/author&gt;&lt;author&gt;Leal, Pollyana Caldeira&lt;/author&gt;&lt;author&gt;Reis, Alessandra&lt;/author&gt;&lt;author&gt;Faria-e-Silva, André Luis&lt;/author&gt;&lt;/authors&gt;&lt;/contributors&gt;&lt;titles&gt;&lt;title&gt;Effect of anti-inflammatory and analgesic drugs for the prevention of bleaching-induced tooth sensitivity: A systematic review and meta-analysis&lt;/title&gt;&lt;secondary-title&gt;The Journal of the American Dental Association&lt;/secondary-title&gt;&lt;/titles&gt;&lt;periodical&gt;&lt;full-title&gt;The Journal of the American Dental Association&lt;/full-title&gt;&lt;/periodical&gt;&lt;pages&gt;818-829. e4&lt;/pages&gt;&lt;volume&gt;150&lt;/volume&gt;&lt;number&gt;10&lt;/number&gt;&lt;dates&gt;&lt;year&gt;2019&lt;/year&gt;&lt;/dates&gt;&lt;isbn&gt;0002-8177&lt;/isbn&gt;&lt;urls&gt;&lt;/urls&gt;&lt;/record&gt;&lt;/Cite&gt;&lt;/EndNote&gt;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89</w:t>
            </w:r>
            <w:r w:rsidR="0008652B" w:rsidRPr="005C470C">
              <w:rPr>
                <w:rFonts w:ascii="Times New Roman" w:eastAsia="Times New Roman" w:hAnsi="Times New Roman" w:cs="Times New Roman"/>
                <w:sz w:val="20"/>
                <w:szCs w:val="20"/>
                <w:lang w:eastAsia="pt-BR"/>
              </w:rPr>
              <w:fldChar w:fldCharType="end"/>
            </w:r>
          </w:p>
          <w:p w14:paraId="6BF5D196" w14:textId="23F023E7" w:rsidR="00C53143" w:rsidRPr="005C470C" w:rsidRDefault="00C53143" w:rsidP="00DF561E">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2892CAE5" w14:textId="77777777" w:rsidR="00726290"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The Journal of the American Dental Association</w:t>
            </w:r>
          </w:p>
          <w:p w14:paraId="5076497F" w14:textId="253C5990"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(2.803)</w:t>
            </w:r>
          </w:p>
        </w:tc>
        <w:tc>
          <w:tcPr>
            <w:tcW w:w="1418" w:type="dxa"/>
            <w:shd w:val="clear" w:color="auto" w:fill="auto"/>
            <w:vAlign w:val="center"/>
            <w:hideMark/>
          </w:tcPr>
          <w:p w14:paraId="26C186A5" w14:textId="77777777" w:rsidR="00C53143" w:rsidRDefault="00726290"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Dental Anesthesiology</w:t>
            </w:r>
          </w:p>
          <w:p w14:paraId="64EE7D74" w14:textId="5146DE0D" w:rsidR="00726290" w:rsidRPr="005C470C" w:rsidRDefault="00726290"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2C4FAFB2" w14:textId="202CF649" w:rsidR="00726290" w:rsidRPr="005C470C" w:rsidRDefault="00726290" w:rsidP="00DF561E">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Does the administration of anti-inflammatory drugs affect tooth sensitivity caused by in</w:t>
            </w:r>
            <w:r w:rsidR="009314F4"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 xml:space="preserve">office dental bleaching performed in adults </w:t>
            </w:r>
            <w:r w:rsidRPr="005C470C">
              <w:rPr>
                <w:rFonts w:ascii="Times New Roman" w:eastAsia="Times New Roman" w:hAnsi="Times New Roman" w:cs="Times New Roman"/>
                <w:sz w:val="20"/>
                <w:szCs w:val="20"/>
                <w:lang w:val="en-US" w:eastAsia="pt-BR"/>
              </w:rPr>
              <w:lastRenderedPageBreak/>
              <w:t>compared with a placebo?</w:t>
            </w:r>
          </w:p>
        </w:tc>
        <w:tc>
          <w:tcPr>
            <w:tcW w:w="1134" w:type="dxa"/>
            <w:shd w:val="clear" w:color="auto" w:fill="auto"/>
            <w:vAlign w:val="center"/>
            <w:hideMark/>
          </w:tcPr>
          <w:p w14:paraId="0814105E" w14:textId="77777777" w:rsidR="00726290" w:rsidRPr="005C470C" w:rsidRDefault="00726290" w:rsidP="00DF561E">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Participants undergoing in-office dental bleaching</w:t>
            </w:r>
          </w:p>
        </w:tc>
        <w:tc>
          <w:tcPr>
            <w:tcW w:w="1276" w:type="dxa"/>
            <w:shd w:val="clear" w:color="auto" w:fill="auto"/>
            <w:vAlign w:val="center"/>
            <w:hideMark/>
          </w:tcPr>
          <w:p w14:paraId="04C48B51" w14:textId="77777777" w:rsidR="00726290" w:rsidRPr="005C470C" w:rsidRDefault="00726290" w:rsidP="00DF561E">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Prior administration via an oral route of any anti-inflammatory or analgesic drug</w:t>
            </w:r>
          </w:p>
        </w:tc>
        <w:tc>
          <w:tcPr>
            <w:tcW w:w="1418" w:type="dxa"/>
            <w:shd w:val="clear" w:color="auto" w:fill="auto"/>
            <w:vAlign w:val="center"/>
            <w:hideMark/>
          </w:tcPr>
          <w:p w14:paraId="03215981" w14:textId="77777777" w:rsidR="00726290" w:rsidRPr="005C470C" w:rsidRDefault="00726290" w:rsidP="00DF561E">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Placebo</w:t>
            </w:r>
          </w:p>
        </w:tc>
        <w:tc>
          <w:tcPr>
            <w:tcW w:w="1275" w:type="dxa"/>
            <w:shd w:val="clear" w:color="auto" w:fill="auto"/>
            <w:vAlign w:val="center"/>
            <w:hideMark/>
          </w:tcPr>
          <w:p w14:paraId="31734A62" w14:textId="77777777" w:rsidR="00726290" w:rsidRPr="005C470C" w:rsidRDefault="00726290" w:rsidP="00DF561E">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Tooth sensitivity</w:t>
            </w:r>
          </w:p>
        </w:tc>
        <w:tc>
          <w:tcPr>
            <w:tcW w:w="1134" w:type="dxa"/>
            <w:shd w:val="clear" w:color="auto" w:fill="auto"/>
            <w:vAlign w:val="center"/>
            <w:hideMark/>
          </w:tcPr>
          <w:p w14:paraId="2EF96500" w14:textId="0D2D5BF1" w:rsidR="00726290" w:rsidRPr="005C470C" w:rsidRDefault="00726290" w:rsidP="00DF561E">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 with either a parallel or crossover design</w:t>
            </w:r>
            <w:r w:rsidR="009314F4" w:rsidRPr="005C470C">
              <w:rPr>
                <w:rFonts w:ascii="Times New Roman" w:eastAsia="Times New Roman" w:hAnsi="Times New Roman" w:cs="Times New Roman"/>
                <w:color w:val="000000"/>
                <w:sz w:val="20"/>
                <w:szCs w:val="20"/>
                <w:lang w:val="en-US" w:eastAsia="pt-BR"/>
              </w:rPr>
              <w:t xml:space="preserve"> (n=11)</w:t>
            </w:r>
          </w:p>
        </w:tc>
        <w:tc>
          <w:tcPr>
            <w:tcW w:w="567" w:type="dxa"/>
            <w:shd w:val="clear" w:color="auto" w:fill="auto"/>
            <w:vAlign w:val="center"/>
            <w:hideMark/>
          </w:tcPr>
          <w:p w14:paraId="30A481D9" w14:textId="77777777" w:rsidR="00726290" w:rsidRPr="005C470C" w:rsidRDefault="00726290" w:rsidP="00DF561E">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2163B4C" w14:textId="19A2EE0B" w:rsidR="00726290" w:rsidRPr="005C470C" w:rsidRDefault="00726290" w:rsidP="00DF561E">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Despite the differences in drugs and protocols, with a high level of evidence, </w:t>
            </w:r>
            <w:r w:rsidR="009314F4" w:rsidRPr="005C470C">
              <w:rPr>
                <w:rFonts w:ascii="Times New Roman" w:eastAsia="Times New Roman" w:hAnsi="Times New Roman" w:cs="Times New Roman"/>
                <w:color w:val="000000"/>
                <w:sz w:val="20"/>
                <w:szCs w:val="20"/>
                <w:lang w:val="en-US" w:eastAsia="pt-BR"/>
              </w:rPr>
              <w:t xml:space="preserve">the study showed </w:t>
            </w:r>
            <w:r w:rsidRPr="005C470C">
              <w:rPr>
                <w:rFonts w:ascii="Times New Roman" w:eastAsia="Times New Roman" w:hAnsi="Times New Roman" w:cs="Times New Roman"/>
                <w:color w:val="000000"/>
                <w:sz w:val="20"/>
                <w:szCs w:val="20"/>
                <w:lang w:val="en-US" w:eastAsia="pt-BR"/>
              </w:rPr>
              <w:t>that these drugs did not prevent nor reduce tooth sensitivity</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9EDA7CE" w14:textId="77777777" w:rsidR="00726290" w:rsidRPr="005C470C" w:rsidRDefault="00726290" w:rsidP="00DF561E">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w:t>
            </w:r>
          </w:p>
        </w:tc>
      </w:tr>
      <w:tr w:rsidR="002914BB" w:rsidRPr="005C470C" w14:paraId="4143A194" w14:textId="77777777" w:rsidTr="00114AF5">
        <w:trPr>
          <w:trHeight w:val="4376"/>
        </w:trPr>
        <w:tc>
          <w:tcPr>
            <w:tcW w:w="1135" w:type="dxa"/>
            <w:shd w:val="clear" w:color="auto" w:fill="auto"/>
            <w:vAlign w:val="center"/>
            <w:hideMark/>
          </w:tcPr>
          <w:p w14:paraId="60FB258B"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Santos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&lt;EndNote&gt;&lt;Cite&gt;&lt;Author&gt;Santos&lt;/Author&gt;&lt;Year&gt;2020&lt;/Year&gt;&lt;RecNum&gt;21031&lt;/RecNum&gt;&lt;DisplayText&gt;&lt;style face="superscript"&gt;90&lt;/style&gt;&lt;/DisplayText&gt;&lt;record&gt;&lt;rec-number&gt;21031&lt;/rec-number&gt;&lt;foreign-keys&gt;&lt;key app="EN" db-id="f5fv5a2shx52dqesxzmpffeqzt5ffxae2vev" timestamp="1607902614"&gt;21031&lt;/key&gt;&lt;/foreign-keys&gt;&lt;ref-type name="Journal Article"&gt;17&lt;/ref-type&gt;&lt;contributors&gt;&lt;authors&gt;&lt;author&gt;Santos, Thiago de Santana &lt;/author&gt;&lt;author&gt;Osborne, Patrick Rocha&lt;/author&gt;&lt;author&gt;Jacob, Eduardo Santana&lt;/author&gt;&lt;author&gt;Araújo, Rafael Tajra Evangelista&lt;/author&gt;&lt;author&gt;Nogueira, Carlos Bruno Pinheiro&lt;/author&gt;&lt;author&gt;Martins-Filho, Paulo Ricardo Saquete&lt;/author&gt;&lt;/authors&gt;&lt;/contributors&gt;&lt;titles&gt;&lt;title&gt;Effects of Water-Circulating Cooling Mask on Postoperative Outcomes in Orthognathic Surgery and Facial Trauma&lt;/title&gt;&lt;secondary-title&gt;Journal of Craniofacial Surgery&lt;/secondary-title&gt;&lt;/titles&gt;&lt;periodical&gt;&lt;full-title&gt;Journal of Craniofacial Surgery&lt;/full-title&gt;&lt;/periodical&gt;&lt;pages&gt;1981-1985&lt;/pages&gt;&lt;volume&gt;31&lt;/volume&gt;&lt;number&gt;7&lt;/number&gt;&lt;dates&gt;&lt;year&gt;2020&lt;/year&gt;&lt;/dates&gt;&lt;isbn&gt;1049-2275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90</w:t>
            </w:r>
            <w:r w:rsidR="0008652B" w:rsidRPr="005C470C">
              <w:rPr>
                <w:rFonts w:ascii="Times New Roman" w:eastAsia="Times New Roman" w:hAnsi="Times New Roman" w:cs="Times New Roman"/>
                <w:sz w:val="20"/>
                <w:szCs w:val="20"/>
                <w:lang w:eastAsia="pt-BR"/>
              </w:rPr>
              <w:fldChar w:fldCharType="end"/>
            </w:r>
          </w:p>
          <w:p w14:paraId="69CB6F69" w14:textId="00D9426D"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0E371422"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Journal of Craniofacial Surgery.</w:t>
            </w:r>
          </w:p>
          <w:p w14:paraId="3C7E0C6D" w14:textId="6A103C84"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(0.953)</w:t>
            </w:r>
          </w:p>
        </w:tc>
        <w:tc>
          <w:tcPr>
            <w:tcW w:w="1418" w:type="dxa"/>
            <w:shd w:val="clear" w:color="auto" w:fill="auto"/>
            <w:vAlign w:val="center"/>
            <w:hideMark/>
          </w:tcPr>
          <w:p w14:paraId="4AAF800C"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49D02D04"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investigate the efficacy of hilotherapy on postoperative pain, swelling, neurosensory impairment and patient satisfaction</w:t>
            </w:r>
          </w:p>
        </w:tc>
        <w:tc>
          <w:tcPr>
            <w:tcW w:w="1134" w:type="dxa"/>
            <w:shd w:val="clear" w:color="auto" w:fill="auto"/>
            <w:vAlign w:val="center"/>
            <w:hideMark/>
          </w:tcPr>
          <w:p w14:paraId="525BD86E"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submitted to orthognathic surgery or</w:t>
            </w:r>
            <w:r w:rsidRPr="005C470C">
              <w:rPr>
                <w:rFonts w:ascii="Times New Roman" w:eastAsia="Times New Roman" w:hAnsi="Times New Roman" w:cs="Times New Roman"/>
                <w:color w:val="000000"/>
                <w:sz w:val="20"/>
                <w:szCs w:val="20"/>
                <w:lang w:val="en-US" w:eastAsia="pt-BR"/>
              </w:rPr>
              <w:br/>
              <w:t>treatment of facial fractures</w:t>
            </w:r>
          </w:p>
        </w:tc>
        <w:tc>
          <w:tcPr>
            <w:tcW w:w="1276" w:type="dxa"/>
            <w:shd w:val="clear" w:color="auto" w:fill="auto"/>
            <w:vAlign w:val="center"/>
            <w:hideMark/>
          </w:tcPr>
          <w:p w14:paraId="288AD5F8"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Hilotherapy</w:t>
            </w:r>
          </w:p>
        </w:tc>
        <w:tc>
          <w:tcPr>
            <w:tcW w:w="1418" w:type="dxa"/>
            <w:shd w:val="clear" w:color="auto" w:fill="auto"/>
            <w:vAlign w:val="center"/>
            <w:hideMark/>
          </w:tcPr>
          <w:p w14:paraId="713F550C" w14:textId="4915878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Conventional</w:t>
            </w:r>
            <w:r w:rsidR="009314F4"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cryotherapy or no treatment control group</w:t>
            </w:r>
          </w:p>
        </w:tc>
        <w:tc>
          <w:tcPr>
            <w:tcW w:w="1275" w:type="dxa"/>
            <w:shd w:val="clear" w:color="auto" w:fill="auto"/>
            <w:vAlign w:val="center"/>
            <w:hideMark/>
          </w:tcPr>
          <w:p w14:paraId="25AE91EA" w14:textId="228E7996" w:rsidR="006226A8" w:rsidRPr="005C470C" w:rsidRDefault="009314F4"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w:t>
            </w:r>
            <w:r w:rsidR="006226A8" w:rsidRPr="005C470C">
              <w:rPr>
                <w:rFonts w:ascii="Times New Roman" w:eastAsia="Times New Roman" w:hAnsi="Times New Roman" w:cs="Times New Roman"/>
                <w:color w:val="000000"/>
                <w:sz w:val="20"/>
                <w:szCs w:val="20"/>
                <w:lang w:val="en-US" w:eastAsia="pt-BR"/>
              </w:rPr>
              <w:t>ostoperative pain</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postoperative facial swelling, neurosensory impairment</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and patient satisfaction</w:t>
            </w:r>
          </w:p>
        </w:tc>
        <w:tc>
          <w:tcPr>
            <w:tcW w:w="1134" w:type="dxa"/>
            <w:shd w:val="clear" w:color="auto" w:fill="auto"/>
            <w:vAlign w:val="center"/>
            <w:hideMark/>
          </w:tcPr>
          <w:p w14:paraId="35208ED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(n=5)</w:t>
            </w:r>
          </w:p>
        </w:tc>
        <w:tc>
          <w:tcPr>
            <w:tcW w:w="567" w:type="dxa"/>
            <w:shd w:val="clear" w:color="auto" w:fill="auto"/>
            <w:vAlign w:val="center"/>
            <w:hideMark/>
          </w:tcPr>
          <w:p w14:paraId="3D154106"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36C585F" w14:textId="1A92C9B4"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current available evidence suggests that hilotherapy is effective in reducing postoperative pain and facial swelling in orthognathic surgery and surgical management of facial fractures and may lead to improvements in patient satisfaction and comfort in the recovery phase. Hilotherapy must be considered as an effective option in the management of pain and swelling in advanced postoperative recovery protocols for oral and maxillofacial surgeries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E872282" w14:textId="4C227EF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w:t>
            </w:r>
          </w:p>
        </w:tc>
      </w:tr>
      <w:tr w:rsidR="002914BB" w:rsidRPr="00114AF5" w14:paraId="4B9444E0" w14:textId="77777777" w:rsidTr="00114AF5">
        <w:trPr>
          <w:trHeight w:val="20"/>
        </w:trPr>
        <w:tc>
          <w:tcPr>
            <w:tcW w:w="1135" w:type="dxa"/>
            <w:shd w:val="clear" w:color="auto" w:fill="auto"/>
            <w:vAlign w:val="center"/>
            <w:hideMark/>
          </w:tcPr>
          <w:p w14:paraId="7E1CC842"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Sardana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&lt;EndNote&gt;&lt;Cite&gt;&lt;Author&gt;Sardana&lt;/Author&gt;&lt;Year&gt;2019&lt;/Year&gt;&lt;RecNum&gt;21032&lt;/RecNum&gt;&lt;DisplayText&gt;&lt;style face="superscript"&gt;91&lt;/style&gt;&lt;/DisplayText&gt;&lt;record&gt;&lt;rec-number&gt;21032&lt;/rec-number&gt;&lt;foreign-keys&gt;&lt;key app="EN" db-id="f5fv5a2shx52dqesxzmpffeqzt5ffxae2vev" timestamp="1607902614"&gt;21032&lt;/key&gt;&lt;/foreign-keys&gt;&lt;ref-type name="Journal Article"&gt;17&lt;/ref-type&gt;&lt;contributors&gt;&lt;authors&gt;&lt;author&gt;Sardana, Divesh&lt;/author&gt;&lt;author&gt;Manchanda, Sheetal&lt;/author&gt;&lt;author&gt;Ekambaram, Manikandan&lt;/author&gt;&lt;author&gt;Yang, Yanqi&lt;/author&gt;&lt;author&gt;McGrath, Colman P&lt;/author&gt;&lt;author&gt;Yiu, Cynthia KY&lt;/author&gt;&lt;/authors&gt;&lt;/contributors&gt;&lt;titles&gt;&lt;title&gt;Effectiveness of self-applied topical fluorides against enamel white spot lesions from multi-bracketed fixed orthodontic treatment: a systematic review&lt;/title&gt;&lt;secondary-title&gt;European journal of orthodontics&lt;/secondary-title&gt;&lt;/titles&gt;&lt;periodical&gt;&lt;full-title&gt;Eur J Orthod&lt;/full-title&gt;&lt;abbr-1&gt;European journal of orthodontics&lt;/abbr-1&gt;&lt;/periodical&gt;&lt;pages&gt;661-668&lt;/pages&gt;&lt;volume&gt;41&lt;/volume&gt;&lt;number&gt;6&lt;/number&gt;&lt;dates&gt;&lt;year&gt;2019&lt;/year&gt;&lt;/dates&gt;&lt;isbn&gt;0141-5387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91</w:t>
            </w:r>
            <w:r w:rsidR="0008652B" w:rsidRPr="005C470C">
              <w:rPr>
                <w:rFonts w:ascii="Times New Roman" w:eastAsia="Times New Roman" w:hAnsi="Times New Roman" w:cs="Times New Roman"/>
                <w:sz w:val="20"/>
                <w:szCs w:val="20"/>
                <w:lang w:eastAsia="pt-BR"/>
              </w:rPr>
              <w:fldChar w:fldCharType="end"/>
            </w:r>
          </w:p>
          <w:p w14:paraId="5A9A8820" w14:textId="5E8FBFA5"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745B00A1"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European journal of orthodontics</w:t>
            </w:r>
          </w:p>
          <w:p w14:paraId="756519E6" w14:textId="5BF8D7E5"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lastRenderedPageBreak/>
              <w:t>(2.202)</w:t>
            </w:r>
          </w:p>
        </w:tc>
        <w:tc>
          <w:tcPr>
            <w:tcW w:w="1418" w:type="dxa"/>
            <w:shd w:val="clear" w:color="auto" w:fill="auto"/>
            <w:vAlign w:val="center"/>
            <w:hideMark/>
          </w:tcPr>
          <w:p w14:paraId="429F8A6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Orthodontics and Dentofacial Orthopedics</w:t>
            </w:r>
          </w:p>
        </w:tc>
        <w:tc>
          <w:tcPr>
            <w:tcW w:w="1275" w:type="dxa"/>
            <w:shd w:val="clear" w:color="auto" w:fill="auto"/>
            <w:vAlign w:val="center"/>
            <w:hideMark/>
          </w:tcPr>
          <w:p w14:paraId="7D8EA427" w14:textId="4D4A4148"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effectiveness of self-</w:t>
            </w:r>
            <w:r w:rsidRPr="005C470C">
              <w:rPr>
                <w:rFonts w:ascii="Times New Roman" w:eastAsia="Times New Roman" w:hAnsi="Times New Roman" w:cs="Times New Roman"/>
                <w:sz w:val="20"/>
                <w:szCs w:val="20"/>
                <w:lang w:val="en-US" w:eastAsia="pt-BR"/>
              </w:rPr>
              <w:lastRenderedPageBreak/>
              <w:t xml:space="preserve">applied topical fluorides in the prevention and reversal of </w:t>
            </w:r>
            <w:r w:rsidR="00B431E0" w:rsidRPr="00B431E0">
              <w:rPr>
                <w:rFonts w:ascii="Times New Roman" w:eastAsia="Times New Roman" w:hAnsi="Times New Roman" w:cs="Times New Roman"/>
                <w:sz w:val="20"/>
                <w:szCs w:val="20"/>
                <w:lang w:val="en-US" w:eastAsia="pt-BR"/>
              </w:rPr>
              <w:t>Enamel White Spot Lesions</w:t>
            </w:r>
            <w:r w:rsidR="00B431E0" w:rsidRPr="005C470C">
              <w:rPr>
                <w:rFonts w:ascii="Times New Roman" w:eastAsia="Times New Roman" w:hAnsi="Times New Roman" w:cs="Times New Roman"/>
                <w:sz w:val="20"/>
                <w:szCs w:val="20"/>
                <w:lang w:val="en-US" w:eastAsia="pt-BR"/>
              </w:rPr>
              <w:t xml:space="preserve"> </w:t>
            </w:r>
            <w:r w:rsidR="00B431E0">
              <w:rPr>
                <w:rFonts w:ascii="Times New Roman" w:eastAsia="Times New Roman" w:hAnsi="Times New Roman" w:cs="Times New Roman"/>
                <w:sz w:val="20"/>
                <w:szCs w:val="20"/>
                <w:lang w:val="en-US" w:eastAsia="pt-BR"/>
              </w:rPr>
              <w:t>(</w:t>
            </w:r>
            <w:r w:rsidRPr="005C470C">
              <w:rPr>
                <w:rFonts w:ascii="Times New Roman" w:eastAsia="Times New Roman" w:hAnsi="Times New Roman" w:cs="Times New Roman"/>
                <w:sz w:val="20"/>
                <w:szCs w:val="20"/>
                <w:lang w:val="en-US" w:eastAsia="pt-BR"/>
              </w:rPr>
              <w:t>EWSLs</w:t>
            </w:r>
            <w:r w:rsidR="00B431E0">
              <w:rPr>
                <w:rFonts w:ascii="Times New Roman" w:eastAsia="Times New Roman" w:hAnsi="Times New Roman" w:cs="Times New Roman"/>
                <w:sz w:val="20"/>
                <w:szCs w:val="20"/>
                <w:lang w:val="en-US" w:eastAsia="pt-BR"/>
              </w:rPr>
              <w:t>)</w:t>
            </w:r>
            <w:r w:rsidRPr="005C470C">
              <w:rPr>
                <w:rFonts w:ascii="Times New Roman" w:eastAsia="Times New Roman" w:hAnsi="Times New Roman" w:cs="Times New Roman"/>
                <w:sz w:val="20"/>
                <w:szCs w:val="20"/>
                <w:lang w:val="en-US" w:eastAsia="pt-BR"/>
              </w:rPr>
              <w:t xml:space="preserve"> occurring during multi-bracketed fixed orthodontic treatment</w:t>
            </w:r>
          </w:p>
        </w:tc>
        <w:tc>
          <w:tcPr>
            <w:tcW w:w="1134" w:type="dxa"/>
            <w:shd w:val="clear" w:color="auto" w:fill="auto"/>
            <w:vAlign w:val="center"/>
            <w:hideMark/>
          </w:tcPr>
          <w:p w14:paraId="643C7895"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Patients undergoing multi-bracketed </w:t>
            </w:r>
            <w:r w:rsidRPr="005C470C">
              <w:rPr>
                <w:rFonts w:ascii="Times New Roman" w:eastAsia="Times New Roman" w:hAnsi="Times New Roman" w:cs="Times New Roman"/>
                <w:color w:val="000000"/>
                <w:sz w:val="20"/>
                <w:szCs w:val="20"/>
                <w:lang w:val="en-US" w:eastAsia="pt-BR"/>
              </w:rPr>
              <w:lastRenderedPageBreak/>
              <w:t>fixed orthodontic treatment; or patients who had EWSLs at the end of multi-bracketed fixed orthodontic treatment (post-orthodontic EWSLs)</w:t>
            </w:r>
          </w:p>
        </w:tc>
        <w:tc>
          <w:tcPr>
            <w:tcW w:w="1276" w:type="dxa"/>
            <w:shd w:val="clear" w:color="auto" w:fill="auto"/>
            <w:vAlign w:val="center"/>
            <w:hideMark/>
          </w:tcPr>
          <w:p w14:paraId="7EEAD540"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Self-applied topical fluoride application </w:t>
            </w:r>
            <w:r w:rsidRPr="005C470C">
              <w:rPr>
                <w:rFonts w:ascii="Times New Roman" w:eastAsia="Times New Roman" w:hAnsi="Times New Roman" w:cs="Times New Roman"/>
                <w:color w:val="000000"/>
                <w:sz w:val="20"/>
                <w:szCs w:val="20"/>
                <w:lang w:val="en-US" w:eastAsia="pt-BR"/>
              </w:rPr>
              <w:lastRenderedPageBreak/>
              <w:t>either in the form of fluoridated dentifrices, mouth rinses, or home applied gels used by the patients</w:t>
            </w:r>
          </w:p>
        </w:tc>
        <w:tc>
          <w:tcPr>
            <w:tcW w:w="1418" w:type="dxa"/>
            <w:shd w:val="clear" w:color="auto" w:fill="auto"/>
            <w:vAlign w:val="center"/>
            <w:hideMark/>
          </w:tcPr>
          <w:p w14:paraId="1203F263" w14:textId="21EB163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Standard treatment</w:t>
            </w:r>
            <w:r w:rsidR="009314F4" w:rsidRPr="005C470C">
              <w:rPr>
                <w:rFonts w:ascii="Times New Roman" w:eastAsia="Times New Roman" w:hAnsi="Times New Roman" w:cs="Times New Roman"/>
                <w:color w:val="000000"/>
                <w:sz w:val="20"/>
                <w:szCs w:val="20"/>
                <w:lang w:val="en-US" w:eastAsia="pt-BR"/>
              </w:rPr>
              <w:t xml:space="preserve"> (pre-defined as the use of any </w:t>
            </w:r>
            <w:r w:rsidR="009314F4" w:rsidRPr="005C470C">
              <w:rPr>
                <w:rFonts w:ascii="Times New Roman" w:eastAsia="Times New Roman" w:hAnsi="Times New Roman" w:cs="Times New Roman"/>
                <w:color w:val="000000"/>
                <w:sz w:val="20"/>
                <w:szCs w:val="20"/>
                <w:lang w:val="en-US" w:eastAsia="pt-BR"/>
              </w:rPr>
              <w:lastRenderedPageBreak/>
              <w:t>fluoride dentifrice containing 1000/1055/1100/1250ppm of fluoride)</w:t>
            </w:r>
            <w:r w:rsidRPr="005C470C">
              <w:rPr>
                <w:rFonts w:ascii="Times New Roman" w:eastAsia="Times New Roman" w:hAnsi="Times New Roman" w:cs="Times New Roman"/>
                <w:color w:val="000000"/>
                <w:sz w:val="20"/>
                <w:szCs w:val="20"/>
                <w:lang w:val="en-US" w:eastAsia="pt-BR"/>
              </w:rPr>
              <w:t>, placebo control, or no intervention control</w:t>
            </w:r>
          </w:p>
        </w:tc>
        <w:tc>
          <w:tcPr>
            <w:tcW w:w="1275" w:type="dxa"/>
            <w:shd w:val="clear" w:color="auto" w:fill="auto"/>
            <w:vAlign w:val="center"/>
            <w:hideMark/>
          </w:tcPr>
          <w:p w14:paraId="3C767670"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Primary outcomes: changes in the incidence </w:t>
            </w:r>
            <w:r w:rsidRPr="005C470C">
              <w:rPr>
                <w:rFonts w:ascii="Times New Roman" w:eastAsia="Times New Roman" w:hAnsi="Times New Roman" w:cs="Times New Roman"/>
                <w:color w:val="000000"/>
                <w:sz w:val="20"/>
                <w:szCs w:val="20"/>
                <w:lang w:val="en-US" w:eastAsia="pt-BR"/>
              </w:rPr>
              <w:lastRenderedPageBreak/>
              <w:t>of EWSLs during multi-bracketed fixed orthodontic treatment; reduction in the size of EWSLs or mean fluorescence values or the prevalence of EWSLs</w:t>
            </w:r>
          </w:p>
        </w:tc>
        <w:tc>
          <w:tcPr>
            <w:tcW w:w="1134" w:type="dxa"/>
            <w:shd w:val="clear" w:color="auto" w:fill="auto"/>
            <w:vAlign w:val="center"/>
            <w:hideMark/>
          </w:tcPr>
          <w:p w14:paraId="27AA828D"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(n=3)</w:t>
            </w:r>
          </w:p>
        </w:tc>
        <w:tc>
          <w:tcPr>
            <w:tcW w:w="567" w:type="dxa"/>
            <w:shd w:val="clear" w:color="auto" w:fill="auto"/>
            <w:vAlign w:val="center"/>
            <w:hideMark/>
          </w:tcPr>
          <w:p w14:paraId="535F2939"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04BD4CEC" w14:textId="135EEE4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Although the review did not confirm the effectiveness of </w:t>
            </w:r>
            <w:r w:rsidRPr="005C470C">
              <w:rPr>
                <w:rFonts w:ascii="Times New Roman" w:eastAsia="Times New Roman" w:hAnsi="Times New Roman" w:cs="Times New Roman"/>
                <w:color w:val="000000"/>
                <w:sz w:val="20"/>
                <w:szCs w:val="20"/>
                <w:lang w:val="en-US" w:eastAsia="pt-BR"/>
              </w:rPr>
              <w:lastRenderedPageBreak/>
              <w:t>self-applied fluorides in the reversal of EWSLs, it did partially substantiate the positive role of selfapplied fluorides in the prevention of EWSLs occurring during multi-bracketed fixed orthodontic treatment</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6D3CABB6" w14:textId="0C50D09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9314F4" w:rsidRPr="005C470C">
              <w:rPr>
                <w:rFonts w:ascii="Times New Roman" w:eastAsia="Times New Roman" w:hAnsi="Times New Roman" w:cs="Times New Roman"/>
                <w:color w:val="000000"/>
                <w:sz w:val="20"/>
                <w:szCs w:val="20"/>
                <w:lang w:val="en-US" w:eastAsia="pt-BR"/>
              </w:rPr>
              <w:t xml:space="preserve"> - The review recommends the need for </w:t>
            </w:r>
            <w:r w:rsidR="009314F4" w:rsidRPr="005C470C">
              <w:rPr>
                <w:rFonts w:ascii="Times New Roman" w:eastAsia="Times New Roman" w:hAnsi="Times New Roman" w:cs="Times New Roman"/>
                <w:color w:val="000000"/>
                <w:sz w:val="20"/>
                <w:szCs w:val="20"/>
                <w:lang w:val="en-US" w:eastAsia="pt-BR"/>
              </w:rPr>
              <w:lastRenderedPageBreak/>
              <w:t>well-designed RCTs</w:t>
            </w:r>
            <w:r w:rsidR="00B0457E">
              <w:rPr>
                <w:rFonts w:ascii="Times New Roman" w:eastAsia="Times New Roman" w:hAnsi="Times New Roman" w:cs="Times New Roman"/>
                <w:color w:val="000000"/>
                <w:sz w:val="20"/>
                <w:szCs w:val="20"/>
                <w:lang w:val="en-US" w:eastAsia="pt-BR"/>
              </w:rPr>
              <w:t>.</w:t>
            </w:r>
          </w:p>
        </w:tc>
      </w:tr>
      <w:tr w:rsidR="002914BB" w:rsidRPr="00114AF5" w14:paraId="0075CD4E" w14:textId="77777777" w:rsidTr="00114AF5">
        <w:trPr>
          <w:trHeight w:val="20"/>
        </w:trPr>
        <w:tc>
          <w:tcPr>
            <w:tcW w:w="1135" w:type="dxa"/>
            <w:shd w:val="clear" w:color="auto" w:fill="auto"/>
            <w:vAlign w:val="center"/>
            <w:hideMark/>
          </w:tcPr>
          <w:p w14:paraId="4AF56A97"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Shahabee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&lt;EndNote&gt;&lt;Cite&gt;&lt;Author&gt;Shahabee&lt;/Author&gt;&lt;Year&gt;2020&lt;/Year&gt;&lt;RecNum&gt;21028&lt;/RecNum&gt;&lt;DisplayText&gt;&lt;style face="superscript"&gt;92&lt;/style&gt;&lt;/DisplayText&gt;&lt;record&gt;&lt;rec-number&gt;21028&lt;/rec-number&gt;&lt;foreign-keys&gt;&lt;key app="EN" db-id="f5fv5a2shx52dqesxzmpffeqzt5ffxae2vev" timestamp="1607902614"&gt;21028&lt;/key&gt;&lt;/foreign-keys&gt;&lt;ref-type name="Journal Article"&gt;17&lt;/ref-type&gt;&lt;contributors&gt;&lt;authors&gt;&lt;author&gt;Shahabee, Mostafa&lt;/author&gt;&lt;author&gt;Shafaee, Hooman&lt;/author&gt;&lt;author&gt;Abtahi, Mostafa&lt;/author&gt;&lt;author&gt;Rangrazi, Abdolrasoul&lt;/author&gt;&lt;author&gt;Bardideh, Erfan&lt;/author&gt;&lt;/authors&gt;&lt;/contributors&gt;&lt;titles&gt;&lt;title&gt;Effect of micro-osteoperforation on the rate of orthodontic tooth movement—a systematic review and a meta-analysis&lt;/title&gt;&lt;secondary-title&gt;European Journal of Orthodontics&lt;/secondary-title&gt;&lt;/titles&gt;&lt;periodical&gt;&lt;full-title&gt;Eur J Orthod&lt;/full-title&gt;&lt;abbr-1&gt;European journal of orthodontics&lt;/abbr-1&gt;&lt;/periodical&gt;&lt;pages&gt;211-221&lt;/pages&gt;&lt;volume&gt;42&lt;/volume&gt;&lt;number&gt;2&lt;/number&gt;&lt;dates&gt;&lt;year&gt;2020&lt;/year&gt;&lt;/dates&gt;&lt;isbn&gt;0141-5387&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92</w:t>
            </w:r>
            <w:r w:rsidR="0008652B" w:rsidRPr="005C470C">
              <w:rPr>
                <w:rFonts w:ascii="Times New Roman" w:eastAsia="Times New Roman" w:hAnsi="Times New Roman" w:cs="Times New Roman"/>
                <w:sz w:val="20"/>
                <w:szCs w:val="20"/>
                <w:lang w:eastAsia="pt-BR"/>
              </w:rPr>
              <w:fldChar w:fldCharType="end"/>
            </w:r>
          </w:p>
          <w:p w14:paraId="1223249D" w14:textId="7F4766FA"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(Iran)</w:t>
            </w:r>
          </w:p>
        </w:tc>
        <w:tc>
          <w:tcPr>
            <w:tcW w:w="992" w:type="dxa"/>
            <w:shd w:val="clear" w:color="auto" w:fill="auto"/>
            <w:vAlign w:val="center"/>
            <w:hideMark/>
          </w:tcPr>
          <w:p w14:paraId="37E5FA50" w14:textId="7777777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European journal of orthodontics</w:t>
            </w:r>
          </w:p>
          <w:p w14:paraId="69404957" w14:textId="0CC0956C" w:rsidR="006226A8"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(2.202)</w:t>
            </w:r>
          </w:p>
        </w:tc>
        <w:tc>
          <w:tcPr>
            <w:tcW w:w="1418" w:type="dxa"/>
            <w:shd w:val="clear" w:color="auto" w:fill="auto"/>
            <w:vAlign w:val="center"/>
            <w:hideMark/>
          </w:tcPr>
          <w:p w14:paraId="624A722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5D0B5E46" w14:textId="7A1C02DE"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effects of micro-osteoperforation on the rate of tooth movement in patients undergoing orthodontic</w:t>
            </w:r>
            <w:r w:rsidR="009314F4"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treatment</w:t>
            </w:r>
          </w:p>
        </w:tc>
        <w:tc>
          <w:tcPr>
            <w:tcW w:w="1134" w:type="dxa"/>
            <w:shd w:val="clear" w:color="auto" w:fill="auto"/>
            <w:vAlign w:val="center"/>
            <w:hideMark/>
          </w:tcPr>
          <w:p w14:paraId="182C7E2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Patients undergoing orthodontic treatment</w:t>
            </w:r>
          </w:p>
        </w:tc>
        <w:tc>
          <w:tcPr>
            <w:tcW w:w="1276" w:type="dxa"/>
            <w:shd w:val="clear" w:color="auto" w:fill="auto"/>
            <w:vAlign w:val="center"/>
            <w:hideMark/>
          </w:tcPr>
          <w:p w14:paraId="7DF1102F" w14:textId="4EE3BB03"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Micro</w:t>
            </w:r>
            <w:r w:rsidR="006226A8" w:rsidRPr="005C470C">
              <w:rPr>
                <w:rFonts w:ascii="Times New Roman" w:eastAsia="Times New Roman" w:hAnsi="Times New Roman" w:cs="Times New Roman"/>
                <w:color w:val="000000"/>
                <w:sz w:val="20"/>
                <w:szCs w:val="20"/>
                <w:lang w:val="en-US" w:eastAsia="pt-BR"/>
              </w:rPr>
              <w:t>-osteoperforation on the rate of tooth movement</w:t>
            </w:r>
          </w:p>
        </w:tc>
        <w:tc>
          <w:tcPr>
            <w:tcW w:w="1418" w:type="dxa"/>
            <w:shd w:val="clear" w:color="auto" w:fill="auto"/>
            <w:vAlign w:val="center"/>
            <w:hideMark/>
          </w:tcPr>
          <w:p w14:paraId="2406CFBD" w14:textId="2425951E"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Without </w:t>
            </w:r>
            <w:r w:rsidR="006226A8" w:rsidRPr="005C470C">
              <w:rPr>
                <w:rFonts w:ascii="Times New Roman" w:eastAsia="Times New Roman" w:hAnsi="Times New Roman" w:cs="Times New Roman"/>
                <w:color w:val="000000"/>
                <w:sz w:val="20"/>
                <w:szCs w:val="20"/>
                <w:lang w:eastAsia="pt-BR"/>
              </w:rPr>
              <w:t>micro-osteoperforation</w:t>
            </w:r>
          </w:p>
        </w:tc>
        <w:tc>
          <w:tcPr>
            <w:tcW w:w="1275" w:type="dxa"/>
            <w:shd w:val="clear" w:color="auto" w:fill="auto"/>
            <w:vAlign w:val="center"/>
            <w:hideMark/>
          </w:tcPr>
          <w:p w14:paraId="345C5875" w14:textId="14062C77"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w:t>
            </w:r>
            <w:r w:rsidR="006226A8" w:rsidRPr="005C470C">
              <w:rPr>
                <w:rFonts w:ascii="Times New Roman" w:eastAsia="Times New Roman" w:hAnsi="Times New Roman" w:cs="Times New Roman"/>
                <w:color w:val="000000"/>
                <w:sz w:val="20"/>
                <w:szCs w:val="20"/>
                <w:lang w:val="en-US" w:eastAsia="pt-BR"/>
              </w:rPr>
              <w:t>movement that the tooth made in the span of 1</w:t>
            </w:r>
            <w:r w:rsidR="009314F4" w:rsidRPr="005C470C">
              <w:rPr>
                <w:rFonts w:ascii="Times New Roman" w:eastAsia="Times New Roman" w:hAnsi="Times New Roman" w:cs="Times New Roman"/>
                <w:color w:val="000000"/>
                <w:sz w:val="20"/>
                <w:szCs w:val="20"/>
                <w:lang w:val="en-US" w:eastAsia="pt-BR"/>
              </w:rPr>
              <w:t xml:space="preserve">mo </w:t>
            </w:r>
            <w:r w:rsidR="006226A8" w:rsidRPr="005C470C">
              <w:rPr>
                <w:rFonts w:ascii="Times New Roman" w:eastAsia="Times New Roman" w:hAnsi="Times New Roman" w:cs="Times New Roman"/>
                <w:color w:val="000000"/>
                <w:sz w:val="20"/>
                <w:szCs w:val="20"/>
                <w:lang w:val="en-US" w:eastAsia="pt-BR"/>
              </w:rPr>
              <w:t>(4</w:t>
            </w:r>
            <w:r w:rsidR="009314F4" w:rsidRPr="005C470C">
              <w:rPr>
                <w:rFonts w:ascii="Times New Roman" w:eastAsia="Times New Roman" w:hAnsi="Times New Roman" w:cs="Times New Roman"/>
                <w:color w:val="000000"/>
                <w:sz w:val="20"/>
                <w:szCs w:val="20"/>
                <w:lang w:val="en-US" w:eastAsia="pt-BR"/>
              </w:rPr>
              <w:t>w</w:t>
            </w:r>
            <w:r w:rsidR="006226A8" w:rsidRPr="005C470C">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55BA4F54"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(n=6)</w:t>
            </w:r>
          </w:p>
        </w:tc>
        <w:tc>
          <w:tcPr>
            <w:tcW w:w="567" w:type="dxa"/>
            <w:shd w:val="clear" w:color="auto" w:fill="auto"/>
            <w:vAlign w:val="center"/>
            <w:hideMark/>
          </w:tcPr>
          <w:p w14:paraId="678226A6"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711A60B" w14:textId="68E89811" w:rsidR="006226A8" w:rsidRPr="005C470C" w:rsidRDefault="009314F4"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w:t>
            </w:r>
            <w:r w:rsidR="006226A8" w:rsidRPr="005C470C">
              <w:rPr>
                <w:rFonts w:ascii="Times New Roman" w:eastAsia="Times New Roman" w:hAnsi="Times New Roman" w:cs="Times New Roman"/>
                <w:color w:val="000000"/>
                <w:sz w:val="20"/>
                <w:szCs w:val="20"/>
                <w:lang w:val="en-US" w:eastAsia="pt-BR"/>
              </w:rPr>
              <w:t xml:space="preserve">he difference in the rate of canine retraction after performing the MOP was statistically significant but clinically not very substantial (0.45 mm increase in </w:t>
            </w:r>
            <w:r w:rsidR="00434FEC" w:rsidRPr="005C470C">
              <w:rPr>
                <w:rFonts w:ascii="Times New Roman" w:eastAsia="Times New Roman" w:hAnsi="Times New Roman" w:cs="Times New Roman"/>
                <w:color w:val="000000"/>
                <w:sz w:val="20"/>
                <w:szCs w:val="20"/>
                <w:lang w:val="en-US" w:eastAsia="pt-BR"/>
              </w:rPr>
              <w:t>1mo</w:t>
            </w:r>
            <w:r w:rsidR="006226A8" w:rsidRPr="005C470C">
              <w:rPr>
                <w:rFonts w:ascii="Times New Roman" w:eastAsia="Times New Roman" w:hAnsi="Times New Roman" w:cs="Times New Roman"/>
                <w:color w:val="000000"/>
                <w:sz w:val="20"/>
                <w:szCs w:val="20"/>
                <w:lang w:val="en-US" w:eastAsia="pt-BR"/>
              </w:rPr>
              <w:t xml:space="preserve">). These results were similar with regard to different malocclusions, jaws, and MOP methods. The patients did not report any significant </w:t>
            </w:r>
            <w:r w:rsidR="006226A8" w:rsidRPr="005C470C">
              <w:rPr>
                <w:rFonts w:ascii="Times New Roman" w:eastAsia="Times New Roman" w:hAnsi="Times New Roman" w:cs="Times New Roman"/>
                <w:color w:val="000000"/>
                <w:sz w:val="20"/>
                <w:szCs w:val="20"/>
                <w:lang w:val="en-US" w:eastAsia="pt-BR"/>
              </w:rPr>
              <w:lastRenderedPageBreak/>
              <w:t>differences in terms of the pain severity levels after MOP. The pain severity level was mostly related to tooth movements and was highest during mastication</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4B1BB183" w14:textId="3BE8B15A"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Y - The use of MOP can be recommended after weighing the benefits and disadvantages this intervention can bring for each patient</w:t>
            </w:r>
            <w:r w:rsidR="00B0457E">
              <w:rPr>
                <w:rFonts w:ascii="Times New Roman" w:eastAsia="Times New Roman" w:hAnsi="Times New Roman" w:cs="Times New Roman"/>
                <w:color w:val="000000"/>
                <w:sz w:val="20"/>
                <w:szCs w:val="20"/>
                <w:lang w:val="en-US" w:eastAsia="pt-BR"/>
              </w:rPr>
              <w:t>.</w:t>
            </w:r>
          </w:p>
        </w:tc>
      </w:tr>
      <w:tr w:rsidR="002914BB" w:rsidRPr="005C470C" w14:paraId="5D6BF49F" w14:textId="77777777" w:rsidTr="00114AF5">
        <w:trPr>
          <w:trHeight w:val="20"/>
        </w:trPr>
        <w:tc>
          <w:tcPr>
            <w:tcW w:w="1135" w:type="dxa"/>
            <w:shd w:val="clear" w:color="auto" w:fill="auto"/>
            <w:vAlign w:val="center"/>
            <w:hideMark/>
          </w:tcPr>
          <w:p w14:paraId="13E80330"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Sivarajan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&lt;EndNote&gt;&lt;Cite&gt;&lt;Author&gt;Sivarajan&lt;/Author&gt;&lt;Year&gt;2020&lt;/Year&gt;&lt;RecNum&gt;21027&lt;/RecNum&gt;&lt;DisplayText&gt;&lt;style face="superscript"&gt;93&lt;/style&gt;&lt;/DisplayText&gt;&lt;record&gt;&lt;rec-number&gt;21027&lt;/rec-number&gt;&lt;foreign-keys&gt;&lt;key app="EN" db-id="f5fv5a2shx52dqesxzmpffeqzt5ffxae2vev" timestamp="1607902614"&gt;21027&lt;/key&gt;&lt;/foreign-keys&gt;&lt;ref-type name="Journal Article"&gt;17&lt;/ref-type&gt;&lt;contributors&gt;&lt;authors&gt;&lt;author&gt;Sivarajan, Saritha&lt;/author&gt;&lt;author&gt;Ringgingon, Lorretha P&lt;/author&gt;&lt;author&gt;Fayed, Mona M Salah&lt;/author&gt;&lt;author&gt;Wey, Mang Chek&lt;/author&gt;&lt;/authors&gt;&lt;/contributors&gt;&lt;titles&gt;&lt;title&gt;The effect of micro-osteoperforations on the rate of orthodontic tooth movement: A systematic review and meta-analysis&lt;/title&gt;&lt;secondary-title&gt;American Journal of Orthodontics and Dentofacial Orthopedics&lt;/secondary-title&gt;&lt;/titles&gt;&lt;periodical&gt;&lt;full-title&gt;American Journal of Orthodontics and Dentofacial Orthopedics&lt;/full-title&gt;&lt;/periodical&gt;&lt;pages&gt;290-304&lt;/pages&gt;&lt;volume&gt;157&lt;/volume&gt;&lt;number&gt;3&lt;/number&gt;&lt;dates&gt;&lt;year&gt;2020&lt;/year&gt;&lt;/dates&gt;&lt;isbn&gt;0889-5406&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93</w:t>
            </w:r>
            <w:r w:rsidR="0008652B" w:rsidRPr="005C470C">
              <w:rPr>
                <w:rFonts w:ascii="Times New Roman" w:eastAsia="Times New Roman" w:hAnsi="Times New Roman" w:cs="Times New Roman"/>
                <w:sz w:val="20"/>
                <w:szCs w:val="20"/>
                <w:lang w:eastAsia="pt-BR"/>
              </w:rPr>
              <w:fldChar w:fldCharType="end"/>
            </w:r>
          </w:p>
          <w:p w14:paraId="4251CD3A" w14:textId="74AD8243"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Egypt</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B8F8CC8" w14:textId="77777777"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American Journal of Orthodontics and Dentofacial Orthopedics</w:t>
            </w:r>
          </w:p>
          <w:p w14:paraId="573B0422" w14:textId="06495BFC"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(1.960)</w:t>
            </w:r>
          </w:p>
        </w:tc>
        <w:tc>
          <w:tcPr>
            <w:tcW w:w="1418" w:type="dxa"/>
            <w:shd w:val="clear" w:color="auto" w:fill="auto"/>
            <w:vAlign w:val="center"/>
            <w:hideMark/>
          </w:tcPr>
          <w:p w14:paraId="0E1A7E65"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296FADB4" w14:textId="016031A9" w:rsidR="006226A8" w:rsidRPr="005C470C" w:rsidRDefault="00A70A8C"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The </w:t>
            </w:r>
            <w:r w:rsidR="006226A8" w:rsidRPr="005C470C">
              <w:rPr>
                <w:rFonts w:ascii="Times New Roman" w:eastAsia="Times New Roman" w:hAnsi="Times New Roman" w:cs="Times New Roman"/>
                <w:sz w:val="20"/>
                <w:szCs w:val="20"/>
                <w:lang w:val="en-US" w:eastAsia="pt-BR"/>
              </w:rPr>
              <w:t>effect of micro-osteoperforations (MOPs) on the rate of orthodontic tooth movement (OTM), orthodontic treatment duration, and any reported adverse effects</w:t>
            </w:r>
          </w:p>
        </w:tc>
        <w:tc>
          <w:tcPr>
            <w:tcW w:w="1134" w:type="dxa"/>
            <w:shd w:val="clear" w:color="auto" w:fill="auto"/>
            <w:vAlign w:val="center"/>
            <w:hideMark/>
          </w:tcPr>
          <w:p w14:paraId="3C679108" w14:textId="6618140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Healthy </w:t>
            </w:r>
            <w:r w:rsidR="00324237" w:rsidRPr="005C470C">
              <w:rPr>
                <w:rFonts w:ascii="Times New Roman" w:eastAsia="Times New Roman" w:hAnsi="Times New Roman" w:cs="Times New Roman"/>
                <w:color w:val="000000"/>
                <w:sz w:val="20"/>
                <w:szCs w:val="20"/>
                <w:lang w:val="en-US" w:eastAsia="pt-BR"/>
              </w:rPr>
              <w:t>p</w:t>
            </w:r>
            <w:r w:rsidRPr="005C470C">
              <w:rPr>
                <w:rFonts w:ascii="Times New Roman" w:eastAsia="Times New Roman" w:hAnsi="Times New Roman" w:cs="Times New Roman"/>
                <w:color w:val="000000"/>
                <w:sz w:val="20"/>
                <w:szCs w:val="20"/>
                <w:lang w:val="en-US" w:eastAsia="pt-BR"/>
              </w:rPr>
              <w:t>atients</w:t>
            </w:r>
            <w:r w:rsidR="00324237" w:rsidRPr="005C470C">
              <w:rPr>
                <w:rFonts w:ascii="Times New Roman" w:eastAsia="Times New Roman" w:hAnsi="Times New Roman" w:cs="Times New Roman"/>
                <w:color w:val="000000"/>
                <w:sz w:val="20"/>
                <w:szCs w:val="20"/>
                <w:lang w:val="en-US" w:eastAsia="pt-BR"/>
              </w:rPr>
              <w:t xml:space="preserve"> (&gt;</w:t>
            </w:r>
            <w:r w:rsidRPr="005C470C">
              <w:rPr>
                <w:rFonts w:ascii="Times New Roman" w:eastAsia="Times New Roman" w:hAnsi="Times New Roman" w:cs="Times New Roman"/>
                <w:color w:val="000000"/>
                <w:sz w:val="20"/>
                <w:szCs w:val="20"/>
                <w:lang w:val="en-US" w:eastAsia="pt-BR"/>
              </w:rPr>
              <w:t>13</w:t>
            </w:r>
            <w:r w:rsidR="00324237" w:rsidRPr="005C470C">
              <w:rPr>
                <w:rFonts w:ascii="Times New Roman" w:eastAsia="Times New Roman" w:hAnsi="Times New Roman" w:cs="Times New Roman"/>
                <w:color w:val="000000"/>
                <w:sz w:val="20"/>
                <w:szCs w:val="20"/>
                <w:lang w:val="en-US" w:eastAsia="pt-BR"/>
              </w:rPr>
              <w:t>y)</w:t>
            </w:r>
            <w:r w:rsidRPr="005C470C">
              <w:rPr>
                <w:rFonts w:ascii="Times New Roman" w:eastAsia="Times New Roman" w:hAnsi="Times New Roman" w:cs="Times New Roman"/>
                <w:color w:val="000000"/>
                <w:sz w:val="20"/>
                <w:szCs w:val="20"/>
                <w:lang w:val="en-US" w:eastAsia="pt-BR"/>
              </w:rPr>
              <w:t xml:space="preserve"> treated with fixed orthodontic treatment involving either extraction and space closure, or nonextraction and leveling and alignment</w:t>
            </w:r>
          </w:p>
        </w:tc>
        <w:tc>
          <w:tcPr>
            <w:tcW w:w="1276" w:type="dxa"/>
            <w:shd w:val="clear" w:color="auto" w:fill="auto"/>
            <w:vAlign w:val="center"/>
            <w:hideMark/>
          </w:tcPr>
          <w:p w14:paraId="6C33B40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MOPs in the intervention group or side</w:t>
            </w:r>
          </w:p>
        </w:tc>
        <w:tc>
          <w:tcPr>
            <w:tcW w:w="1418" w:type="dxa"/>
            <w:shd w:val="clear" w:color="auto" w:fill="auto"/>
            <w:vAlign w:val="center"/>
            <w:hideMark/>
          </w:tcPr>
          <w:p w14:paraId="168F2FE4"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or sides treated with conventional orthodontic</w:t>
            </w:r>
            <w:r w:rsidRPr="005C470C">
              <w:rPr>
                <w:rFonts w:ascii="Times New Roman" w:eastAsia="Times New Roman" w:hAnsi="Times New Roman" w:cs="Times New Roman"/>
                <w:color w:val="000000"/>
                <w:sz w:val="20"/>
                <w:szCs w:val="20"/>
                <w:lang w:val="en-US" w:eastAsia="pt-BR"/>
              </w:rPr>
              <w:br/>
              <w:t>mechanics without the aid of any tooth acceleration modalities</w:t>
            </w:r>
          </w:p>
        </w:tc>
        <w:tc>
          <w:tcPr>
            <w:tcW w:w="1275" w:type="dxa"/>
            <w:shd w:val="clear" w:color="auto" w:fill="auto"/>
            <w:vAlign w:val="center"/>
            <w:hideMark/>
          </w:tcPr>
          <w:p w14:paraId="0E2CF74D" w14:textId="7F5F145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Rate of tooth movement and reduction of orthodontic treatment duration in the MOP intervention group in comparison with control group with conventional tooth movement</w:t>
            </w:r>
            <w:r w:rsidR="00324237"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Adverse effects </w:t>
            </w:r>
          </w:p>
        </w:tc>
        <w:tc>
          <w:tcPr>
            <w:tcW w:w="1134" w:type="dxa"/>
            <w:shd w:val="clear" w:color="auto" w:fill="auto"/>
            <w:vAlign w:val="center"/>
            <w:hideMark/>
          </w:tcPr>
          <w:p w14:paraId="6E1804A9"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with split-mouth or parallel-group designs (n=8)</w:t>
            </w:r>
          </w:p>
        </w:tc>
        <w:tc>
          <w:tcPr>
            <w:tcW w:w="567" w:type="dxa"/>
            <w:shd w:val="clear" w:color="auto" w:fill="auto"/>
            <w:vAlign w:val="center"/>
            <w:hideMark/>
          </w:tcPr>
          <w:p w14:paraId="2A77B05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4CB5F26B" w14:textId="3E1EC43B" w:rsidR="006226A8" w:rsidRPr="005C470C" w:rsidRDefault="00A44971"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w:t>
            </w:r>
            <w:r w:rsidR="006226A8" w:rsidRPr="005C470C">
              <w:rPr>
                <w:rFonts w:ascii="Times New Roman" w:eastAsia="Times New Roman" w:hAnsi="Times New Roman" w:cs="Times New Roman"/>
                <w:color w:val="000000"/>
                <w:sz w:val="20"/>
                <w:szCs w:val="20"/>
                <w:lang w:val="en-US" w:eastAsia="pt-BR"/>
              </w:rPr>
              <w:t xml:space="preserve">he overall evidence regarding </w:t>
            </w:r>
            <w:r w:rsidRPr="005C470C">
              <w:rPr>
                <w:rFonts w:ascii="Times New Roman" w:eastAsia="Times New Roman" w:hAnsi="Times New Roman" w:cs="Times New Roman"/>
                <w:color w:val="000000"/>
                <w:sz w:val="20"/>
                <w:szCs w:val="20"/>
                <w:lang w:val="en-US" w:eastAsia="pt-BR"/>
              </w:rPr>
              <w:t xml:space="preserve">MOPs </w:t>
            </w:r>
            <w:r w:rsidR="006226A8" w:rsidRPr="005C470C">
              <w:rPr>
                <w:rFonts w:ascii="Times New Roman" w:eastAsia="Times New Roman" w:hAnsi="Times New Roman" w:cs="Times New Roman"/>
                <w:color w:val="000000"/>
                <w:sz w:val="20"/>
                <w:szCs w:val="20"/>
                <w:lang w:val="en-US" w:eastAsia="pt-BR"/>
              </w:rPr>
              <w:t>was low. As for the effect on the overall treatment time, formation of black triangles, and bacteremia after MOPs, the evidence is still deficient;</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MOPs do not have a significant effect on anchorage loss while using TADs</w:t>
            </w:r>
            <w:r w:rsidRPr="005C470C">
              <w:rPr>
                <w:rFonts w:ascii="Times New Roman" w:eastAsia="Times New Roman" w:hAnsi="Times New Roman" w:cs="Times New Roman"/>
                <w:color w:val="000000"/>
                <w:sz w:val="20"/>
                <w:szCs w:val="20"/>
                <w:lang w:val="en-US" w:eastAsia="pt-BR"/>
              </w:rPr>
              <w:t xml:space="preserve"> (low quality of evidence)</w:t>
            </w:r>
            <w:r w:rsidR="006226A8"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MOPs do not have any effects on pain, gingival recession, and root resorption</w:t>
            </w:r>
            <w:r w:rsidRPr="005C470C">
              <w:rPr>
                <w:rFonts w:ascii="Times New Roman" w:eastAsia="Times New Roman" w:hAnsi="Times New Roman" w:cs="Times New Roman"/>
                <w:color w:val="000000"/>
                <w:sz w:val="20"/>
                <w:szCs w:val="20"/>
                <w:lang w:val="en-US" w:eastAsia="pt-BR"/>
              </w:rPr>
              <w:t xml:space="preserve"> (high-quality evidence)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B21DEC4"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5C470C" w14:paraId="61C0766D" w14:textId="77777777" w:rsidTr="00114AF5">
        <w:trPr>
          <w:trHeight w:val="20"/>
        </w:trPr>
        <w:tc>
          <w:tcPr>
            <w:tcW w:w="1135" w:type="dxa"/>
            <w:shd w:val="clear" w:color="auto" w:fill="auto"/>
            <w:vAlign w:val="center"/>
            <w:hideMark/>
          </w:tcPr>
          <w:p w14:paraId="087ACA82"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Smolarek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&lt;EndNote&gt;&lt;Cite&gt;&lt;Author&gt;Smolarek&lt;/Author&gt;&lt;Year&gt;2020&lt;/Year&gt;&lt;RecNum&gt;21026&lt;/RecNum&gt;&lt;DisplayText&gt;&lt;style face="superscript"&gt;94&lt;/style&gt;&lt;/DisplayText&gt;&lt;record&gt;&lt;rec-number&gt;21026&lt;/rec-number&gt;&lt;foreign-keys&gt;&lt;key app="EN" db-id="f5fv5a2shx52dqesxzmpffeqzt5ffxae2vev" timestamp="1607902614"&gt;21026&lt;/key&gt;&lt;/foreign-keys&gt;&lt;ref-type name="Journal Article"&gt;17&lt;/ref-type&gt;&lt;contributors&gt;&lt;authors&gt;&lt;author&gt;Smolarek, Priscila de Camargo&lt;/author&gt;&lt;author&gt;Wambier, Letícia M&lt;/author&gt;&lt;author&gt;Siqueira Silva, Leonardo&lt;/author&gt;&lt;author&gt;Chibinski, Ana Cláudia Rodrigues&lt;/author&gt;&lt;/authors&gt;&lt;/contributors&gt;&lt;titles&gt;&lt;title&gt;Does computerized anaesthesia reduce pain during local anaesthesia in paediatric patients for dental treatment? A systematic review and meta‐analysis&lt;/title&gt;&lt;secondary-title&gt;International Journal of Paediatric Dentistry&lt;/secondary-title&gt;&lt;/titles&gt;&lt;periodical&gt;&lt;full-title&gt;International journal of paediatric dentistry&lt;/full-title&gt;&lt;/periodical&gt;&lt;pages&gt;118-135&lt;/pages&gt;&lt;volume&gt;30&lt;/volume&gt;&lt;number&gt;2&lt;/number&gt;&lt;dates&gt;&lt;year&gt;2020&lt;/year&gt;&lt;/dates&gt;&lt;isbn&gt;0960-7439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94</w:t>
            </w:r>
            <w:r w:rsidR="0008652B" w:rsidRPr="005C470C">
              <w:rPr>
                <w:rFonts w:ascii="Times New Roman" w:eastAsia="Times New Roman" w:hAnsi="Times New Roman" w:cs="Times New Roman"/>
                <w:sz w:val="20"/>
                <w:szCs w:val="20"/>
                <w:lang w:eastAsia="pt-BR"/>
              </w:rPr>
              <w:fldChar w:fldCharType="end"/>
            </w:r>
          </w:p>
          <w:p w14:paraId="11945580" w14:textId="5F0A3CCB"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03F7DD14" w14:textId="77777777"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International Journal of Paediatric Dentistry</w:t>
            </w:r>
          </w:p>
          <w:p w14:paraId="02A0CBE5" w14:textId="74EE954C"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(1.993)</w:t>
            </w:r>
          </w:p>
        </w:tc>
        <w:tc>
          <w:tcPr>
            <w:tcW w:w="1418" w:type="dxa"/>
            <w:shd w:val="clear" w:color="auto" w:fill="auto"/>
            <w:vAlign w:val="center"/>
            <w:hideMark/>
          </w:tcPr>
          <w:p w14:paraId="6DBAD31A"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Pediatric Dentistry</w:t>
            </w:r>
          </w:p>
        </w:tc>
        <w:tc>
          <w:tcPr>
            <w:tcW w:w="1275" w:type="dxa"/>
            <w:shd w:val="clear" w:color="auto" w:fill="auto"/>
            <w:vAlign w:val="center"/>
            <w:hideMark/>
          </w:tcPr>
          <w:p w14:paraId="33416E28"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analyse whether pain and disruptive behaviour can be decreased by the use of computerized local dental anaesthesia (CDLA) in children</w:t>
            </w:r>
          </w:p>
        </w:tc>
        <w:tc>
          <w:tcPr>
            <w:tcW w:w="1134" w:type="dxa"/>
            <w:shd w:val="clear" w:color="auto" w:fill="auto"/>
            <w:vAlign w:val="center"/>
            <w:hideMark/>
          </w:tcPr>
          <w:p w14:paraId="702BB9B0"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Children undergoing dental treatment under local anaesthesia</w:t>
            </w:r>
          </w:p>
        </w:tc>
        <w:tc>
          <w:tcPr>
            <w:tcW w:w="1276" w:type="dxa"/>
            <w:shd w:val="clear" w:color="auto" w:fill="auto"/>
            <w:vAlign w:val="center"/>
            <w:hideMark/>
          </w:tcPr>
          <w:p w14:paraId="587F87E0"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Computerized local anaesthesia</w:t>
            </w:r>
          </w:p>
        </w:tc>
        <w:tc>
          <w:tcPr>
            <w:tcW w:w="1418" w:type="dxa"/>
            <w:shd w:val="clear" w:color="auto" w:fill="auto"/>
            <w:vAlign w:val="center"/>
            <w:hideMark/>
          </w:tcPr>
          <w:p w14:paraId="2F8C8EC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Conventional local anaesthesia</w:t>
            </w:r>
          </w:p>
        </w:tc>
        <w:tc>
          <w:tcPr>
            <w:tcW w:w="1275" w:type="dxa"/>
            <w:shd w:val="clear" w:color="auto" w:fill="auto"/>
            <w:vAlign w:val="center"/>
            <w:hideMark/>
          </w:tcPr>
          <w:p w14:paraId="3E4EC33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val="en-US" w:eastAsia="pt-BR"/>
              </w:rPr>
              <w:t xml:space="preserve">Primary outcome: pain perception during anaesthesia. </w:t>
            </w:r>
            <w:r w:rsidRPr="005C470C">
              <w:rPr>
                <w:rFonts w:ascii="Times New Roman" w:eastAsia="Times New Roman" w:hAnsi="Times New Roman" w:cs="Times New Roman"/>
                <w:color w:val="000000"/>
                <w:sz w:val="20"/>
                <w:szCs w:val="20"/>
                <w:lang w:eastAsia="pt-BR"/>
              </w:rPr>
              <w:t>Secondary outcome: disruptive behaviour</w:t>
            </w:r>
          </w:p>
        </w:tc>
        <w:tc>
          <w:tcPr>
            <w:tcW w:w="1134" w:type="dxa"/>
            <w:shd w:val="clear" w:color="auto" w:fill="auto"/>
            <w:vAlign w:val="center"/>
            <w:hideMark/>
          </w:tcPr>
          <w:p w14:paraId="6EA4A531"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parallel designs (n=12), cross‐over design (n=7), and mixed design</w:t>
            </w:r>
            <w:r w:rsidRPr="005C470C">
              <w:rPr>
                <w:rFonts w:ascii="Times New Roman" w:eastAsia="Times New Roman" w:hAnsi="Times New Roman" w:cs="Times New Roman"/>
                <w:color w:val="000000"/>
                <w:sz w:val="20"/>
                <w:szCs w:val="20"/>
                <w:lang w:val="en-US" w:eastAsia="pt-BR"/>
              </w:rPr>
              <w:br/>
              <w:t>parallel and cross‐over (n=1)</w:t>
            </w:r>
          </w:p>
        </w:tc>
        <w:tc>
          <w:tcPr>
            <w:tcW w:w="567" w:type="dxa"/>
            <w:shd w:val="clear" w:color="auto" w:fill="auto"/>
            <w:vAlign w:val="center"/>
            <w:hideMark/>
          </w:tcPr>
          <w:p w14:paraId="3D62452F"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E04E3A1" w14:textId="3D5ACF2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is no difference in the perception of pain and disruptive behaviour in children subjected to computerized or conventional dental local anaesthesia. Notwithstanding, the quality of the available evidence is low and further research is needed to corroborate this finding</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C9D833D"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114AF5" w14:paraId="78A4A0B2" w14:textId="77777777" w:rsidTr="00114AF5">
        <w:trPr>
          <w:trHeight w:val="20"/>
        </w:trPr>
        <w:tc>
          <w:tcPr>
            <w:tcW w:w="1135" w:type="dxa"/>
            <w:shd w:val="clear" w:color="auto" w:fill="auto"/>
            <w:vAlign w:val="center"/>
            <w:hideMark/>
          </w:tcPr>
          <w:p w14:paraId="0056666E"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Sosly et al, 2020</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&lt;EndNote&gt;&lt;Cite&gt;&lt;Author&gt;Sosly&lt;/Author&gt;&lt;Year&gt;2020&lt;/Year&gt;&lt;RecNum&gt;21025&lt;/RecNum&gt;&lt;DisplayText&gt;&lt;style face="superscript"&gt;95&lt;/style&gt;&lt;/DisplayText&gt;&lt;record&gt;&lt;rec-number&gt;21025&lt;/rec-number&gt;&lt;foreign-keys&gt;&lt;key app="EN" db-id="f5fv5a2shx52dqesxzmpffeqzt5ffxae2vev" timestamp="1607902614"&gt;21025&lt;/key&gt;&lt;/foreign-keys&gt;&lt;ref-type name="Journal Article"&gt;17&lt;/ref-type&gt;&lt;contributors&gt;&lt;authors&gt;&lt;author&gt;Sosly, Rami&lt;/author&gt;&lt;author&gt;Mohammed, Hisham&lt;/author&gt;&lt;author&gt;Rizk, Mumen Z&lt;/author&gt;&lt;author&gt;Jamous, Eias&lt;/author&gt;&lt;author&gt;Qaisi, Ahmad G&lt;/author&gt;&lt;author&gt;Bearn, David R&lt;/author&gt;&lt;/authors&gt;&lt;/contributors&gt;&lt;titles&gt;&lt;title&gt;Effectiveness of miniscrew-supported maxillary incisor intrusion in deep-bite correction: A systematic review and meta-analysis&lt;/title&gt;&lt;secondary-title&gt;The Angle Orthodontist&lt;/secondary-title&gt;&lt;/titles&gt;&lt;periodical&gt;&lt;full-title&gt;Angle Orthod&lt;/full-title&gt;&lt;abbr-1&gt;The Angle orthodontist&lt;/abbr-1&gt;&lt;/periodical&gt;&lt;pages&gt;291-304&lt;/pages&gt;&lt;volume&gt;90&lt;/volume&gt;&lt;number&gt;2&lt;/number&gt;&lt;dates&gt;&lt;year&gt;2020&lt;/year&gt;&lt;/dates&gt;&lt;isbn&gt;0003-3219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95</w:t>
            </w:r>
            <w:r w:rsidR="0008652B" w:rsidRPr="005C470C">
              <w:rPr>
                <w:rFonts w:ascii="Times New Roman" w:eastAsia="Times New Roman" w:hAnsi="Times New Roman" w:cs="Times New Roman"/>
                <w:sz w:val="20"/>
                <w:szCs w:val="20"/>
                <w:lang w:eastAsia="pt-BR"/>
              </w:rPr>
              <w:fldChar w:fldCharType="end"/>
            </w:r>
          </w:p>
          <w:p w14:paraId="2F8C2770" w14:textId="4C381508"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(United Kingdom)</w:t>
            </w:r>
          </w:p>
        </w:tc>
        <w:tc>
          <w:tcPr>
            <w:tcW w:w="992" w:type="dxa"/>
            <w:shd w:val="clear" w:color="auto" w:fill="auto"/>
            <w:vAlign w:val="center"/>
            <w:hideMark/>
          </w:tcPr>
          <w:p w14:paraId="2ED1C67C" w14:textId="680E828C" w:rsidR="006226A8"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Angle orthodontist (1.549)</w:t>
            </w:r>
          </w:p>
        </w:tc>
        <w:tc>
          <w:tcPr>
            <w:tcW w:w="1418" w:type="dxa"/>
            <w:shd w:val="clear" w:color="auto" w:fill="auto"/>
            <w:vAlign w:val="center"/>
            <w:hideMark/>
          </w:tcPr>
          <w:p w14:paraId="40B851D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7A29B525"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effectiveness of miniscrew-supported maxillary incisor intrusion compared with other nonsurgical intrusive mechanics for deep-bite correction</w:t>
            </w:r>
          </w:p>
        </w:tc>
        <w:tc>
          <w:tcPr>
            <w:tcW w:w="1134" w:type="dxa"/>
            <w:shd w:val="clear" w:color="auto" w:fill="auto"/>
            <w:vAlign w:val="center"/>
            <w:hideMark/>
          </w:tcPr>
          <w:p w14:paraId="2D17442E"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Orthodontic patients with an increased</w:t>
            </w:r>
            <w:r w:rsidRPr="005C470C">
              <w:rPr>
                <w:rFonts w:ascii="Times New Roman" w:eastAsia="Times New Roman" w:hAnsi="Times New Roman" w:cs="Times New Roman"/>
                <w:color w:val="000000"/>
                <w:sz w:val="20"/>
                <w:szCs w:val="20"/>
                <w:lang w:val="en-US" w:eastAsia="pt-BR"/>
              </w:rPr>
              <w:br/>
              <w:t>overbite (4 mm), without age or gender predilection</w:t>
            </w:r>
          </w:p>
        </w:tc>
        <w:tc>
          <w:tcPr>
            <w:tcW w:w="1276" w:type="dxa"/>
            <w:shd w:val="clear" w:color="auto" w:fill="auto"/>
            <w:vAlign w:val="center"/>
            <w:hideMark/>
          </w:tcPr>
          <w:p w14:paraId="709F5660"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Intrusion of the maxillary incisors using orthodontic miniscrews</w:t>
            </w:r>
          </w:p>
        </w:tc>
        <w:tc>
          <w:tcPr>
            <w:tcW w:w="1418" w:type="dxa"/>
            <w:shd w:val="clear" w:color="auto" w:fill="auto"/>
            <w:vAlign w:val="center"/>
            <w:hideMark/>
          </w:tcPr>
          <w:p w14:paraId="2BC18D86"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Intrusion of the maxillary incisors using orthodontic miniscrews</w:t>
            </w:r>
          </w:p>
        </w:tc>
        <w:tc>
          <w:tcPr>
            <w:tcW w:w="1275" w:type="dxa"/>
            <w:shd w:val="clear" w:color="auto" w:fill="auto"/>
            <w:vAlign w:val="center"/>
            <w:hideMark/>
          </w:tcPr>
          <w:p w14:paraId="3B5F0FD8" w14:textId="6ED1C528"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Primary outcome: Amount of overbite correction; Secondary outcomes: Amount of root resorption, Amount of true incisor intrusion (centroid [Cr] to palatal plane [PP])</w:t>
            </w:r>
            <w:r w:rsidRPr="005C470C">
              <w:rPr>
                <w:rFonts w:ascii="Times New Roman" w:eastAsia="Times New Roman" w:hAnsi="Times New Roman" w:cs="Times New Roman"/>
                <w:color w:val="000000"/>
                <w:sz w:val="20"/>
                <w:szCs w:val="20"/>
                <w:lang w:val="en-US" w:eastAsia="pt-BR"/>
              </w:rPr>
              <w:br/>
              <w:t xml:space="preserve"> Vertical position of the maxillary </w:t>
            </w:r>
            <w:r w:rsidRPr="005C470C">
              <w:rPr>
                <w:rFonts w:ascii="Times New Roman" w:eastAsia="Times New Roman" w:hAnsi="Times New Roman" w:cs="Times New Roman"/>
                <w:color w:val="000000"/>
                <w:sz w:val="20"/>
                <w:szCs w:val="20"/>
                <w:lang w:val="en-US" w:eastAsia="pt-BR"/>
              </w:rPr>
              <w:lastRenderedPageBreak/>
              <w:t>molars</w:t>
            </w:r>
            <w:r w:rsidRPr="005C470C">
              <w:rPr>
                <w:rFonts w:ascii="Times New Roman" w:eastAsia="Times New Roman" w:hAnsi="Times New Roman" w:cs="Times New Roman"/>
                <w:color w:val="000000"/>
                <w:sz w:val="20"/>
                <w:szCs w:val="20"/>
                <w:lang w:val="en-US" w:eastAsia="pt-BR"/>
              </w:rPr>
              <w:br/>
              <w:t xml:space="preserve"> Patient-reported outcomes</w:t>
            </w:r>
          </w:p>
        </w:tc>
        <w:tc>
          <w:tcPr>
            <w:tcW w:w="1134" w:type="dxa"/>
            <w:shd w:val="clear" w:color="auto" w:fill="auto"/>
            <w:vAlign w:val="center"/>
            <w:hideMark/>
          </w:tcPr>
          <w:p w14:paraId="48EF93D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(n=7)</w:t>
            </w:r>
          </w:p>
        </w:tc>
        <w:tc>
          <w:tcPr>
            <w:tcW w:w="567" w:type="dxa"/>
            <w:shd w:val="clear" w:color="auto" w:fill="auto"/>
            <w:vAlign w:val="center"/>
            <w:hideMark/>
          </w:tcPr>
          <w:p w14:paraId="2A080FDA"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254E920" w14:textId="778D391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Very low</w:t>
            </w:r>
            <w:r w:rsidR="00A44971"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t xml:space="preserve">low quality of evidence indicated that miniscrews were more effective in intruding the maxillary incisors and correcting deep bites. The effectiveness of miniscrews in correcting deep bites seems to be associated with a greater degree of genuine maxillary incisor intrusion and less extrusive effects on the </w:t>
            </w:r>
            <w:r w:rsidRPr="005C470C">
              <w:rPr>
                <w:rFonts w:ascii="Times New Roman" w:eastAsia="Times New Roman" w:hAnsi="Times New Roman" w:cs="Times New Roman"/>
                <w:color w:val="000000"/>
                <w:sz w:val="20"/>
                <w:szCs w:val="20"/>
                <w:lang w:val="en-US" w:eastAsia="pt-BR"/>
              </w:rPr>
              <w:lastRenderedPageBreak/>
              <w:t>maxillary molars. Regardless of the intrusive mechanics used, the maxillary incisors seem to exhibit some degree of root resorption during their intrusion phase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E803CAD" w14:textId="5FCA864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A44971" w:rsidRPr="005C470C">
              <w:rPr>
                <w:rFonts w:ascii="Times New Roman" w:eastAsia="Times New Roman" w:hAnsi="Times New Roman" w:cs="Times New Roman"/>
                <w:color w:val="000000"/>
                <w:sz w:val="20"/>
                <w:szCs w:val="20"/>
                <w:lang w:val="en-US" w:eastAsia="pt-BR"/>
              </w:rPr>
              <w:t xml:space="preserve"> - Future long-term and well-designed RCTs are still required to elaborate on this important clinical subject</w:t>
            </w:r>
            <w:r w:rsidR="00B0457E">
              <w:rPr>
                <w:rFonts w:ascii="Times New Roman" w:eastAsia="Times New Roman" w:hAnsi="Times New Roman" w:cs="Times New Roman"/>
                <w:color w:val="000000"/>
                <w:sz w:val="20"/>
                <w:szCs w:val="20"/>
                <w:lang w:val="en-US" w:eastAsia="pt-BR"/>
              </w:rPr>
              <w:t>.</w:t>
            </w:r>
          </w:p>
        </w:tc>
      </w:tr>
      <w:tr w:rsidR="002914BB" w:rsidRPr="005C470C" w14:paraId="747BAFBF" w14:textId="77777777" w:rsidTr="00114AF5">
        <w:trPr>
          <w:trHeight w:val="20"/>
        </w:trPr>
        <w:tc>
          <w:tcPr>
            <w:tcW w:w="1135" w:type="dxa"/>
            <w:shd w:val="clear" w:color="auto" w:fill="auto"/>
            <w:vAlign w:val="center"/>
            <w:hideMark/>
          </w:tcPr>
          <w:p w14:paraId="5FD3D058"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Sousa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&lt;EndNote&gt;&lt;Cite&gt;&lt;Author&gt;Sousa&lt;/Author&gt;&lt;Year&gt;2020&lt;/Year&gt;&lt;RecNum&gt;21024&lt;/RecNum&gt;&lt;DisplayText&gt;&lt;style face="superscript"&gt;96&lt;/style&gt;&lt;/DisplayText&gt;&lt;record&gt;&lt;rec-number&gt;21024&lt;/rec-number&gt;&lt;foreign-keys&gt;&lt;key app="EN" db-id="f5fv5a2shx52dqesxzmpffeqzt5ffxae2vev" timestamp="1607902614"&gt;21024&lt;/key&gt;&lt;/foreign-keys&gt;&lt;ref-type name="Journal Article"&gt;17&lt;/ref-type&gt;&lt;contributors&gt;&lt;authors&gt;&lt;author&gt;Sousa, Samantha Jéssica Lopes&lt;/author&gt;&lt;author&gt;do Nascimento Poubel, Deborah Lousan&lt;/author&gt;&lt;author&gt;de Lucas Rezende, Liliana Vicente Melo&lt;/author&gt;&lt;author&gt;Almeida, Fabiana Tolentino&lt;/author&gt;&lt;author&gt;de Toledo, Isabela Porto&lt;/author&gt;&lt;author&gt;Garcia, Fernanda Cristina Pimentel&lt;/author&gt;&lt;/authors&gt;&lt;/contributors&gt;&lt;titles&gt;&lt;title&gt;Early clinical performance of resin cements in glass-ceramic posterior restorations in adult vital teeth: A systematic review and meta-analysis&lt;/title&gt;&lt;secondary-title&gt;The Journal of prosthetic dentistry&lt;/secondary-title&gt;&lt;/titles&gt;&lt;periodical&gt;&lt;full-title&gt;The Journal of Prosthetic Dentistry&lt;/full-title&gt;&lt;/periodical&gt;&lt;pages&gt;61-70&lt;/pages&gt;&lt;volume&gt;123&lt;/volume&gt;&lt;number&gt;1&lt;/number&gt;&lt;dates&gt;&lt;year&gt;2020&lt;/year&gt;&lt;/dates&gt;&lt;isbn&gt;0022-3913&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96</w:t>
            </w:r>
            <w:r w:rsidR="0008652B" w:rsidRPr="005C470C">
              <w:rPr>
                <w:rFonts w:ascii="Times New Roman" w:eastAsia="Times New Roman" w:hAnsi="Times New Roman" w:cs="Times New Roman"/>
                <w:sz w:val="20"/>
                <w:szCs w:val="20"/>
                <w:lang w:eastAsia="pt-BR"/>
              </w:rPr>
              <w:fldChar w:fldCharType="end"/>
            </w:r>
          </w:p>
          <w:p w14:paraId="5EB5C36D" w14:textId="119539E6"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3E5F137E" w14:textId="77777777" w:rsidR="006226A8"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The Journal of prosthetic dentistry</w:t>
            </w:r>
          </w:p>
          <w:p w14:paraId="7E1702B0" w14:textId="7FAC38D7"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(2.444)</w:t>
            </w:r>
          </w:p>
        </w:tc>
        <w:tc>
          <w:tcPr>
            <w:tcW w:w="1418" w:type="dxa"/>
            <w:shd w:val="clear" w:color="auto" w:fill="auto"/>
            <w:vAlign w:val="center"/>
            <w:hideMark/>
          </w:tcPr>
          <w:p w14:paraId="53CF0ED3"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49789C47" w14:textId="4069AA3E"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statistically analyze the clinical performance of glass-ceramic posterior restorations by using a descriptive synthesis based on the integrity of the tooth and restoration under different cementation protocols for self-adhesive or conventional resin cements</w:t>
            </w:r>
          </w:p>
        </w:tc>
        <w:tc>
          <w:tcPr>
            <w:tcW w:w="1134" w:type="dxa"/>
            <w:shd w:val="clear" w:color="auto" w:fill="auto"/>
            <w:vAlign w:val="center"/>
            <w:hideMark/>
          </w:tcPr>
          <w:p w14:paraId="331031A7"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Patients with of glass-ceramic posterior restorations </w:t>
            </w:r>
          </w:p>
        </w:tc>
        <w:tc>
          <w:tcPr>
            <w:tcW w:w="1276" w:type="dxa"/>
            <w:shd w:val="clear" w:color="auto" w:fill="auto"/>
            <w:vAlign w:val="center"/>
            <w:hideMark/>
          </w:tcPr>
          <w:p w14:paraId="0F4D8FB0" w14:textId="75E6DE3B"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Self</w:t>
            </w:r>
            <w:r w:rsidR="006226A8" w:rsidRPr="005C470C">
              <w:rPr>
                <w:rFonts w:ascii="Times New Roman" w:eastAsia="Times New Roman" w:hAnsi="Times New Roman" w:cs="Times New Roman"/>
                <w:color w:val="000000"/>
                <w:sz w:val="20"/>
                <w:szCs w:val="20"/>
                <w:lang w:eastAsia="pt-BR"/>
              </w:rPr>
              <w:t>-adhesive</w:t>
            </w:r>
          </w:p>
        </w:tc>
        <w:tc>
          <w:tcPr>
            <w:tcW w:w="1418" w:type="dxa"/>
            <w:shd w:val="clear" w:color="auto" w:fill="auto"/>
            <w:vAlign w:val="center"/>
            <w:hideMark/>
          </w:tcPr>
          <w:p w14:paraId="2D8E195F" w14:textId="1CB76A31"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Conventional </w:t>
            </w:r>
            <w:r w:rsidR="006226A8" w:rsidRPr="005C470C">
              <w:rPr>
                <w:rFonts w:ascii="Times New Roman" w:eastAsia="Times New Roman" w:hAnsi="Times New Roman" w:cs="Times New Roman"/>
                <w:color w:val="000000"/>
                <w:sz w:val="20"/>
                <w:szCs w:val="20"/>
                <w:lang w:eastAsia="pt-BR"/>
              </w:rPr>
              <w:t>resin cements</w:t>
            </w:r>
          </w:p>
        </w:tc>
        <w:tc>
          <w:tcPr>
            <w:tcW w:w="1275" w:type="dxa"/>
            <w:shd w:val="clear" w:color="auto" w:fill="auto"/>
            <w:vAlign w:val="center"/>
            <w:hideMark/>
          </w:tcPr>
          <w:p w14:paraId="3F702176"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Restoration integrity/ Tooth integrity</w:t>
            </w:r>
          </w:p>
        </w:tc>
        <w:tc>
          <w:tcPr>
            <w:tcW w:w="1134" w:type="dxa"/>
            <w:shd w:val="clear" w:color="auto" w:fill="auto"/>
            <w:vAlign w:val="center"/>
            <w:hideMark/>
          </w:tcPr>
          <w:p w14:paraId="4BC07E70" w14:textId="2AEF7BB5"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 xml:space="preserve">Prospective RCT or </w:t>
            </w:r>
            <w:r w:rsidR="00A44971" w:rsidRPr="005C470C">
              <w:rPr>
                <w:rFonts w:ascii="Times New Roman" w:eastAsia="Times New Roman" w:hAnsi="Times New Roman" w:cs="Times New Roman"/>
                <w:color w:val="000000"/>
                <w:sz w:val="20"/>
                <w:szCs w:val="20"/>
                <w:lang w:eastAsia="pt-BR"/>
              </w:rPr>
              <w:t>quasi-RCT</w:t>
            </w:r>
            <w:r w:rsidRPr="005C470C">
              <w:rPr>
                <w:rFonts w:ascii="Times New Roman" w:eastAsia="Times New Roman" w:hAnsi="Times New Roman" w:cs="Times New Roman"/>
                <w:color w:val="000000"/>
                <w:sz w:val="20"/>
                <w:szCs w:val="20"/>
                <w:lang w:eastAsia="pt-BR"/>
              </w:rPr>
              <w:t xml:space="preserve"> (n=3)</w:t>
            </w:r>
          </w:p>
        </w:tc>
        <w:tc>
          <w:tcPr>
            <w:tcW w:w="567" w:type="dxa"/>
            <w:shd w:val="clear" w:color="auto" w:fill="auto"/>
            <w:vAlign w:val="center"/>
            <w:hideMark/>
          </w:tcPr>
          <w:p w14:paraId="32BF6EF9"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5110997" w14:textId="7FD3FA26"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No clinical differences were found in the ceramic cementation using self-adhesive resin cements and conventional resin cements within a 1-y follow-up period</w:t>
            </w:r>
            <w:r w:rsidR="00A44971"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Both cement types showed adequate properties for tooth and restoration integrity</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9A9DC78" w14:textId="25B73DD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Y</w:t>
            </w:r>
          </w:p>
        </w:tc>
      </w:tr>
      <w:tr w:rsidR="00925DE6" w:rsidRPr="00114AF5" w14:paraId="5F2EF6A0" w14:textId="77777777" w:rsidTr="00114AF5">
        <w:trPr>
          <w:trHeight w:val="20"/>
        </w:trPr>
        <w:tc>
          <w:tcPr>
            <w:tcW w:w="1135" w:type="dxa"/>
            <w:shd w:val="clear" w:color="auto" w:fill="auto"/>
            <w:vAlign w:val="center"/>
            <w:hideMark/>
          </w:tcPr>
          <w:p w14:paraId="0798F25D" w14:textId="77777777" w:rsidR="00925DE6" w:rsidRDefault="00925DE6" w:rsidP="002F6AEF">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lastRenderedPageBreak/>
              <w:t>Souza et al, 2020</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&lt;EndNote&gt;&lt;Cite&gt;&lt;Author&gt;Souza&lt;/Author&gt;&lt;Year&gt;2020&lt;/Year&gt;&lt;RecNum&gt;20950&lt;/RecNum&gt;&lt;DisplayText&gt;&lt;style face="superscript"&gt;97&lt;/style&gt;&lt;/DisplayText&gt;&lt;record&gt;&lt;rec-number&gt;20950&lt;/rec-number&gt;&lt;foreign-keys&gt;&lt;key app="EN" db-id="f5fv5a2shx52dqesxzmpffeqzt5ffxae2vev" timestamp="1607902573"&gt;20950&lt;/key&gt;&lt;/foreign-keys&gt;&lt;ref-type name="Journal Article"&gt;17&lt;/ref-type&gt;&lt;contributors&gt;&lt;authors&gt;&lt;author&gt;Souza, Glaciele Maria&lt;/author&gt;&lt;author&gt;Elias, Gabriel Mariano&lt;/author&gt;&lt;author&gt;Andrade, Pedro Figueiredo Pereira&lt;/author&gt;&lt;author&gt;Sales, Késsia Nara Andrade&lt;/author&gt;&lt;author&gt;Galvão, Endi Lanza&lt;/author&gt;&lt;author&gt;Falci, Saulo Gabriel Moreira&lt;/author&gt;&lt;/authors&gt;&lt;/contributors&gt;&lt;titles&gt;&lt;title&gt;The effectiveness of hyaluronic acid in controlling pain, edema and trismus after extraction of third molars: systematic review and meta-analysis&lt;/title&gt;&lt;secondary-title&gt;Journal of Oral and Maxillofacial Surgery&lt;/secondary-title&gt;&lt;/titles&gt;&lt;periodical&gt;&lt;full-title&gt;Journal of Oral and Maxillofacial Surgery&lt;/full-title&gt;&lt;/periodical&gt;&lt;dates&gt;&lt;year&gt;2020&lt;/year&gt;&lt;/dates&gt;&lt;isbn&gt;0278-2391&lt;/isbn&gt;&lt;urls&gt;&lt;/urls&gt;&lt;/record&gt;&lt;/Cite&gt;&lt;/EndNote&gt;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97</w:t>
            </w:r>
            <w:r w:rsidR="0008652B" w:rsidRPr="005C470C">
              <w:rPr>
                <w:rFonts w:ascii="Times New Roman" w:eastAsia="Times New Roman" w:hAnsi="Times New Roman" w:cs="Times New Roman"/>
                <w:sz w:val="20"/>
                <w:szCs w:val="20"/>
                <w:lang w:eastAsia="pt-BR"/>
              </w:rPr>
              <w:fldChar w:fldCharType="end"/>
            </w:r>
          </w:p>
          <w:p w14:paraId="0651DEEA" w14:textId="6820E564" w:rsidR="00C53143" w:rsidRPr="005C470C" w:rsidRDefault="00C53143" w:rsidP="002F6AEF">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Brazil</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661A92DA" w14:textId="77777777" w:rsidR="00925DE6"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Journal of Oral and Maxillofacial Surgery</w:t>
            </w:r>
          </w:p>
          <w:p w14:paraId="0DE16458" w14:textId="63C6D9A2"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(2.068)</w:t>
            </w:r>
          </w:p>
        </w:tc>
        <w:tc>
          <w:tcPr>
            <w:tcW w:w="1418" w:type="dxa"/>
            <w:shd w:val="clear" w:color="auto" w:fill="auto"/>
            <w:vAlign w:val="center"/>
            <w:hideMark/>
          </w:tcPr>
          <w:p w14:paraId="1AD33353" w14:textId="77777777" w:rsidR="00925DE6" w:rsidRPr="005C470C" w:rsidRDefault="00925DE6"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Oral and Maxillofacial Surgery</w:t>
            </w:r>
          </w:p>
        </w:tc>
        <w:tc>
          <w:tcPr>
            <w:tcW w:w="1275" w:type="dxa"/>
            <w:shd w:val="clear" w:color="auto" w:fill="auto"/>
            <w:vAlign w:val="center"/>
            <w:hideMark/>
          </w:tcPr>
          <w:p w14:paraId="3364C933" w14:textId="77777777" w:rsidR="00925DE6" w:rsidRPr="005C470C" w:rsidRDefault="00925DE6" w:rsidP="002F6AEF">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evaluate the clinical evidence of hyaluronic acid (HA) in minimizing inflammatory parameters such as pain, edema, and trismus after extraction of third molar (3M)</w:t>
            </w:r>
          </w:p>
        </w:tc>
        <w:tc>
          <w:tcPr>
            <w:tcW w:w="1134" w:type="dxa"/>
            <w:shd w:val="clear" w:color="auto" w:fill="auto"/>
            <w:vAlign w:val="center"/>
            <w:hideMark/>
          </w:tcPr>
          <w:p w14:paraId="3C877F65" w14:textId="77777777" w:rsidR="00925DE6" w:rsidRPr="005C470C" w:rsidRDefault="00925DE6" w:rsidP="002F6AEF">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Patients undergoing 3M extraction</w:t>
            </w:r>
          </w:p>
        </w:tc>
        <w:tc>
          <w:tcPr>
            <w:tcW w:w="1276" w:type="dxa"/>
            <w:shd w:val="clear" w:color="auto" w:fill="auto"/>
            <w:vAlign w:val="center"/>
            <w:hideMark/>
          </w:tcPr>
          <w:p w14:paraId="352F25AD" w14:textId="77777777" w:rsidR="00925DE6" w:rsidRPr="005C470C" w:rsidRDefault="00925DE6" w:rsidP="002F6AEF">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Interalveolar application of HA</w:t>
            </w:r>
          </w:p>
        </w:tc>
        <w:tc>
          <w:tcPr>
            <w:tcW w:w="1418" w:type="dxa"/>
            <w:shd w:val="clear" w:color="auto" w:fill="auto"/>
            <w:vAlign w:val="center"/>
            <w:hideMark/>
          </w:tcPr>
          <w:p w14:paraId="6CC52B79" w14:textId="77777777" w:rsidR="00925DE6" w:rsidRPr="005C470C" w:rsidRDefault="00925DE6" w:rsidP="002F6AEF">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Placebo or without treatment</w:t>
            </w:r>
          </w:p>
        </w:tc>
        <w:tc>
          <w:tcPr>
            <w:tcW w:w="1275" w:type="dxa"/>
            <w:shd w:val="clear" w:color="auto" w:fill="auto"/>
            <w:vAlign w:val="center"/>
            <w:hideMark/>
          </w:tcPr>
          <w:p w14:paraId="6321A1B0" w14:textId="77777777"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Pain; edema; and trismus; alveolar healing, bleeding, and infection</w:t>
            </w:r>
          </w:p>
        </w:tc>
        <w:tc>
          <w:tcPr>
            <w:tcW w:w="1134" w:type="dxa"/>
            <w:shd w:val="clear" w:color="auto" w:fill="auto"/>
            <w:vAlign w:val="center"/>
            <w:hideMark/>
          </w:tcPr>
          <w:p w14:paraId="1C44C9F6" w14:textId="77777777"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 (n=4), Double-blind split mouth clinical (n=1)</w:t>
            </w:r>
          </w:p>
        </w:tc>
        <w:tc>
          <w:tcPr>
            <w:tcW w:w="567" w:type="dxa"/>
            <w:shd w:val="clear" w:color="auto" w:fill="auto"/>
            <w:vAlign w:val="center"/>
            <w:hideMark/>
          </w:tcPr>
          <w:p w14:paraId="1604A0DC" w14:textId="77777777" w:rsidR="00925DE6" w:rsidRPr="005C470C" w:rsidRDefault="00925DE6" w:rsidP="002F6AEF">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4A9BDE21" w14:textId="18A1655C"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observed results show that HA seems to provide a lower average of pain on the third and seventh postoperative days and has no influence on postoperative trismus after extraction of 3Ms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8A57965" w14:textId="02307912" w:rsidR="00925DE6" w:rsidRPr="005C470C" w:rsidRDefault="00925DE6" w:rsidP="002F6AEF">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 - Further studies with stronger methodology examining these parameters are necessary to present more useful outcomes</w:t>
            </w:r>
            <w:r w:rsidR="00B0457E">
              <w:rPr>
                <w:rFonts w:ascii="Times New Roman" w:eastAsia="Times New Roman" w:hAnsi="Times New Roman" w:cs="Times New Roman"/>
                <w:color w:val="000000"/>
                <w:sz w:val="20"/>
                <w:szCs w:val="20"/>
                <w:lang w:val="en-US" w:eastAsia="pt-BR"/>
              </w:rPr>
              <w:t>.</w:t>
            </w:r>
          </w:p>
        </w:tc>
      </w:tr>
      <w:tr w:rsidR="002914BB" w:rsidRPr="00114AF5" w14:paraId="64AEADD9" w14:textId="77777777" w:rsidTr="00114AF5">
        <w:trPr>
          <w:trHeight w:val="20"/>
        </w:trPr>
        <w:tc>
          <w:tcPr>
            <w:tcW w:w="1135" w:type="dxa"/>
            <w:shd w:val="clear" w:color="auto" w:fill="auto"/>
            <w:vAlign w:val="center"/>
            <w:hideMark/>
          </w:tcPr>
          <w:p w14:paraId="1FE13A00"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Ta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&lt;EndNote&gt;&lt;Cite&gt;&lt;Author&gt;Ta&lt;/Author&gt;&lt;Year&gt;2019&lt;/Year&gt;&lt;RecNum&gt;21053&lt;/RecNum&gt;&lt;DisplayText&gt;&lt;style face="superscript"&gt;98&lt;/style&gt;&lt;/DisplayText&gt;&lt;record&gt;&lt;rec-number&gt;21053&lt;/rec-number&gt;&lt;foreign-keys&gt;&lt;key app="EN" db-id="f5fv5a2shx52dqesxzmpffeqzt5ffxae2vev" timestamp="1607902626"&gt;21053&lt;/key&gt;&lt;/foreign-keys&gt;&lt;ref-type name="Journal Article"&gt;17&lt;/ref-type&gt;&lt;contributors&gt;&lt;authors&gt;&lt;author&gt;Ta, Patrick Chieu Poa&lt;/author&gt;&lt;author&gt;Dinh, Hue Quyen&lt;/author&gt;&lt;author&gt;Nguyen, Kim&lt;/author&gt;&lt;author&gt;Lin, Samuel&lt;/author&gt;&lt;author&gt;Ong, Yong Li&lt;/author&gt;&lt;author&gt;Ariyawardana, Anura&lt;/author&gt;&lt;/authors&gt;&lt;/contributors&gt;&lt;titles&gt;&lt;title&gt;Efficacy of gabapentin in the treatment of trigeminal neuralgia: A systematic review of randomized controlled trials&lt;/title&gt;&lt;secondary-title&gt;Journal of investigative and clinical dentistry&lt;/secondary-title&gt;&lt;/titles&gt;&lt;periodical&gt;&lt;full-title&gt;Journal of investigative and clinical dentistry&lt;/full-title&gt;&lt;/periodical&gt;&lt;pages&gt;e12448&lt;/pages&gt;&lt;volume&gt;10&lt;/volume&gt;&lt;number&gt;4&lt;/number&gt;&lt;dates&gt;&lt;year&gt;2019&lt;/year&gt;&lt;/dates&gt;&lt;isbn&gt;2041-1618&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98</w:t>
            </w:r>
            <w:r w:rsidR="0008652B" w:rsidRPr="005C470C">
              <w:rPr>
                <w:rFonts w:ascii="Times New Roman" w:eastAsia="Times New Roman" w:hAnsi="Times New Roman" w:cs="Times New Roman"/>
                <w:sz w:val="20"/>
                <w:szCs w:val="20"/>
                <w:lang w:eastAsia="pt-BR"/>
              </w:rPr>
              <w:fldChar w:fldCharType="end"/>
            </w:r>
          </w:p>
          <w:p w14:paraId="48122F84" w14:textId="7C59453A"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Australia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7CB5C1FA" w14:textId="7D6A70F9" w:rsidR="006226A8" w:rsidRPr="00BC17DB" w:rsidRDefault="00C53143" w:rsidP="00C53143">
            <w:pPr>
              <w:jc w:val="cente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Journal of investigative and clinical dentistry (</w:t>
            </w:r>
            <w:r w:rsidR="00EF5009">
              <w:rPr>
                <w:rFonts w:ascii="Times New Roman" w:eastAsia="Times New Roman" w:hAnsi="Times New Roman" w:cs="Times New Roman"/>
                <w:sz w:val="20"/>
                <w:szCs w:val="20"/>
                <w:lang w:val="en-US" w:eastAsia="pt-BR"/>
              </w:rPr>
              <w:t>NR</w:t>
            </w:r>
            <w:r w:rsidRPr="00BC17DB">
              <w:rPr>
                <w:rFonts w:ascii="Times New Roman" w:eastAsia="Times New Roman" w:hAnsi="Times New Roman" w:cs="Times New Roman"/>
                <w:sz w:val="20"/>
                <w:szCs w:val="20"/>
                <w:lang w:val="en-US" w:eastAsia="pt-BR"/>
              </w:rPr>
              <w:t>)</w:t>
            </w:r>
          </w:p>
        </w:tc>
        <w:tc>
          <w:tcPr>
            <w:tcW w:w="1418" w:type="dxa"/>
            <w:shd w:val="clear" w:color="auto" w:fill="auto"/>
            <w:vAlign w:val="center"/>
            <w:hideMark/>
          </w:tcPr>
          <w:p w14:paraId="63DF8AA8"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Orofacial Pain</w:t>
            </w:r>
          </w:p>
        </w:tc>
        <w:tc>
          <w:tcPr>
            <w:tcW w:w="1275" w:type="dxa"/>
            <w:shd w:val="clear" w:color="auto" w:fill="auto"/>
            <w:vAlign w:val="center"/>
            <w:hideMark/>
          </w:tcPr>
          <w:p w14:paraId="11D72C2C"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to determine the efficacy of gabapentin (GBP) in the treatment of pain of idiopathic trigeminal neuralgia</w:t>
            </w:r>
          </w:p>
        </w:tc>
        <w:tc>
          <w:tcPr>
            <w:tcW w:w="1134" w:type="dxa"/>
            <w:shd w:val="clear" w:color="auto" w:fill="auto"/>
            <w:vAlign w:val="center"/>
            <w:hideMark/>
          </w:tcPr>
          <w:p w14:paraId="06C63EFF"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Patients with pain of idiopathic trigeminal neuralgia</w:t>
            </w:r>
          </w:p>
        </w:tc>
        <w:tc>
          <w:tcPr>
            <w:tcW w:w="1276" w:type="dxa"/>
            <w:shd w:val="clear" w:color="auto" w:fill="auto"/>
            <w:vAlign w:val="center"/>
            <w:hideMark/>
          </w:tcPr>
          <w:p w14:paraId="7E6B7A26" w14:textId="55AD0D72" w:rsidR="006226A8" w:rsidRPr="005C470C" w:rsidRDefault="00A70A8C"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Gabapentin</w:t>
            </w:r>
          </w:p>
        </w:tc>
        <w:tc>
          <w:tcPr>
            <w:tcW w:w="1418" w:type="dxa"/>
            <w:shd w:val="clear" w:color="auto" w:fill="auto"/>
            <w:vAlign w:val="center"/>
            <w:hideMark/>
          </w:tcPr>
          <w:p w14:paraId="7C3A08E0"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No treatment or control pain associated with trigeminal neuralgia</w:t>
            </w:r>
          </w:p>
        </w:tc>
        <w:tc>
          <w:tcPr>
            <w:tcW w:w="1275" w:type="dxa"/>
            <w:shd w:val="clear" w:color="auto" w:fill="auto"/>
            <w:vAlign w:val="center"/>
            <w:hideMark/>
          </w:tcPr>
          <w:p w14:paraId="597369FE" w14:textId="3171B9D2" w:rsidR="006226A8" w:rsidRPr="005C470C" w:rsidRDefault="00A44971"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w:t>
            </w:r>
            <w:r w:rsidR="006226A8" w:rsidRPr="005C470C">
              <w:rPr>
                <w:rFonts w:ascii="Times New Roman" w:eastAsia="Times New Roman" w:hAnsi="Times New Roman" w:cs="Times New Roman"/>
                <w:color w:val="000000"/>
                <w:sz w:val="20"/>
                <w:szCs w:val="20"/>
                <w:lang w:val="en-US" w:eastAsia="pt-BR"/>
              </w:rPr>
              <w:t>he relief of pain associated with idiopathic TN</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xml:space="preserve"> level of pain relief, longevity of pain relief and quality of life </w:t>
            </w:r>
          </w:p>
        </w:tc>
        <w:tc>
          <w:tcPr>
            <w:tcW w:w="1134" w:type="dxa"/>
            <w:shd w:val="clear" w:color="auto" w:fill="auto"/>
            <w:vAlign w:val="center"/>
            <w:hideMark/>
          </w:tcPr>
          <w:p w14:paraId="3BB60F6A"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(monotherapy and comparator studies) (n=2)</w:t>
            </w:r>
          </w:p>
        </w:tc>
        <w:tc>
          <w:tcPr>
            <w:tcW w:w="567" w:type="dxa"/>
            <w:shd w:val="clear" w:color="auto" w:fill="auto"/>
            <w:vAlign w:val="center"/>
            <w:hideMark/>
          </w:tcPr>
          <w:p w14:paraId="527A1CB0"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31AB7B35" w14:textId="02BA284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There is insufficient evidence either to support or refute the efficacy of GBP in the management of idiopathic TN</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AA26FFB" w14:textId="0962DF59"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A44971" w:rsidRPr="005C470C">
              <w:rPr>
                <w:rFonts w:ascii="Times New Roman" w:eastAsia="Times New Roman" w:hAnsi="Times New Roman" w:cs="Times New Roman"/>
                <w:color w:val="000000"/>
                <w:sz w:val="20"/>
                <w:szCs w:val="20"/>
                <w:lang w:val="en-US" w:eastAsia="pt-BR"/>
              </w:rPr>
              <w:t xml:space="preserve"> - further well‐designed placebo‐controlled trials are required</w:t>
            </w:r>
            <w:r w:rsidR="00B0457E">
              <w:rPr>
                <w:rFonts w:ascii="Times New Roman" w:eastAsia="Times New Roman" w:hAnsi="Times New Roman" w:cs="Times New Roman"/>
                <w:color w:val="000000"/>
                <w:sz w:val="20"/>
                <w:szCs w:val="20"/>
                <w:lang w:val="en-US" w:eastAsia="pt-BR"/>
              </w:rPr>
              <w:t>.</w:t>
            </w:r>
          </w:p>
        </w:tc>
      </w:tr>
      <w:tr w:rsidR="002914BB" w:rsidRPr="005C470C" w14:paraId="12D174C8" w14:textId="77777777" w:rsidTr="00114AF5">
        <w:trPr>
          <w:trHeight w:val="20"/>
        </w:trPr>
        <w:tc>
          <w:tcPr>
            <w:tcW w:w="1135" w:type="dxa"/>
            <w:shd w:val="clear" w:color="auto" w:fill="auto"/>
            <w:vAlign w:val="center"/>
            <w:hideMark/>
          </w:tcPr>
          <w:p w14:paraId="38083044"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Tasios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&lt;EndNote&gt;&lt;Cite&gt;&lt;Author&gt;Tasios&lt;/Author&gt;&lt;Year&gt;2019&lt;/Year&gt;&lt;RecNum&gt;21052&lt;/RecNum&gt;&lt;DisplayText&gt;&lt;style face="superscript"&gt;99&lt;/style&gt;&lt;/DisplayText&gt;&lt;record&gt;&lt;rec-number&gt;21052&lt;/rec-number&gt;&lt;foreign-keys&gt;&lt;key app="EN" db-id="f5fv5a2shx52dqesxzmpffeqzt5ffxae2vev" timestamp="1607902626"&gt;21052&lt;/key&gt;&lt;/foreign-keys&gt;&lt;ref-type name="Journal Article"&gt;17&lt;/ref-type&gt;&lt;contributors&gt;&lt;authors&gt;&lt;author&gt;Tasios, Thomas&lt;/author&gt;&lt;author&gt;Papageorgiou, Spyridon N&lt;/author&gt;&lt;author&gt;Papadopoulos, Moschos A&lt;/author&gt;&lt;author&gt;Tsapas, Apostolos&lt;/author&gt;&lt;author&gt;Haidich, Anna‐Bettina&lt;/author&gt;&lt;/authors&gt;&lt;/contributors&gt;&lt;titles&gt;&lt;title&gt;Prevention of orthodontic enamel demineralization: A systematic review with meta‐analyses&lt;/title&gt;&lt;secondary-title&gt;Orthodontics &amp;amp; craniofacial research&lt;/secondary-title&gt;&lt;/titles&gt;&lt;periodical&gt;&lt;full-title&gt;Orthod Craniofac Res&lt;/full-title&gt;&lt;abbr-1&gt;Orthodontics &amp;amp; craniofacial research&lt;/abbr-1&gt;&lt;/periodical&gt;&lt;pages&gt;225-235&lt;/pages&gt;&lt;volume&gt;22&lt;/volume&gt;&lt;number&gt;4&lt;/number&gt;&lt;dates&gt;&lt;year&gt;2019&lt;/year&gt;&lt;/dates&gt;&lt;isbn&gt;1601-6335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99</w:t>
            </w:r>
            <w:r w:rsidR="0008652B" w:rsidRPr="005C470C">
              <w:rPr>
                <w:rFonts w:ascii="Times New Roman" w:eastAsia="Times New Roman" w:hAnsi="Times New Roman" w:cs="Times New Roman"/>
                <w:sz w:val="20"/>
                <w:szCs w:val="20"/>
                <w:lang w:eastAsia="pt-BR"/>
              </w:rPr>
              <w:fldChar w:fldCharType="end"/>
            </w:r>
          </w:p>
          <w:p w14:paraId="1C504A7B" w14:textId="135AFCB0"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Greece</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6E206788"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Orthodontics &amp; craniofacial research</w:t>
            </w:r>
          </w:p>
          <w:p w14:paraId="4F4612B2" w14:textId="0B2A037C"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(1.455)</w:t>
            </w:r>
          </w:p>
        </w:tc>
        <w:tc>
          <w:tcPr>
            <w:tcW w:w="1418" w:type="dxa"/>
            <w:shd w:val="clear" w:color="auto" w:fill="auto"/>
            <w:vAlign w:val="center"/>
            <w:hideMark/>
          </w:tcPr>
          <w:p w14:paraId="4E48117A"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Orthodontics and Dentofacial Orthopedics</w:t>
            </w:r>
          </w:p>
        </w:tc>
        <w:tc>
          <w:tcPr>
            <w:tcW w:w="1275" w:type="dxa"/>
            <w:shd w:val="clear" w:color="auto" w:fill="auto"/>
            <w:vAlign w:val="center"/>
            <w:hideMark/>
          </w:tcPr>
          <w:p w14:paraId="3DD354DB" w14:textId="53C103C4"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assess the efficacy of preventive interventions</w:t>
            </w:r>
            <w:r w:rsidR="00A44971" w:rsidRPr="005C470C">
              <w:rPr>
                <w:rFonts w:ascii="Times New Roman" w:eastAsia="Times New Roman" w:hAnsi="Times New Roman" w:cs="Times New Roman"/>
                <w:sz w:val="20"/>
                <w:szCs w:val="20"/>
                <w:lang w:val="en-US" w:eastAsia="pt-BR"/>
              </w:rPr>
              <w:t xml:space="preserve"> </w:t>
            </w:r>
            <w:r w:rsidRPr="005C470C">
              <w:rPr>
                <w:rFonts w:ascii="Times New Roman" w:eastAsia="Times New Roman" w:hAnsi="Times New Roman" w:cs="Times New Roman"/>
                <w:sz w:val="20"/>
                <w:szCs w:val="20"/>
                <w:lang w:val="en-US" w:eastAsia="pt-BR"/>
              </w:rPr>
              <w:t xml:space="preserve">against the development of white spot lesions (WSLs) during fixed appliance </w:t>
            </w:r>
            <w:r w:rsidRPr="005C470C">
              <w:rPr>
                <w:rFonts w:ascii="Times New Roman" w:eastAsia="Times New Roman" w:hAnsi="Times New Roman" w:cs="Times New Roman"/>
                <w:sz w:val="20"/>
                <w:szCs w:val="20"/>
                <w:lang w:val="en-US" w:eastAsia="pt-BR"/>
              </w:rPr>
              <w:lastRenderedPageBreak/>
              <w:t>orthodontic treatment</w:t>
            </w:r>
          </w:p>
        </w:tc>
        <w:tc>
          <w:tcPr>
            <w:tcW w:w="1134" w:type="dxa"/>
            <w:shd w:val="clear" w:color="auto" w:fill="auto"/>
            <w:vAlign w:val="center"/>
            <w:hideMark/>
          </w:tcPr>
          <w:p w14:paraId="6F6B1FBC"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Patients undergoing orthodontic treatment</w:t>
            </w:r>
          </w:p>
        </w:tc>
        <w:tc>
          <w:tcPr>
            <w:tcW w:w="1276" w:type="dxa"/>
            <w:shd w:val="clear" w:color="auto" w:fill="auto"/>
            <w:vAlign w:val="center"/>
            <w:hideMark/>
          </w:tcPr>
          <w:p w14:paraId="7BAD68C1" w14:textId="5B9BC127"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Any </w:t>
            </w:r>
            <w:r w:rsidR="006226A8" w:rsidRPr="005C470C">
              <w:rPr>
                <w:rFonts w:ascii="Times New Roman" w:eastAsia="Times New Roman" w:hAnsi="Times New Roman" w:cs="Times New Roman"/>
                <w:color w:val="000000"/>
                <w:sz w:val="20"/>
                <w:szCs w:val="20"/>
                <w:lang w:val="en-US" w:eastAsia="pt-BR"/>
              </w:rPr>
              <w:t>intervention administered</w:t>
            </w:r>
            <w:r w:rsidR="00A44971" w:rsidRPr="005C470C">
              <w:rPr>
                <w:rFonts w:ascii="Times New Roman" w:eastAsia="Times New Roman" w:hAnsi="Times New Roman" w:cs="Times New Roman"/>
                <w:color w:val="000000"/>
                <w:sz w:val="20"/>
                <w:szCs w:val="20"/>
                <w:lang w:val="en-US" w:eastAsia="pt-BR"/>
              </w:rPr>
              <w:t xml:space="preserve"> </w:t>
            </w:r>
            <w:r w:rsidR="006226A8" w:rsidRPr="005C470C">
              <w:rPr>
                <w:rFonts w:ascii="Times New Roman" w:eastAsia="Times New Roman" w:hAnsi="Times New Roman" w:cs="Times New Roman"/>
                <w:color w:val="000000"/>
                <w:sz w:val="20"/>
                <w:szCs w:val="20"/>
                <w:lang w:val="en-US" w:eastAsia="pt-BR"/>
              </w:rPr>
              <w:t>at treatment start aimed at preventing the development of WSLs</w:t>
            </w:r>
          </w:p>
        </w:tc>
        <w:tc>
          <w:tcPr>
            <w:tcW w:w="1418" w:type="dxa"/>
            <w:shd w:val="clear" w:color="auto" w:fill="auto"/>
            <w:vAlign w:val="center"/>
            <w:hideMark/>
          </w:tcPr>
          <w:p w14:paraId="46989EE3" w14:textId="24668F11" w:rsidR="006226A8" w:rsidRPr="005C470C" w:rsidRDefault="00A70A8C"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Control</w:t>
            </w:r>
            <w:r w:rsidR="006226A8" w:rsidRPr="005C470C">
              <w:rPr>
                <w:rFonts w:ascii="Times New Roman" w:eastAsia="Times New Roman" w:hAnsi="Times New Roman" w:cs="Times New Roman"/>
                <w:color w:val="000000"/>
                <w:sz w:val="20"/>
                <w:szCs w:val="20"/>
                <w:lang w:val="en-US" w:eastAsia="pt-BR"/>
              </w:rPr>
              <w:t>/placebo group or to another intervention</w:t>
            </w:r>
          </w:p>
        </w:tc>
        <w:tc>
          <w:tcPr>
            <w:tcW w:w="1275" w:type="dxa"/>
            <w:shd w:val="clear" w:color="auto" w:fill="auto"/>
            <w:vAlign w:val="center"/>
            <w:hideMark/>
          </w:tcPr>
          <w:p w14:paraId="68143E2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Development of white spot lesions (WSLs) during fixed appliance orthodontic treatment</w:t>
            </w:r>
          </w:p>
        </w:tc>
        <w:tc>
          <w:tcPr>
            <w:tcW w:w="1134" w:type="dxa"/>
            <w:shd w:val="clear" w:color="auto" w:fill="auto"/>
            <w:vAlign w:val="center"/>
            <w:hideMark/>
          </w:tcPr>
          <w:p w14:paraId="6BA1809C"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(n=24 papers / n=23 trials)</w:t>
            </w:r>
          </w:p>
        </w:tc>
        <w:tc>
          <w:tcPr>
            <w:tcW w:w="567" w:type="dxa"/>
            <w:shd w:val="clear" w:color="auto" w:fill="auto"/>
            <w:vAlign w:val="center"/>
            <w:hideMark/>
          </w:tcPr>
          <w:p w14:paraId="2DCFD915"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Y</w:t>
            </w:r>
          </w:p>
        </w:tc>
        <w:tc>
          <w:tcPr>
            <w:tcW w:w="1701" w:type="dxa"/>
            <w:shd w:val="clear" w:color="auto" w:fill="auto"/>
            <w:vAlign w:val="center"/>
            <w:hideMark/>
          </w:tcPr>
          <w:p w14:paraId="19C7D093" w14:textId="311F03AB" w:rsidR="006226A8" w:rsidRPr="005C470C" w:rsidRDefault="00A44971"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w:t>
            </w:r>
            <w:r w:rsidR="006226A8" w:rsidRPr="005C470C">
              <w:rPr>
                <w:rFonts w:ascii="Times New Roman" w:eastAsia="Times New Roman" w:hAnsi="Times New Roman" w:cs="Times New Roman"/>
                <w:color w:val="000000"/>
                <w:sz w:val="20"/>
                <w:szCs w:val="20"/>
                <w:lang w:val="en-US" w:eastAsia="pt-BR"/>
              </w:rPr>
              <w:t xml:space="preserve">ctive patient reminders, flat surface sealants and fluoride varnishes are associated with reduced development and magnitude of WSLs during orthodontic </w:t>
            </w:r>
            <w:r w:rsidR="006226A8" w:rsidRPr="005C470C">
              <w:rPr>
                <w:rFonts w:ascii="Times New Roman" w:eastAsia="Times New Roman" w:hAnsi="Times New Roman" w:cs="Times New Roman"/>
                <w:color w:val="000000"/>
                <w:sz w:val="20"/>
                <w:szCs w:val="20"/>
                <w:lang w:val="en-US" w:eastAsia="pt-BR"/>
              </w:rPr>
              <w:lastRenderedPageBreak/>
              <w:t>treatment with fixed appliances. However, the strength of these recommendations is mostly low</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19957FE"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1A0A8671" w14:textId="77777777" w:rsidTr="00114AF5">
        <w:trPr>
          <w:trHeight w:val="20"/>
        </w:trPr>
        <w:tc>
          <w:tcPr>
            <w:tcW w:w="1135" w:type="dxa"/>
            <w:shd w:val="clear" w:color="auto" w:fill="auto"/>
            <w:vAlign w:val="center"/>
            <w:hideMark/>
          </w:tcPr>
          <w:p w14:paraId="0AD3125E"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Tattan et al, 2020</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&lt;EndNote&gt;&lt;Cite&gt;&lt;Author&gt;Tattan&lt;/Author&gt;&lt;Year&gt;2020&lt;/Year&gt;&lt;RecNum&gt;21049&lt;/RecNum&gt;&lt;DisplayText&gt;&lt;style face="superscript"&gt;100&lt;/style&gt;&lt;/DisplayText&gt;&lt;record&gt;&lt;rec-number&gt;21049&lt;/rec-number&gt;&lt;foreign-keys&gt;&lt;key app="EN" db-id="f5fv5a2shx52dqesxzmpffeqzt5ffxae2vev" timestamp="1607902626"&gt;21049&lt;/key&gt;&lt;/foreign-keys&gt;&lt;ref-type name="Journal Article"&gt;17&lt;/ref-type&gt;&lt;contributors&gt;&lt;authors&gt;&lt;author&gt;Tattan, Mustafa&lt;/author&gt;&lt;author&gt;Chambrone, Leandro&lt;/author&gt;&lt;author&gt;González‐Martín, Oscar&lt;/author&gt;&lt;author&gt;Avila‐Ortiz, Gustavo&lt;/author&gt;&lt;/authors&gt;&lt;/contributors&gt;&lt;titles&gt;&lt;title&gt;Static computer‐aided, partially guided, and free‐handed implant placement: A systematic review and meta‐analysis of randomized controlled trials&lt;/title&gt;&lt;secondary-title&gt;Clinical Oral Implants Research&lt;/secondary-title&gt;&lt;/titles&gt;&lt;periodical&gt;&lt;full-title&gt;Clin Oral Implants Res&lt;/full-title&gt;&lt;abbr-1&gt;Clinical oral implants research&lt;/abbr-1&gt;&lt;/periodical&gt;&lt;pages&gt;889-916&lt;/pages&gt;&lt;volume&gt;31&lt;/volume&gt;&lt;number&gt;10&lt;/number&gt;&lt;dates&gt;&lt;year&gt;2020&lt;/year&gt;&lt;/dates&gt;&lt;isbn&gt;0905-7161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100</w:t>
            </w:r>
            <w:r w:rsidR="0008652B" w:rsidRPr="005C470C">
              <w:rPr>
                <w:rFonts w:ascii="Times New Roman" w:eastAsia="Times New Roman" w:hAnsi="Times New Roman" w:cs="Times New Roman"/>
                <w:sz w:val="20"/>
                <w:szCs w:val="20"/>
                <w:lang w:eastAsia="pt-BR"/>
              </w:rPr>
              <w:fldChar w:fldCharType="end"/>
            </w:r>
          </w:p>
          <w:p w14:paraId="0879D767" w14:textId="1278687A"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(United States)</w:t>
            </w:r>
          </w:p>
        </w:tc>
        <w:tc>
          <w:tcPr>
            <w:tcW w:w="992" w:type="dxa"/>
            <w:shd w:val="clear" w:color="auto" w:fill="auto"/>
            <w:vAlign w:val="center"/>
            <w:hideMark/>
          </w:tcPr>
          <w:p w14:paraId="4BE9C489"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Clinical oral implants research</w:t>
            </w:r>
          </w:p>
          <w:p w14:paraId="45494D7B" w14:textId="2AE2D682"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(3.723)</w:t>
            </w:r>
          </w:p>
        </w:tc>
        <w:tc>
          <w:tcPr>
            <w:tcW w:w="1418" w:type="dxa"/>
            <w:shd w:val="clear" w:color="auto" w:fill="auto"/>
            <w:vAlign w:val="center"/>
            <w:hideMark/>
          </w:tcPr>
          <w:p w14:paraId="282E30F7"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0F193FF0" w14:textId="29E7C17C"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analyze the outcomes of static computer-aided implant placement (sCAIP) compared to partially guided (PGIP) and free-handed (FHIP) implant placement</w:t>
            </w:r>
          </w:p>
        </w:tc>
        <w:tc>
          <w:tcPr>
            <w:tcW w:w="1134" w:type="dxa"/>
            <w:shd w:val="clear" w:color="auto" w:fill="auto"/>
            <w:vAlign w:val="center"/>
            <w:hideMark/>
          </w:tcPr>
          <w:p w14:paraId="56B6833F"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Adult human subjects in need of one or more dental implants for tooth replacement</w:t>
            </w:r>
          </w:p>
        </w:tc>
        <w:tc>
          <w:tcPr>
            <w:tcW w:w="1276" w:type="dxa"/>
            <w:shd w:val="clear" w:color="auto" w:fill="auto"/>
            <w:vAlign w:val="center"/>
            <w:hideMark/>
          </w:tcPr>
          <w:p w14:paraId="32D5F668" w14:textId="29EE9AC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Static computer-aided placement of one or more dental implant followed by functional loading ≥3</w:t>
            </w:r>
            <w:r w:rsidR="00D121CD" w:rsidRPr="005C470C">
              <w:rPr>
                <w:rFonts w:ascii="Times New Roman" w:eastAsia="Times New Roman" w:hAnsi="Times New Roman" w:cs="Times New Roman"/>
                <w:color w:val="000000"/>
                <w:sz w:val="20"/>
                <w:szCs w:val="20"/>
                <w:lang w:val="en-US" w:eastAsia="pt-BR"/>
              </w:rPr>
              <w:t xml:space="preserve">mo </w:t>
            </w:r>
            <w:r w:rsidRPr="005C470C">
              <w:rPr>
                <w:rFonts w:ascii="Times New Roman" w:eastAsia="Times New Roman" w:hAnsi="Times New Roman" w:cs="Times New Roman"/>
                <w:color w:val="000000"/>
                <w:sz w:val="20"/>
                <w:szCs w:val="20"/>
                <w:lang w:val="en-US" w:eastAsia="pt-BR"/>
              </w:rPr>
              <w:t>later</w:t>
            </w:r>
          </w:p>
        </w:tc>
        <w:tc>
          <w:tcPr>
            <w:tcW w:w="1418" w:type="dxa"/>
            <w:shd w:val="clear" w:color="auto" w:fill="auto"/>
            <w:vAlign w:val="center"/>
            <w:hideMark/>
          </w:tcPr>
          <w:p w14:paraId="555ACA8C" w14:textId="5EC6308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Conventional (FHIP or PGIP) placement of one or more dental implants followed by functional loading ≥3</w:t>
            </w:r>
            <w:r w:rsidR="00D121CD" w:rsidRPr="005C470C">
              <w:rPr>
                <w:rFonts w:ascii="Times New Roman" w:eastAsia="Times New Roman" w:hAnsi="Times New Roman" w:cs="Times New Roman"/>
                <w:color w:val="000000"/>
                <w:sz w:val="20"/>
                <w:szCs w:val="20"/>
                <w:lang w:val="en-US" w:eastAsia="pt-BR"/>
              </w:rPr>
              <w:t xml:space="preserve">mo </w:t>
            </w:r>
            <w:r w:rsidRPr="005C470C">
              <w:rPr>
                <w:rFonts w:ascii="Times New Roman" w:eastAsia="Times New Roman" w:hAnsi="Times New Roman" w:cs="Times New Roman"/>
                <w:color w:val="000000"/>
                <w:sz w:val="20"/>
                <w:szCs w:val="20"/>
                <w:lang w:val="en-US" w:eastAsia="pt-BR"/>
              </w:rPr>
              <w:t>later</w:t>
            </w:r>
          </w:p>
        </w:tc>
        <w:tc>
          <w:tcPr>
            <w:tcW w:w="1275" w:type="dxa"/>
            <w:shd w:val="clear" w:color="auto" w:fill="auto"/>
            <w:vAlign w:val="center"/>
            <w:hideMark/>
          </w:tcPr>
          <w:p w14:paraId="171943BD" w14:textId="6778F20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Implant survival and implant success on the basis of the criteria reported in the selected studies</w:t>
            </w:r>
            <w:r w:rsidR="00A44971" w:rsidRPr="005C470C">
              <w:rPr>
                <w:rFonts w:ascii="Times New Roman" w:eastAsia="Times New Roman" w:hAnsi="Times New Roman" w:cs="Times New Roman"/>
                <w:color w:val="000000"/>
                <w:sz w:val="20"/>
                <w:szCs w:val="20"/>
                <w:lang w:val="en-US" w:eastAsia="pt-BR"/>
              </w:rPr>
              <w:t>;</w:t>
            </w:r>
            <w:r w:rsidRPr="005C470C">
              <w:rPr>
                <w:rFonts w:ascii="Times New Roman" w:eastAsia="Times New Roman" w:hAnsi="Times New Roman" w:cs="Times New Roman"/>
                <w:color w:val="000000"/>
                <w:sz w:val="20"/>
                <w:szCs w:val="20"/>
                <w:lang w:val="en-US" w:eastAsia="pt-BR"/>
              </w:rPr>
              <w:br/>
              <w:t>Marginal bone level and accuracy of implant placement or deviation from planned implant placement (in degrees and/or mm)</w:t>
            </w:r>
            <w:r w:rsidR="00D121CD"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Postoperative morbidity, patient satisfaction, and changes in quality of life subsequent to implant placement</w:t>
            </w:r>
            <w:r w:rsidR="00B0457E">
              <w:rPr>
                <w:rFonts w:ascii="Times New Roman" w:eastAsia="Times New Roman" w:hAnsi="Times New Roman" w:cs="Times New Roman"/>
                <w:color w:val="000000"/>
                <w:sz w:val="20"/>
                <w:szCs w:val="20"/>
                <w:lang w:val="en-US" w:eastAsia="pt-BR"/>
              </w:rPr>
              <w:t>.</w:t>
            </w:r>
          </w:p>
        </w:tc>
        <w:tc>
          <w:tcPr>
            <w:tcW w:w="1134" w:type="dxa"/>
            <w:shd w:val="clear" w:color="auto" w:fill="auto"/>
            <w:vAlign w:val="center"/>
            <w:hideMark/>
          </w:tcPr>
          <w:p w14:paraId="3F486C32"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(n=14 articles / n=10 studies)</w:t>
            </w:r>
          </w:p>
        </w:tc>
        <w:tc>
          <w:tcPr>
            <w:tcW w:w="567" w:type="dxa"/>
            <w:shd w:val="clear" w:color="auto" w:fill="auto"/>
            <w:vAlign w:val="center"/>
            <w:hideMark/>
          </w:tcPr>
          <w:p w14:paraId="586B9F64"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3CEA861" w14:textId="5F8CF7BD" w:rsidR="006226A8" w:rsidRPr="005C470C" w:rsidRDefault="00A44971"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 </w:t>
            </w:r>
            <w:r w:rsidR="006226A8" w:rsidRPr="005C470C">
              <w:rPr>
                <w:rFonts w:ascii="Times New Roman" w:eastAsia="Times New Roman" w:hAnsi="Times New Roman" w:cs="Times New Roman"/>
                <w:color w:val="000000"/>
                <w:sz w:val="20"/>
                <w:szCs w:val="20"/>
                <w:lang w:val="en-US" w:eastAsia="pt-BR"/>
              </w:rPr>
              <w:t>sCAIP provides tangible clinical advantages over conventional implant placement methods across several domains, as long as the clinical situation permits the stabilization of a surgical guide and an unhindered drilling sequence. Patient perception of treatment in terms of reported intra- or postoperative discomfort seems to be highly dependent on procedural events associated with implant placement as opposed to the modality of placement itself</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A1E5E0B" w14:textId="0DDC82A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Y - Quantitative analyses </w:t>
            </w:r>
            <w:r w:rsidRPr="005C470C">
              <w:rPr>
                <w:rFonts w:ascii="Times New Roman" w:eastAsia="Times New Roman" w:hAnsi="Times New Roman" w:cs="Times New Roman"/>
                <w:b/>
                <w:bCs/>
                <w:color w:val="000000"/>
                <w:sz w:val="20"/>
                <w:szCs w:val="20"/>
                <w:lang w:val="en-US" w:eastAsia="pt-BR"/>
              </w:rPr>
              <w:t>support</w:t>
            </w:r>
            <w:r w:rsidRPr="005C470C">
              <w:rPr>
                <w:rFonts w:ascii="Times New Roman" w:eastAsia="Times New Roman" w:hAnsi="Times New Roman" w:cs="Times New Roman"/>
                <w:color w:val="000000"/>
                <w:sz w:val="20"/>
                <w:szCs w:val="20"/>
                <w:lang w:val="en-US" w:eastAsia="pt-BR"/>
              </w:rPr>
              <w:t xml:space="preserve"> the superiority of sCAIP over FHIP in all parameters associated with accuracy of placement and over PGIP in angular deviation</w:t>
            </w:r>
            <w:r w:rsidR="00B0457E">
              <w:rPr>
                <w:rFonts w:ascii="Times New Roman" w:eastAsia="Times New Roman" w:hAnsi="Times New Roman" w:cs="Times New Roman"/>
                <w:color w:val="000000"/>
                <w:sz w:val="20"/>
                <w:szCs w:val="20"/>
                <w:lang w:val="en-US" w:eastAsia="pt-BR"/>
              </w:rPr>
              <w:t>.</w:t>
            </w:r>
          </w:p>
        </w:tc>
      </w:tr>
      <w:tr w:rsidR="002914BB" w:rsidRPr="00114AF5" w14:paraId="6682D51A" w14:textId="77777777" w:rsidTr="00114AF5">
        <w:trPr>
          <w:trHeight w:val="20"/>
        </w:trPr>
        <w:tc>
          <w:tcPr>
            <w:tcW w:w="1135" w:type="dxa"/>
            <w:shd w:val="clear" w:color="auto" w:fill="auto"/>
            <w:vAlign w:val="center"/>
            <w:hideMark/>
          </w:tcPr>
          <w:p w14:paraId="7DA7542D" w14:textId="77777777" w:rsidR="006226A8" w:rsidRPr="00BC17DB" w:rsidRDefault="006226A8"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lastRenderedPageBreak/>
              <w:t>Taylor et al, 2020</w:t>
            </w:r>
            <w:r w:rsidR="0008652B" w:rsidRPr="005C470C">
              <w:rPr>
                <w:rFonts w:ascii="Times New Roman" w:eastAsia="Times New Roman" w:hAnsi="Times New Roman" w:cs="Times New Roman"/>
                <w:sz w:val="20"/>
                <w:szCs w:val="20"/>
                <w:lang w:eastAsia="pt-BR"/>
              </w:rPr>
              <w:fldChar w:fldCharType="begin"/>
            </w:r>
            <w:r w:rsidR="0008652B" w:rsidRPr="00BC17DB">
              <w:rPr>
                <w:rFonts w:ascii="Times New Roman" w:eastAsia="Times New Roman" w:hAnsi="Times New Roman" w:cs="Times New Roman"/>
                <w:sz w:val="20"/>
                <w:szCs w:val="20"/>
                <w:lang w:val="en-US" w:eastAsia="pt-BR"/>
              </w:rPr>
              <w:instrText xml:space="preserve"> ADDIN EN.CITE &lt;EndNote&gt;&lt;Cite&gt;&lt;Author&gt;Taylor&lt;/Author&gt;&lt;Year&gt;2020&lt;/Year&gt;&lt;RecNum&gt;21048&lt;/RecNum&gt;&lt;DisplayText&gt;&lt;style face="superscript"&gt;101&lt;/style&gt;&lt;/DisplayText&gt;&lt;record&gt;&lt;rec-number&gt;21048&lt;/rec-number&gt;&lt;foreign-keys&gt;&lt;key app="EN" db-id="f5fv5a2shx52dqesxzmpffeqzt5ffxae2vev" timestamp="1607902626"&gt;21048&lt;/key&gt;&lt;/foreign-keys&gt;&lt;ref-type name="Journal Article"&gt;17&lt;/ref-type&gt;&lt;contributors&gt;&lt;authors&gt;&lt;author&gt;Taylor, Greig D&lt;/author&gt;&lt;author&gt;Vernazza, Christopher R&lt;/author&gt;&lt;author&gt;Abdulmohsen, Bana&lt;/author&gt;&lt;/authors&gt;&lt;/contributors&gt;&lt;titles&gt;&lt;title&gt;Success of endodontic management of compromised first permanent molars in children: A systematic review&lt;/title&gt;&lt;secondary-title&gt;International Journal of Paediatric Dentistry&lt;/secondary-title&gt;&lt;/titles&gt;&lt;periodical&gt;&lt;full-title&gt;International journal of paediatric dentistry&lt;/full-title&gt;&lt;/periodical&gt;&lt;pages&gt;370-380&lt;/pages&gt;&lt;volume&gt;30&lt;/volume&gt;&lt;number&gt;3&lt;/number&gt;&lt;dates&gt;&lt;year&gt;2020&lt;/year&gt;&lt;/dates&gt;&lt;isbn&gt;0960-7439&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BC17DB">
              <w:rPr>
                <w:rFonts w:ascii="Times New Roman" w:eastAsia="Times New Roman" w:hAnsi="Times New Roman" w:cs="Times New Roman"/>
                <w:noProof/>
                <w:sz w:val="20"/>
                <w:szCs w:val="20"/>
                <w:vertAlign w:val="superscript"/>
                <w:lang w:val="en-US" w:eastAsia="pt-BR"/>
              </w:rPr>
              <w:t>101</w:t>
            </w:r>
            <w:r w:rsidR="0008652B" w:rsidRPr="005C470C">
              <w:rPr>
                <w:rFonts w:ascii="Times New Roman" w:eastAsia="Times New Roman" w:hAnsi="Times New Roman" w:cs="Times New Roman"/>
                <w:sz w:val="20"/>
                <w:szCs w:val="20"/>
                <w:lang w:eastAsia="pt-BR"/>
              </w:rPr>
              <w:fldChar w:fldCharType="end"/>
            </w:r>
          </w:p>
          <w:p w14:paraId="20D46A9B" w14:textId="25AD2FE9"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(United Kingdom)</w:t>
            </w:r>
          </w:p>
        </w:tc>
        <w:tc>
          <w:tcPr>
            <w:tcW w:w="992" w:type="dxa"/>
            <w:shd w:val="clear" w:color="auto" w:fill="auto"/>
            <w:vAlign w:val="center"/>
            <w:hideMark/>
          </w:tcPr>
          <w:p w14:paraId="5B9E3CAF" w14:textId="77777777" w:rsidR="006226A8"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International Journal of Paediatric Dentistry</w:t>
            </w:r>
          </w:p>
          <w:p w14:paraId="100A6FB6" w14:textId="10AA668C" w:rsidR="00C53143" w:rsidRPr="00BC17DB" w:rsidRDefault="00C53143" w:rsidP="006226A8">
            <w:pPr>
              <w:rPr>
                <w:rFonts w:ascii="Times New Roman" w:eastAsia="Times New Roman" w:hAnsi="Times New Roman" w:cs="Times New Roman"/>
                <w:sz w:val="20"/>
                <w:szCs w:val="20"/>
                <w:lang w:val="en-US" w:eastAsia="pt-BR"/>
              </w:rPr>
            </w:pPr>
            <w:r w:rsidRPr="00BC17DB">
              <w:rPr>
                <w:rFonts w:ascii="Times New Roman" w:eastAsia="Times New Roman" w:hAnsi="Times New Roman" w:cs="Times New Roman"/>
                <w:sz w:val="20"/>
                <w:szCs w:val="20"/>
                <w:lang w:val="en-US" w:eastAsia="pt-BR"/>
              </w:rPr>
              <w:t>(1.993)</w:t>
            </w:r>
          </w:p>
        </w:tc>
        <w:tc>
          <w:tcPr>
            <w:tcW w:w="1418" w:type="dxa"/>
            <w:shd w:val="clear" w:color="auto" w:fill="auto"/>
            <w:vAlign w:val="center"/>
            <w:hideMark/>
          </w:tcPr>
          <w:p w14:paraId="7B6C63D1" w14:textId="77777777" w:rsidR="006226A8" w:rsidRPr="005C470C"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Endodontics/Pediatric Dentistry</w:t>
            </w:r>
          </w:p>
        </w:tc>
        <w:tc>
          <w:tcPr>
            <w:tcW w:w="1275" w:type="dxa"/>
            <w:shd w:val="clear" w:color="auto" w:fill="auto"/>
            <w:vAlign w:val="center"/>
            <w:hideMark/>
          </w:tcPr>
          <w:p w14:paraId="083E4CCE" w14:textId="0B76899A"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determine the success of endodontic therapies used on first permanent molar teeth in children aged </w:t>
            </w:r>
            <w:r w:rsidR="00D121CD" w:rsidRPr="005C470C">
              <w:rPr>
                <w:rFonts w:ascii="Times New Roman" w:eastAsia="Times New Roman" w:hAnsi="Times New Roman" w:cs="Times New Roman"/>
                <w:sz w:val="20"/>
                <w:szCs w:val="20"/>
                <w:lang w:val="en-US" w:eastAsia="pt-BR"/>
              </w:rPr>
              <w:t>&lt;16y</w:t>
            </w:r>
          </w:p>
        </w:tc>
        <w:tc>
          <w:tcPr>
            <w:tcW w:w="1134" w:type="dxa"/>
            <w:shd w:val="clear" w:color="auto" w:fill="auto"/>
            <w:vAlign w:val="center"/>
            <w:hideMark/>
          </w:tcPr>
          <w:p w14:paraId="59152252" w14:textId="68B9E82B"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Children </w:t>
            </w:r>
            <w:r w:rsidR="00D121CD" w:rsidRPr="005C470C">
              <w:rPr>
                <w:rFonts w:ascii="Times New Roman" w:eastAsia="Times New Roman" w:hAnsi="Times New Roman" w:cs="Times New Roman"/>
                <w:color w:val="000000"/>
                <w:sz w:val="20"/>
                <w:szCs w:val="20"/>
                <w:lang w:val="en-US" w:eastAsia="pt-BR"/>
              </w:rPr>
              <w:t>(&lt;16y)</w:t>
            </w:r>
          </w:p>
        </w:tc>
        <w:tc>
          <w:tcPr>
            <w:tcW w:w="1276" w:type="dxa"/>
            <w:shd w:val="clear" w:color="auto" w:fill="auto"/>
            <w:vAlign w:val="center"/>
            <w:hideMark/>
          </w:tcPr>
          <w:p w14:paraId="1AD2996E"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Endodontic therapies (not pulp capping) on a first permanent molar tooth</w:t>
            </w:r>
          </w:p>
        </w:tc>
        <w:tc>
          <w:tcPr>
            <w:tcW w:w="1418" w:type="dxa"/>
            <w:shd w:val="clear" w:color="auto" w:fill="auto"/>
            <w:vAlign w:val="center"/>
            <w:hideMark/>
          </w:tcPr>
          <w:p w14:paraId="1C54CB2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No treatment</w:t>
            </w:r>
          </w:p>
        </w:tc>
        <w:tc>
          <w:tcPr>
            <w:tcW w:w="1275" w:type="dxa"/>
            <w:shd w:val="clear" w:color="auto" w:fill="auto"/>
            <w:vAlign w:val="center"/>
            <w:hideMark/>
          </w:tcPr>
          <w:p w14:paraId="7C0382B7"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Clinical success of endodontic therapy</w:t>
            </w:r>
          </w:p>
        </w:tc>
        <w:tc>
          <w:tcPr>
            <w:tcW w:w="1134" w:type="dxa"/>
            <w:shd w:val="clear" w:color="auto" w:fill="auto"/>
            <w:vAlign w:val="center"/>
            <w:hideMark/>
          </w:tcPr>
          <w:p w14:paraId="2DBAB2F9" w14:textId="43E73172"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w:t>
            </w:r>
            <w:r w:rsidR="00D121CD" w:rsidRPr="005C470C">
              <w:rPr>
                <w:rFonts w:ascii="Times New Roman" w:eastAsia="Times New Roman" w:hAnsi="Times New Roman" w:cs="Times New Roman"/>
                <w:color w:val="000000"/>
                <w:sz w:val="20"/>
                <w:szCs w:val="20"/>
                <w:lang w:val="en-US" w:eastAsia="pt-BR"/>
              </w:rPr>
              <w:t>s</w:t>
            </w:r>
            <w:r w:rsidRPr="005C470C">
              <w:rPr>
                <w:rFonts w:ascii="Times New Roman" w:eastAsia="Times New Roman" w:hAnsi="Times New Roman" w:cs="Times New Roman"/>
                <w:color w:val="000000"/>
                <w:sz w:val="20"/>
                <w:szCs w:val="20"/>
                <w:lang w:val="en-US" w:eastAsia="pt-BR"/>
              </w:rPr>
              <w:t xml:space="preserve"> (n=3), prospective (n=5)</w:t>
            </w:r>
            <w:r w:rsidR="00D121CD" w:rsidRPr="005C470C">
              <w:rPr>
                <w:rFonts w:ascii="Times New Roman" w:eastAsia="Times New Roman" w:hAnsi="Times New Roman" w:cs="Times New Roman"/>
                <w:color w:val="000000"/>
                <w:sz w:val="20"/>
                <w:szCs w:val="20"/>
                <w:lang w:val="en-US" w:eastAsia="pt-BR"/>
              </w:rPr>
              <w:t xml:space="preserve"> and</w:t>
            </w:r>
            <w:r w:rsidRPr="005C470C">
              <w:rPr>
                <w:rFonts w:ascii="Times New Roman" w:eastAsia="Times New Roman" w:hAnsi="Times New Roman" w:cs="Times New Roman"/>
                <w:color w:val="000000"/>
                <w:sz w:val="20"/>
                <w:szCs w:val="20"/>
                <w:lang w:val="en-US" w:eastAsia="pt-BR"/>
              </w:rPr>
              <w:t xml:space="preserve"> retrospective cohort studies (n=1), case series (n=1), and case</w:t>
            </w:r>
            <w:r w:rsidR="00D121CD" w:rsidRPr="005C470C">
              <w:rPr>
                <w:rFonts w:ascii="Times New Roman" w:eastAsia="Times New Roman" w:hAnsi="Times New Roman" w:cs="Times New Roman"/>
                <w:color w:val="000000"/>
                <w:sz w:val="20"/>
                <w:szCs w:val="20"/>
                <w:lang w:val="en-US" w:eastAsia="pt-BR"/>
              </w:rPr>
              <w:t xml:space="preserve"> </w:t>
            </w:r>
            <w:r w:rsidRPr="005C470C">
              <w:rPr>
                <w:rFonts w:ascii="Times New Roman" w:eastAsia="Times New Roman" w:hAnsi="Times New Roman" w:cs="Times New Roman"/>
                <w:color w:val="000000"/>
                <w:sz w:val="20"/>
                <w:szCs w:val="20"/>
                <w:lang w:val="en-US" w:eastAsia="pt-BR"/>
              </w:rPr>
              <w:t>control (n=1)</w:t>
            </w:r>
          </w:p>
        </w:tc>
        <w:tc>
          <w:tcPr>
            <w:tcW w:w="567" w:type="dxa"/>
            <w:shd w:val="clear" w:color="auto" w:fill="auto"/>
            <w:vAlign w:val="center"/>
            <w:hideMark/>
          </w:tcPr>
          <w:p w14:paraId="6E70C41C"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N</w:t>
            </w:r>
          </w:p>
        </w:tc>
        <w:tc>
          <w:tcPr>
            <w:tcW w:w="1701" w:type="dxa"/>
            <w:shd w:val="clear" w:color="auto" w:fill="auto"/>
            <w:vAlign w:val="center"/>
            <w:hideMark/>
          </w:tcPr>
          <w:p w14:paraId="77205536" w14:textId="25EAE59E"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Partial and coronal pulpotomies are successful endodontic therapies for use in a compromised child's first permanent molar. We cannot however draw definite conclusions regarding conventional pulpectomy, apexification, and regenerative techniques, in first permanent molars in children, due to the paucity of available evidence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2E720050" w14:textId="3F77B2C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D121CD" w:rsidRPr="005C470C">
              <w:rPr>
                <w:rFonts w:ascii="Times New Roman" w:eastAsia="Times New Roman" w:hAnsi="Times New Roman" w:cs="Times New Roman"/>
                <w:color w:val="000000"/>
                <w:sz w:val="20"/>
                <w:szCs w:val="20"/>
                <w:lang w:val="en-US" w:eastAsia="pt-BR"/>
              </w:rPr>
              <w:t xml:space="preserve"> - Further well designed studies, with larger sample sizes, should be undertaken with the range of techniques available to provide a more definitive answer</w:t>
            </w:r>
            <w:r w:rsidR="00B0457E">
              <w:rPr>
                <w:rFonts w:ascii="Times New Roman" w:eastAsia="Times New Roman" w:hAnsi="Times New Roman" w:cs="Times New Roman"/>
                <w:color w:val="000000"/>
                <w:sz w:val="20"/>
                <w:szCs w:val="20"/>
                <w:lang w:val="en-US" w:eastAsia="pt-BR"/>
              </w:rPr>
              <w:t>.</w:t>
            </w:r>
          </w:p>
        </w:tc>
      </w:tr>
      <w:tr w:rsidR="002914BB" w:rsidRPr="005C470C" w14:paraId="0C9DF291" w14:textId="77777777" w:rsidTr="00114AF5">
        <w:trPr>
          <w:trHeight w:val="3951"/>
        </w:trPr>
        <w:tc>
          <w:tcPr>
            <w:tcW w:w="1135" w:type="dxa"/>
            <w:shd w:val="clear" w:color="auto" w:fill="auto"/>
            <w:vAlign w:val="center"/>
            <w:hideMark/>
          </w:tcPr>
          <w:p w14:paraId="014E97E4"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lastRenderedPageBreak/>
              <w:t>Valkenburg, Vernazza and Abdulmohsen, 2020</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&lt;EndNote&gt;&lt;Cite&gt;&lt;Author&gt;Valkenburg&lt;/Author&gt;&lt;Year&gt;2020&lt;/Year&gt;&lt;RecNum&gt;21047&lt;/RecNum&gt;&lt;DisplayText&gt;&lt;style face="superscript"&gt;102&lt;/style&gt;&lt;/DisplayText&gt;&lt;record&gt;&lt;rec-number&gt;21047&lt;/rec-number&gt;&lt;foreign-keys&gt;&lt;key app="EN" db-id="f5fv5a2shx52dqesxzmpffeqzt5ffxae2vev" timestamp="1607902626"&gt;21047&lt;/key&gt;&lt;/foreign-keys&gt;&lt;ref-type name="Journal Article"&gt;17&lt;/ref-type&gt;&lt;contributors&gt;&lt;authors&gt;&lt;author&gt;Valkenburg, Cees&lt;/author&gt;&lt;author&gt;Else Slot, Dagmar&lt;/author&gt;&lt;author&gt;Van der Weijden, GA&lt;/author&gt;&lt;/authors&gt;&lt;/contributors&gt;&lt;titles&gt;&lt;title&gt;What is the effect of active ingredients in dentifrice on inhibiting the regrowth of overnight plaque? A systematic review&lt;/title&gt;&lt;secondary-title&gt;International journal of dental hygiene&lt;/secondary-title&gt;&lt;/titles&gt;&lt;periodical&gt;&lt;full-title&gt;International journal of dental hygiene&lt;/full-title&gt;&lt;/periodical&gt;&lt;pages&gt;128-141&lt;/pages&gt;&lt;volume&gt;18&lt;/volume&gt;&lt;number&gt;2&lt;/number&gt;&lt;dates&gt;&lt;year&gt;2020&lt;/year&gt;&lt;/dates&gt;&lt;isbn&gt;1601-5029&lt;/isbn&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102</w:t>
            </w:r>
            <w:r w:rsidR="0008652B" w:rsidRPr="005C470C">
              <w:rPr>
                <w:rFonts w:ascii="Times New Roman" w:eastAsia="Times New Roman" w:hAnsi="Times New Roman" w:cs="Times New Roman"/>
                <w:sz w:val="20"/>
                <w:szCs w:val="20"/>
                <w:lang w:val="en-US" w:eastAsia="pt-BR"/>
              </w:rPr>
              <w:fldChar w:fldCharType="end"/>
            </w:r>
          </w:p>
          <w:p w14:paraId="443630B2" w14:textId="0F033A7F" w:rsidR="00C53143" w:rsidRPr="005C470C" w:rsidRDefault="00C53143" w:rsidP="006226A8">
            <w:pP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t>
            </w:r>
            <w:r w:rsidRPr="00EF5009">
              <w:rPr>
                <w:rFonts w:ascii="Times New Roman" w:eastAsia="Times New Roman" w:hAnsi="Times New Roman" w:cs="Times New Roman"/>
                <w:sz w:val="20"/>
                <w:szCs w:val="20"/>
                <w:lang w:val="en-US" w:eastAsia="pt-BR"/>
              </w:rPr>
              <w:t>The Netherlands)</w:t>
            </w:r>
          </w:p>
        </w:tc>
        <w:tc>
          <w:tcPr>
            <w:tcW w:w="992" w:type="dxa"/>
            <w:shd w:val="clear" w:color="auto" w:fill="auto"/>
            <w:vAlign w:val="center"/>
            <w:hideMark/>
          </w:tcPr>
          <w:p w14:paraId="639BFC22" w14:textId="77777777" w:rsidR="006226A8" w:rsidRPr="00EF5009" w:rsidRDefault="00C53143" w:rsidP="00C53143">
            <w:pPr>
              <w:jc w:val="center"/>
              <w:rPr>
                <w:rFonts w:ascii="Times New Roman" w:eastAsia="Times New Roman" w:hAnsi="Times New Roman" w:cs="Times New Roman"/>
                <w:sz w:val="20"/>
                <w:szCs w:val="20"/>
                <w:lang w:val="en-US" w:eastAsia="pt-BR"/>
              </w:rPr>
            </w:pPr>
            <w:r w:rsidRPr="00EF5009">
              <w:rPr>
                <w:rFonts w:ascii="Times New Roman" w:eastAsia="Times New Roman" w:hAnsi="Times New Roman" w:cs="Times New Roman"/>
                <w:sz w:val="20"/>
                <w:szCs w:val="20"/>
                <w:lang w:val="en-US" w:eastAsia="pt-BR"/>
              </w:rPr>
              <w:t>International journal of dental hygiene</w:t>
            </w:r>
          </w:p>
          <w:p w14:paraId="6DF6E5DE" w14:textId="08B0A039" w:rsidR="00C53143" w:rsidRPr="00EF5009" w:rsidRDefault="00C53143" w:rsidP="00C53143">
            <w:pPr>
              <w:jc w:val="center"/>
              <w:rPr>
                <w:rFonts w:ascii="Times New Roman" w:eastAsia="Times New Roman" w:hAnsi="Times New Roman" w:cs="Times New Roman"/>
                <w:sz w:val="20"/>
                <w:szCs w:val="20"/>
                <w:lang w:val="en-US" w:eastAsia="pt-BR"/>
              </w:rPr>
            </w:pPr>
            <w:r w:rsidRPr="00EF5009">
              <w:rPr>
                <w:rFonts w:ascii="Times New Roman" w:eastAsia="Times New Roman" w:hAnsi="Times New Roman" w:cs="Times New Roman"/>
                <w:sz w:val="20"/>
                <w:szCs w:val="20"/>
                <w:lang w:val="en-US" w:eastAsia="pt-BR"/>
              </w:rPr>
              <w:t>(1.229)</w:t>
            </w:r>
          </w:p>
        </w:tc>
        <w:tc>
          <w:tcPr>
            <w:tcW w:w="1418" w:type="dxa"/>
            <w:shd w:val="clear" w:color="auto" w:fill="auto"/>
            <w:vAlign w:val="center"/>
            <w:hideMark/>
          </w:tcPr>
          <w:p w14:paraId="33DD613F"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4EE8816E" w14:textId="1760B42A"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establish the adjuvant clinical effect of brushing with a dentifrice containing purported active ingredients as compared to a regular sodium fluoride dentifrice with respect to the inhibition of overnight dental plaque regrowth from studies with human participants</w:t>
            </w:r>
          </w:p>
        </w:tc>
        <w:tc>
          <w:tcPr>
            <w:tcW w:w="1134" w:type="dxa"/>
            <w:shd w:val="clear" w:color="auto" w:fill="auto"/>
            <w:vAlign w:val="center"/>
            <w:hideMark/>
          </w:tcPr>
          <w:p w14:paraId="48BA471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Healthy adults</w:t>
            </w:r>
          </w:p>
        </w:tc>
        <w:tc>
          <w:tcPr>
            <w:tcW w:w="1276" w:type="dxa"/>
            <w:shd w:val="clear" w:color="auto" w:fill="auto"/>
            <w:vAlign w:val="center"/>
            <w:hideMark/>
          </w:tcPr>
          <w:p w14:paraId="2D46B119"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Brushing with a dentifrice </w:t>
            </w:r>
            <w:r w:rsidRPr="005C470C">
              <w:rPr>
                <w:rFonts w:ascii="Times New Roman" w:eastAsia="Times New Roman" w:hAnsi="Times New Roman" w:cs="Times New Roman"/>
                <w:color w:val="000000"/>
                <w:sz w:val="20"/>
                <w:szCs w:val="20"/>
                <w:lang w:val="en-US" w:eastAsia="pt-BR"/>
              </w:rPr>
              <w:br/>
              <w:t>containing purported active ingredients</w:t>
            </w:r>
          </w:p>
        </w:tc>
        <w:tc>
          <w:tcPr>
            <w:tcW w:w="1418" w:type="dxa"/>
            <w:shd w:val="clear" w:color="auto" w:fill="auto"/>
            <w:vAlign w:val="center"/>
            <w:hideMark/>
          </w:tcPr>
          <w:p w14:paraId="0C04E134"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Brushing with a regular sodium fluoride dentifrice</w:t>
            </w:r>
          </w:p>
        </w:tc>
        <w:tc>
          <w:tcPr>
            <w:tcW w:w="1275" w:type="dxa"/>
            <w:shd w:val="clear" w:color="auto" w:fill="auto"/>
            <w:vAlign w:val="center"/>
            <w:hideMark/>
          </w:tcPr>
          <w:p w14:paraId="3240488E"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Inhibion overnight plaque</w:t>
            </w:r>
            <w:r w:rsidRPr="005C470C">
              <w:rPr>
                <w:rFonts w:ascii="Times New Roman" w:eastAsia="Times New Roman" w:hAnsi="Times New Roman" w:cs="Times New Roman"/>
                <w:color w:val="000000"/>
                <w:sz w:val="20"/>
                <w:szCs w:val="20"/>
                <w:lang w:eastAsia="pt-BR"/>
              </w:rPr>
              <w:br/>
              <w:t>regrowth</w:t>
            </w:r>
          </w:p>
        </w:tc>
        <w:tc>
          <w:tcPr>
            <w:tcW w:w="1134" w:type="dxa"/>
            <w:shd w:val="clear" w:color="auto" w:fill="auto"/>
            <w:vAlign w:val="center"/>
            <w:hideMark/>
          </w:tcPr>
          <w:p w14:paraId="672C400F"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(n=8) and CCT (n=2)</w:t>
            </w:r>
          </w:p>
        </w:tc>
        <w:tc>
          <w:tcPr>
            <w:tcW w:w="567" w:type="dxa"/>
            <w:shd w:val="clear" w:color="auto" w:fill="auto"/>
            <w:vAlign w:val="center"/>
            <w:hideMark/>
          </w:tcPr>
          <w:p w14:paraId="27A25C70"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AC0F820" w14:textId="6E11F745" w:rsidR="006226A8" w:rsidRPr="005C470C" w:rsidRDefault="00D121CD"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B</w:t>
            </w:r>
            <w:r w:rsidR="006226A8" w:rsidRPr="005C470C">
              <w:rPr>
                <w:rFonts w:ascii="Times New Roman" w:eastAsia="Times New Roman" w:hAnsi="Times New Roman" w:cs="Times New Roman"/>
                <w:color w:val="000000"/>
                <w:sz w:val="20"/>
                <w:szCs w:val="20"/>
                <w:lang w:val="en-US" w:eastAsia="pt-BR"/>
              </w:rPr>
              <w:t>rushing with an active-ingredient dentifrice with stannous fluoride or triclosan does provide an added clinically relevant effect concerning plaque inhibition capabilities that surpass the effect of a regular sodium fluoride dentifrice</w:t>
            </w:r>
            <w:r w:rsidRPr="005C470C">
              <w:rPr>
                <w:rFonts w:ascii="Times New Roman" w:eastAsia="Times New Roman" w:hAnsi="Times New Roman" w:cs="Times New Roman"/>
                <w:color w:val="000000"/>
                <w:sz w:val="20"/>
                <w:szCs w:val="20"/>
                <w:lang w:val="en-US" w:eastAsia="pt-BR"/>
              </w:rPr>
              <w:t xml:space="preserve"> (moderate-quality evidence)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7FBA961"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r w:rsidR="002914BB" w:rsidRPr="005C470C" w14:paraId="7A38B38A" w14:textId="77777777" w:rsidTr="00114AF5">
        <w:trPr>
          <w:trHeight w:val="20"/>
        </w:trPr>
        <w:tc>
          <w:tcPr>
            <w:tcW w:w="1135" w:type="dxa"/>
            <w:shd w:val="clear" w:color="auto" w:fill="auto"/>
            <w:vAlign w:val="center"/>
            <w:hideMark/>
          </w:tcPr>
          <w:p w14:paraId="50B3E1F5" w14:textId="77777777" w:rsidR="006226A8" w:rsidRDefault="006226A8" w:rsidP="006226A8">
            <w:pP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Van Swaaij et al, 2020</w:t>
            </w:r>
            <w:r w:rsidR="0008652B" w:rsidRPr="005C470C">
              <w:rPr>
                <w:rFonts w:ascii="Times New Roman" w:eastAsia="Times New Roman" w:hAnsi="Times New Roman" w:cs="Times New Roman"/>
                <w:sz w:val="20"/>
                <w:szCs w:val="20"/>
                <w:lang w:val="en-US" w:eastAsia="pt-BR"/>
              </w:rPr>
              <w:fldChar w:fldCharType="begin"/>
            </w:r>
            <w:r w:rsidR="0008652B" w:rsidRPr="005C470C">
              <w:rPr>
                <w:rFonts w:ascii="Times New Roman" w:eastAsia="Times New Roman" w:hAnsi="Times New Roman" w:cs="Times New Roman"/>
                <w:sz w:val="20"/>
                <w:szCs w:val="20"/>
                <w:lang w:val="en-US" w:eastAsia="pt-BR"/>
              </w:rPr>
              <w:instrText xml:space="preserve"> ADDIN EN.CITE &lt;EndNote&gt;&lt;Cite&gt;&lt;Author&gt;Van Swaaij&lt;/Author&gt;&lt;Year&gt;2020&lt;/Year&gt;&lt;RecNum&gt;21046&lt;/RecNum&gt;&lt;DisplayText&gt;&lt;style face="superscript"&gt;103&lt;/style&gt;&lt;/DisplayText&gt;&lt;record&gt;&lt;rec-number&gt;21046&lt;/rec-number&gt;&lt;foreign-keys&gt;&lt;key app="EN" db-id="f5fv5a2shx52dqesxzmpffeqzt5ffxae2vev" timestamp="1607902626"&gt;21046&lt;/key&gt;&lt;/foreign-keys&gt;&lt;ref-type name="Journal Article"&gt;17&lt;/ref-type&gt;&lt;contributors&gt;&lt;authors&gt;&lt;author&gt;Van Swaaij, Bregje WM&lt;/author&gt;&lt;author&gt;Van der Weijden, GA&lt;/author&gt;&lt;author&gt;Bakker, Eric WP&lt;/author&gt;&lt;author&gt;Graziani, Filippo&lt;/author&gt;&lt;author&gt;Slot, Dagmar E&lt;/author&gt;&lt;/authors&gt;&lt;/contributors&gt;&lt;titles&gt;&lt;title&gt;Does chlorhexidine mouthwash, with an anti‐discoloration system, reduce tooth surface discoloration without losing its efficacy? A systematic review and meta‐analysis&lt;/title&gt;&lt;secondary-title&gt;International journal of dental hygiene&lt;/secondary-title&gt;&lt;/titles&gt;&lt;periodical&gt;&lt;full-title&gt;International journal of dental hygiene&lt;/full-title&gt;&lt;/periodical&gt;&lt;pages&gt;27-43&lt;/pages&gt;&lt;volume&gt;18&lt;/volume&gt;&lt;number&gt;1&lt;/number&gt;&lt;dates&gt;&lt;year&gt;2020&lt;/year&gt;&lt;/dates&gt;&lt;isbn&gt;1601-5029&lt;/isbn&gt;&lt;urls&gt;&lt;/urls&gt;&lt;/record&gt;&lt;/Cite&gt;&lt;/EndNote&gt;</w:instrText>
            </w:r>
            <w:r w:rsidR="0008652B" w:rsidRPr="005C470C">
              <w:rPr>
                <w:rFonts w:ascii="Times New Roman" w:eastAsia="Times New Roman" w:hAnsi="Times New Roman" w:cs="Times New Roman"/>
                <w:sz w:val="20"/>
                <w:szCs w:val="20"/>
                <w:lang w:val="en-US" w:eastAsia="pt-BR"/>
              </w:rPr>
              <w:fldChar w:fldCharType="separate"/>
            </w:r>
            <w:r w:rsidR="0008652B" w:rsidRPr="005C470C">
              <w:rPr>
                <w:rFonts w:ascii="Times New Roman" w:eastAsia="Times New Roman" w:hAnsi="Times New Roman" w:cs="Times New Roman"/>
                <w:noProof/>
                <w:sz w:val="20"/>
                <w:szCs w:val="20"/>
                <w:vertAlign w:val="superscript"/>
                <w:lang w:val="en-US" w:eastAsia="pt-BR"/>
              </w:rPr>
              <w:t>103</w:t>
            </w:r>
            <w:r w:rsidR="0008652B" w:rsidRPr="005C470C">
              <w:rPr>
                <w:rFonts w:ascii="Times New Roman" w:eastAsia="Times New Roman" w:hAnsi="Times New Roman" w:cs="Times New Roman"/>
                <w:sz w:val="20"/>
                <w:szCs w:val="20"/>
                <w:lang w:val="en-US" w:eastAsia="pt-BR"/>
              </w:rPr>
              <w:fldChar w:fldCharType="end"/>
            </w:r>
          </w:p>
          <w:p w14:paraId="226F4FC3" w14:textId="46A15207" w:rsidR="00C53143" w:rsidRPr="005C470C" w:rsidRDefault="00C53143" w:rsidP="006226A8">
            <w:pPr>
              <w:rPr>
                <w:rFonts w:ascii="Times New Roman" w:eastAsia="Times New Roman" w:hAnsi="Times New Roman" w:cs="Times New Roman"/>
                <w:sz w:val="20"/>
                <w:szCs w:val="20"/>
                <w:lang w:val="en-US" w:eastAsia="pt-BR"/>
              </w:rPr>
            </w:pPr>
            <w:r>
              <w:rPr>
                <w:rFonts w:ascii="Times New Roman" w:eastAsia="Times New Roman" w:hAnsi="Times New Roman" w:cs="Times New Roman"/>
                <w:sz w:val="20"/>
                <w:szCs w:val="20"/>
                <w:lang w:val="en-US" w:eastAsia="pt-BR"/>
              </w:rPr>
              <w:t>(</w:t>
            </w:r>
            <w:r w:rsidRPr="00EF5009">
              <w:rPr>
                <w:rFonts w:ascii="Times New Roman" w:eastAsia="Times New Roman" w:hAnsi="Times New Roman" w:cs="Times New Roman"/>
                <w:sz w:val="20"/>
                <w:szCs w:val="20"/>
                <w:lang w:val="en-US" w:eastAsia="pt-BR"/>
              </w:rPr>
              <w:t>The Netherlands)</w:t>
            </w:r>
          </w:p>
        </w:tc>
        <w:tc>
          <w:tcPr>
            <w:tcW w:w="992" w:type="dxa"/>
            <w:shd w:val="clear" w:color="auto" w:fill="auto"/>
            <w:vAlign w:val="center"/>
            <w:hideMark/>
          </w:tcPr>
          <w:p w14:paraId="7C6878F7" w14:textId="77777777" w:rsidR="00C53143" w:rsidRPr="00EF5009" w:rsidRDefault="00C53143" w:rsidP="00C53143">
            <w:pPr>
              <w:jc w:val="center"/>
              <w:rPr>
                <w:rFonts w:ascii="Times New Roman" w:eastAsia="Times New Roman" w:hAnsi="Times New Roman" w:cs="Times New Roman"/>
                <w:sz w:val="20"/>
                <w:szCs w:val="20"/>
                <w:lang w:val="en-US" w:eastAsia="pt-BR"/>
              </w:rPr>
            </w:pPr>
            <w:r w:rsidRPr="00EF5009">
              <w:rPr>
                <w:rFonts w:ascii="Times New Roman" w:eastAsia="Times New Roman" w:hAnsi="Times New Roman" w:cs="Times New Roman"/>
                <w:sz w:val="20"/>
                <w:szCs w:val="20"/>
                <w:lang w:val="en-US" w:eastAsia="pt-BR"/>
              </w:rPr>
              <w:t>International journal of dental hygiene</w:t>
            </w:r>
          </w:p>
          <w:p w14:paraId="2353B054" w14:textId="4EF5A260" w:rsidR="006226A8" w:rsidRPr="00EF5009" w:rsidRDefault="00C53143" w:rsidP="00C53143">
            <w:pPr>
              <w:jc w:val="center"/>
              <w:rPr>
                <w:rFonts w:ascii="Times New Roman" w:eastAsia="Times New Roman" w:hAnsi="Times New Roman" w:cs="Times New Roman"/>
                <w:sz w:val="20"/>
                <w:szCs w:val="20"/>
                <w:lang w:val="en-US" w:eastAsia="pt-BR"/>
              </w:rPr>
            </w:pPr>
            <w:r w:rsidRPr="00EF5009">
              <w:rPr>
                <w:rFonts w:ascii="Times New Roman" w:eastAsia="Times New Roman" w:hAnsi="Times New Roman" w:cs="Times New Roman"/>
                <w:sz w:val="20"/>
                <w:szCs w:val="20"/>
                <w:lang w:val="en-US" w:eastAsia="pt-BR"/>
              </w:rPr>
              <w:t>(1.229)</w:t>
            </w:r>
          </w:p>
        </w:tc>
        <w:tc>
          <w:tcPr>
            <w:tcW w:w="1418" w:type="dxa"/>
            <w:shd w:val="clear" w:color="auto" w:fill="auto"/>
            <w:vAlign w:val="center"/>
            <w:hideMark/>
          </w:tcPr>
          <w:p w14:paraId="5CA03ABD"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09FA55A8" w14:textId="059DB335"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investigate whether chlorhexidine mouthwash (CHX‐MW), with an anti‐discoloration system (ADS), is effective in preventing </w:t>
            </w:r>
            <w:r w:rsidRPr="005C470C">
              <w:rPr>
                <w:rFonts w:ascii="Times New Roman" w:eastAsia="Times New Roman" w:hAnsi="Times New Roman" w:cs="Times New Roman"/>
                <w:sz w:val="20"/>
                <w:szCs w:val="20"/>
                <w:lang w:val="en-US" w:eastAsia="pt-BR"/>
              </w:rPr>
              <w:lastRenderedPageBreak/>
              <w:t>extrinsic tooth surface discoloration</w:t>
            </w:r>
            <w:r w:rsidR="00D121CD" w:rsidRPr="005C470C">
              <w:rPr>
                <w:rFonts w:ascii="Times New Roman" w:eastAsia="Times New Roman" w:hAnsi="Times New Roman" w:cs="Times New Roman"/>
                <w:sz w:val="20"/>
                <w:szCs w:val="20"/>
                <w:lang w:val="en-US" w:eastAsia="pt-BR"/>
              </w:rPr>
              <w:t xml:space="preserve">; and </w:t>
            </w:r>
            <w:r w:rsidRPr="005C470C">
              <w:rPr>
                <w:rFonts w:ascii="Times New Roman" w:eastAsia="Times New Roman" w:hAnsi="Times New Roman" w:cs="Times New Roman"/>
                <w:sz w:val="20"/>
                <w:szCs w:val="20"/>
                <w:lang w:val="en-US" w:eastAsia="pt-BR"/>
              </w:rPr>
              <w:t>to evaluate whether CHX combined with an ADS maintains its efficacy with respect to reducing plaque and gingivitis scores</w:t>
            </w:r>
          </w:p>
        </w:tc>
        <w:tc>
          <w:tcPr>
            <w:tcW w:w="1134" w:type="dxa"/>
            <w:shd w:val="clear" w:color="auto" w:fill="auto"/>
            <w:vAlign w:val="center"/>
            <w:hideMark/>
          </w:tcPr>
          <w:p w14:paraId="63B4BE35"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Adults without systemic disorder</w:t>
            </w:r>
          </w:p>
        </w:tc>
        <w:tc>
          <w:tcPr>
            <w:tcW w:w="1276" w:type="dxa"/>
            <w:shd w:val="clear" w:color="auto" w:fill="auto"/>
            <w:vAlign w:val="center"/>
            <w:hideMark/>
          </w:tcPr>
          <w:p w14:paraId="27F1EF97"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CHX‐MW+ADS</w:t>
            </w:r>
          </w:p>
        </w:tc>
        <w:tc>
          <w:tcPr>
            <w:tcW w:w="1418" w:type="dxa"/>
            <w:shd w:val="clear" w:color="auto" w:fill="auto"/>
            <w:vAlign w:val="center"/>
            <w:hideMark/>
          </w:tcPr>
          <w:p w14:paraId="078142C2"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CHX‐MW</w:t>
            </w:r>
          </w:p>
        </w:tc>
        <w:tc>
          <w:tcPr>
            <w:tcW w:w="1275" w:type="dxa"/>
            <w:shd w:val="clear" w:color="auto" w:fill="auto"/>
            <w:vAlign w:val="center"/>
            <w:hideMark/>
          </w:tcPr>
          <w:p w14:paraId="04EACA39"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Discoloration, plaque, bleeding or gingivitis scores</w:t>
            </w:r>
          </w:p>
        </w:tc>
        <w:tc>
          <w:tcPr>
            <w:tcW w:w="1134" w:type="dxa"/>
            <w:shd w:val="clear" w:color="auto" w:fill="auto"/>
            <w:vAlign w:val="center"/>
            <w:hideMark/>
          </w:tcPr>
          <w:p w14:paraId="3E5C939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RCTs (n=11) and CCT (cohort) (n=2)</w:t>
            </w:r>
          </w:p>
        </w:tc>
        <w:tc>
          <w:tcPr>
            <w:tcW w:w="567" w:type="dxa"/>
            <w:shd w:val="clear" w:color="auto" w:fill="auto"/>
            <w:vAlign w:val="center"/>
            <w:hideMark/>
          </w:tcPr>
          <w:p w14:paraId="0097127A"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3EAC8725" w14:textId="42480BC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There is moderate quality evidence from non‐brushing studies that the addition of an ADS to CHX‐MW reduces tooth surface discoloration and does not appear to affect its properties with respect to </w:t>
            </w:r>
            <w:r w:rsidRPr="005C470C">
              <w:rPr>
                <w:rFonts w:ascii="Times New Roman" w:eastAsia="Times New Roman" w:hAnsi="Times New Roman" w:cs="Times New Roman"/>
                <w:color w:val="000000"/>
                <w:sz w:val="20"/>
                <w:szCs w:val="20"/>
                <w:lang w:val="en-US" w:eastAsia="pt-BR"/>
              </w:rPr>
              <w:lastRenderedPageBreak/>
              <w:t>gingival inflammation and plaque scores. In brushing studies, there is also moderate quality evidence that ADS do not affect the anti‐plaque and anti‐gingivitis efficacy of CHX</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7BC97274"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N</w:t>
            </w:r>
          </w:p>
        </w:tc>
      </w:tr>
      <w:tr w:rsidR="002914BB" w:rsidRPr="00114AF5" w14:paraId="2E85B6DD" w14:textId="77777777" w:rsidTr="00114AF5">
        <w:trPr>
          <w:trHeight w:val="20"/>
        </w:trPr>
        <w:tc>
          <w:tcPr>
            <w:tcW w:w="1135" w:type="dxa"/>
            <w:shd w:val="clear" w:color="auto" w:fill="auto"/>
            <w:vAlign w:val="center"/>
            <w:hideMark/>
          </w:tcPr>
          <w:p w14:paraId="0CFFB0BE"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Yan et al,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&lt;EndNote&gt;&lt;Cite&gt;&lt;Author&gt;Yan&lt;/Author&gt;&lt;Year&gt;2019&lt;/Year&gt;&lt;RecNum&gt;21051&lt;/RecNum&gt;&lt;DisplayText&gt;&lt;style face="superscript"&gt;104&lt;/style&gt;&lt;/DisplayText&gt;&lt;record&gt;&lt;rec-number&gt;21051&lt;/rec-number&gt;&lt;foreign-keys&gt;&lt;key app="EN" db-id="f5fv5a2shx52dqesxzmpffeqzt5ffxae2vev" timestamp="1607902626"&gt;21051&lt;/key&gt;&lt;/foreign-keys&gt;&lt;ref-type name="Journal Article"&gt;17&lt;/ref-type&gt;&lt;contributors&gt;&lt;authors&gt;&lt;author&gt;Yan, Qi&lt;/author&gt;&lt;author&gt;Wu, Xinyu&lt;/author&gt;&lt;author&gt;Su, Meiying&lt;/author&gt;&lt;author&gt;Hua, Fang&lt;/author&gt;&lt;author&gt;Shi, Bin&lt;/author&gt;&lt;/authors&gt;&lt;/contributors&gt;&lt;titles&gt;&lt;title&gt;Short implants (≤ 6 mm) versus longer implants with sinus floor elevation in atrophic posterior maxilla: a systematic review and meta-analysis&lt;/title&gt;&lt;secondary-title&gt;BMJ open&lt;/secondary-title&gt;&lt;/titles&gt;&lt;periodical&gt;&lt;full-title&gt;BMJ open&lt;/full-title&gt;&lt;/periodical&gt;&lt;volume&gt;9&lt;/volume&gt;&lt;number&gt;10&lt;/number&gt;&lt;dates&gt;&lt;year&gt;2019&lt;/year&gt;&lt;/dates&gt;&lt;isbn&gt;2044-6055&lt;/isbn&gt;&lt;urls&gt;&lt;/urls&gt;&lt;/record&gt;&lt;/Cite&gt;&lt;/EndNote&gt;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104</w:t>
            </w:r>
            <w:r w:rsidR="0008652B" w:rsidRPr="005C470C">
              <w:rPr>
                <w:rFonts w:ascii="Times New Roman" w:eastAsia="Times New Roman" w:hAnsi="Times New Roman" w:cs="Times New Roman"/>
                <w:sz w:val="20"/>
                <w:szCs w:val="20"/>
                <w:lang w:eastAsia="pt-BR"/>
              </w:rPr>
              <w:fldChar w:fldCharType="end"/>
            </w:r>
          </w:p>
          <w:p w14:paraId="6C4CA872" w14:textId="6B592BA0"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China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090B42C8"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BMJ open</w:t>
            </w:r>
          </w:p>
          <w:p w14:paraId="53E70C3B" w14:textId="5E582480"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(2.496)</w:t>
            </w:r>
          </w:p>
        </w:tc>
        <w:tc>
          <w:tcPr>
            <w:tcW w:w="1418" w:type="dxa"/>
            <w:shd w:val="clear" w:color="auto" w:fill="auto"/>
            <w:vAlign w:val="center"/>
            <w:hideMark/>
          </w:tcPr>
          <w:p w14:paraId="61CD2626"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Prosthodontics</w:t>
            </w:r>
          </w:p>
        </w:tc>
        <w:tc>
          <w:tcPr>
            <w:tcW w:w="1275" w:type="dxa"/>
            <w:shd w:val="clear" w:color="auto" w:fill="auto"/>
            <w:vAlign w:val="center"/>
            <w:hideMark/>
          </w:tcPr>
          <w:p w14:paraId="163D5D2B" w14:textId="77777777" w:rsidR="006226A8" w:rsidRPr="005C470C" w:rsidRDefault="006226A8" w:rsidP="006226A8">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To compare the use of short implants (≤6mm) in atrophic posterior maxilla versus longer implants (≥10mm) with sinus floor elevation.</w:t>
            </w:r>
          </w:p>
        </w:tc>
        <w:tc>
          <w:tcPr>
            <w:tcW w:w="1134" w:type="dxa"/>
            <w:shd w:val="clear" w:color="auto" w:fill="auto"/>
            <w:vAlign w:val="center"/>
            <w:hideMark/>
          </w:tcPr>
          <w:p w14:paraId="4B2BFA89" w14:textId="5EE45D2C"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Partially edentulous patients in the premolar and molar regions of the maxilla, for whom the residual bone height in the atrophic posterior maxilla was sufficient for the insertion of a short implant but insufficient </w:t>
            </w:r>
            <w:r w:rsidRPr="005C470C">
              <w:rPr>
                <w:rFonts w:ascii="Times New Roman" w:eastAsia="Times New Roman" w:hAnsi="Times New Roman" w:cs="Times New Roman"/>
                <w:color w:val="000000"/>
                <w:sz w:val="20"/>
                <w:szCs w:val="20"/>
                <w:lang w:val="en-US" w:eastAsia="pt-BR"/>
              </w:rPr>
              <w:lastRenderedPageBreak/>
              <w:t>for the insertion of longer implants</w:t>
            </w:r>
          </w:p>
        </w:tc>
        <w:tc>
          <w:tcPr>
            <w:tcW w:w="1276" w:type="dxa"/>
            <w:shd w:val="clear" w:color="auto" w:fill="auto"/>
            <w:vAlign w:val="center"/>
            <w:hideMark/>
          </w:tcPr>
          <w:p w14:paraId="71373148" w14:textId="54AD17A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One or more short implants were placed in the posterior maxilla without sinus floor elevation in the short implant group</w:t>
            </w:r>
          </w:p>
        </w:tc>
        <w:tc>
          <w:tcPr>
            <w:tcW w:w="1418" w:type="dxa"/>
            <w:shd w:val="clear" w:color="auto" w:fill="auto"/>
            <w:vAlign w:val="center"/>
            <w:hideMark/>
          </w:tcPr>
          <w:p w14:paraId="6D6A9D5A" w14:textId="2ACCF0D0"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One or more longer implants were placed in the posterior maxilla after sinus floor elevation by any technique in the elevation group</w:t>
            </w:r>
          </w:p>
        </w:tc>
        <w:tc>
          <w:tcPr>
            <w:tcW w:w="1275" w:type="dxa"/>
            <w:shd w:val="clear" w:color="auto" w:fill="auto"/>
            <w:vAlign w:val="center"/>
            <w:hideMark/>
          </w:tcPr>
          <w:p w14:paraId="2E236BD3" w14:textId="722A4774" w:rsidR="006226A8" w:rsidRPr="005C470C" w:rsidRDefault="00D121CD"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w:t>
            </w:r>
            <w:r w:rsidR="006226A8" w:rsidRPr="005C470C">
              <w:rPr>
                <w:rFonts w:ascii="Times New Roman" w:eastAsia="Times New Roman" w:hAnsi="Times New Roman" w:cs="Times New Roman"/>
                <w:color w:val="000000"/>
                <w:sz w:val="20"/>
                <w:szCs w:val="20"/>
                <w:lang w:val="en-US" w:eastAsia="pt-BR"/>
              </w:rPr>
              <w:t>urvival rate</w:t>
            </w:r>
            <w:r w:rsidRPr="005C470C">
              <w:rPr>
                <w:rFonts w:ascii="Times New Roman" w:eastAsia="Times New Roman" w:hAnsi="Times New Roman" w:cs="Times New Roman"/>
                <w:color w:val="000000"/>
                <w:sz w:val="20"/>
                <w:szCs w:val="20"/>
                <w:lang w:val="en-US" w:eastAsia="pt-BR"/>
              </w:rPr>
              <w:t>; marginal bone loss (</w:t>
            </w:r>
            <w:r w:rsidR="006226A8" w:rsidRPr="005C470C">
              <w:rPr>
                <w:rFonts w:ascii="Times New Roman" w:eastAsia="Times New Roman" w:hAnsi="Times New Roman" w:cs="Times New Roman"/>
                <w:color w:val="000000"/>
                <w:sz w:val="20"/>
                <w:szCs w:val="20"/>
                <w:lang w:val="en-US" w:eastAsia="pt-BR"/>
              </w:rPr>
              <w:t>MBL</w:t>
            </w:r>
            <w:r w:rsidRPr="005C470C">
              <w:rPr>
                <w:rFonts w:ascii="Times New Roman" w:eastAsia="Times New Roman" w:hAnsi="Times New Roman" w:cs="Times New Roman"/>
                <w:color w:val="000000"/>
                <w:sz w:val="20"/>
                <w:szCs w:val="20"/>
                <w:lang w:val="en-US" w:eastAsia="pt-BR"/>
              </w:rPr>
              <w:t>)</w:t>
            </w:r>
            <w:r w:rsidR="006226A8" w:rsidRPr="005C470C">
              <w:rPr>
                <w:rFonts w:ascii="Times New Roman" w:eastAsia="Times New Roman" w:hAnsi="Times New Roman" w:cs="Times New Roman"/>
                <w:color w:val="000000"/>
                <w:sz w:val="20"/>
                <w:szCs w:val="20"/>
                <w:lang w:val="en-US" w:eastAsia="pt-BR"/>
              </w:rPr>
              <w:t>, complications and patient satisfaction, with a follow-up length of 1y or longer postloading</w:t>
            </w:r>
          </w:p>
        </w:tc>
        <w:tc>
          <w:tcPr>
            <w:tcW w:w="1134" w:type="dxa"/>
            <w:shd w:val="clear" w:color="auto" w:fill="auto"/>
            <w:vAlign w:val="center"/>
            <w:hideMark/>
          </w:tcPr>
          <w:p w14:paraId="1FEC474F"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(n=7)</w:t>
            </w:r>
          </w:p>
        </w:tc>
        <w:tc>
          <w:tcPr>
            <w:tcW w:w="567" w:type="dxa"/>
            <w:shd w:val="clear" w:color="auto" w:fill="auto"/>
            <w:vAlign w:val="center"/>
            <w:hideMark/>
          </w:tcPr>
          <w:p w14:paraId="46786A61"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495EC6C" w14:textId="60F79DFD"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Within its limitations, </w:t>
            </w:r>
            <w:r w:rsidR="00D121CD" w:rsidRPr="005C470C">
              <w:rPr>
                <w:rFonts w:ascii="Times New Roman" w:eastAsia="Times New Roman" w:hAnsi="Times New Roman" w:cs="Times New Roman"/>
                <w:color w:val="000000"/>
                <w:sz w:val="20"/>
                <w:szCs w:val="20"/>
                <w:lang w:val="en-US" w:eastAsia="pt-BR"/>
              </w:rPr>
              <w:t>it is</w:t>
            </w:r>
            <w:r w:rsidRPr="005C470C">
              <w:rPr>
                <w:rFonts w:ascii="Times New Roman" w:eastAsia="Times New Roman" w:hAnsi="Times New Roman" w:cs="Times New Roman"/>
                <w:color w:val="000000"/>
                <w:sz w:val="20"/>
                <w:szCs w:val="20"/>
                <w:lang w:val="en-US" w:eastAsia="pt-BR"/>
              </w:rPr>
              <w:t xml:space="preserve"> suggest</w:t>
            </w:r>
            <w:r w:rsidR="00D121CD" w:rsidRPr="005C470C">
              <w:rPr>
                <w:rFonts w:ascii="Times New Roman" w:eastAsia="Times New Roman" w:hAnsi="Times New Roman" w:cs="Times New Roman"/>
                <w:color w:val="000000"/>
                <w:sz w:val="20"/>
                <w:szCs w:val="20"/>
                <w:lang w:val="en-US" w:eastAsia="pt-BR"/>
              </w:rPr>
              <w:t>ed</w:t>
            </w:r>
            <w:r w:rsidRPr="005C470C">
              <w:rPr>
                <w:rFonts w:ascii="Times New Roman" w:eastAsia="Times New Roman" w:hAnsi="Times New Roman" w:cs="Times New Roman"/>
                <w:color w:val="000000"/>
                <w:sz w:val="20"/>
                <w:szCs w:val="20"/>
                <w:lang w:val="en-US" w:eastAsia="pt-BR"/>
              </w:rPr>
              <w:t xml:space="preserve"> that the survival rate of maxillary short implants was comparable to that of longer implants with sinus floor elevation. However, short implants show significantly less MBL and postsurgery reactions. Short implants are, therefore, the promising alternative to sinus floor elevation for </w:t>
            </w:r>
            <w:r w:rsidRPr="005C470C">
              <w:rPr>
                <w:rFonts w:ascii="Times New Roman" w:eastAsia="Times New Roman" w:hAnsi="Times New Roman" w:cs="Times New Roman"/>
                <w:color w:val="000000"/>
                <w:sz w:val="20"/>
                <w:szCs w:val="20"/>
                <w:lang w:val="en-US" w:eastAsia="pt-BR"/>
              </w:rPr>
              <w:lastRenderedPageBreak/>
              <w:t>posterior maxilla with insufficient bone volume</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569BB543" w14:textId="1BCB3D4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N</w:t>
            </w:r>
            <w:r w:rsidR="00D121CD" w:rsidRPr="005C470C">
              <w:rPr>
                <w:rFonts w:ascii="Times New Roman" w:eastAsia="Times New Roman" w:hAnsi="Times New Roman" w:cs="Times New Roman"/>
                <w:color w:val="000000"/>
                <w:sz w:val="20"/>
                <w:szCs w:val="20"/>
                <w:lang w:val="en-US" w:eastAsia="pt-BR"/>
              </w:rPr>
              <w:t xml:space="preserve"> - Additional high-quality studies are needed to evaluate the long-term effectiveness and safety of short implants</w:t>
            </w:r>
            <w:r w:rsidR="00B0457E">
              <w:rPr>
                <w:rFonts w:ascii="Times New Roman" w:eastAsia="Times New Roman" w:hAnsi="Times New Roman" w:cs="Times New Roman"/>
                <w:color w:val="000000"/>
                <w:sz w:val="20"/>
                <w:szCs w:val="20"/>
                <w:lang w:val="en-US" w:eastAsia="pt-BR"/>
              </w:rPr>
              <w:t>.</w:t>
            </w:r>
          </w:p>
        </w:tc>
      </w:tr>
      <w:tr w:rsidR="002914BB" w:rsidRPr="00114AF5" w14:paraId="2FFE38F7" w14:textId="77777777" w:rsidTr="00114AF5">
        <w:trPr>
          <w:trHeight w:val="3402"/>
        </w:trPr>
        <w:tc>
          <w:tcPr>
            <w:tcW w:w="1135" w:type="dxa"/>
            <w:shd w:val="clear" w:color="auto" w:fill="auto"/>
            <w:vAlign w:val="center"/>
            <w:hideMark/>
          </w:tcPr>
          <w:p w14:paraId="4B08D913" w14:textId="77777777" w:rsidR="006226A8" w:rsidRDefault="006226A8" w:rsidP="006226A8">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Yap and Pulikkotil, 2019</w:t>
            </w:r>
            <w:r w:rsidR="0008652B" w:rsidRPr="005C470C">
              <w:rPr>
                <w:rFonts w:ascii="Times New Roman" w:eastAsia="Times New Roman" w:hAnsi="Times New Roman" w:cs="Times New Roman"/>
                <w:sz w:val="20"/>
                <w:szCs w:val="20"/>
                <w:lang w:eastAsia="pt-BR"/>
              </w:rPr>
              <w:fldChar w:fldCharType="begin"/>
            </w:r>
            <w:r w:rsidR="0008652B" w:rsidRPr="005C470C">
              <w:rPr>
                <w:rFonts w:ascii="Times New Roman" w:eastAsia="Times New Roman" w:hAnsi="Times New Roman" w:cs="Times New Roman"/>
                <w:sz w:val="20"/>
                <w:szCs w:val="20"/>
                <w:lang w:eastAsia="pt-BR"/>
              </w:rPr>
              <w:instrText xml:space="preserve"> ADDIN EN.CITE &lt;EndNote&gt;&lt;Cite&gt;&lt;Author&gt;Yap&lt;/Author&gt;&lt;Year&gt;2019&lt;/Year&gt;&lt;RecNum&gt;21050&lt;/RecNum&gt;&lt;DisplayText&gt;&lt;style face="superscript"&gt;105&lt;/style&gt;&lt;/DisplayText&gt;&lt;record&gt;&lt;rec-number&gt;21050&lt;/rec-number&gt;&lt;foreign-keys&gt;&lt;key app="EN" db-id="f5fv5a2shx52dqesxzmpffeqzt5ffxae2vev" timestamp="1607902626"&gt;21050&lt;/key&gt;&lt;/foreign-keys&gt;&lt;ref-type name="Journal Article"&gt;17&lt;/ref-type&gt;&lt;contributors&gt;&lt;authors&gt;&lt;author&gt;Yap, Kenneth Chou Hung&lt;/author&gt;&lt;author&gt;Pulikkotil, Shaju Jacob&lt;/author&gt;&lt;/authors&gt;&lt;/contributors&gt;&lt;titles&gt;&lt;title&gt;Systemic doxycycline as an adjunct to scaling and root planing in diabetic patients with periodontitis: a systematic review and meta-analysis&lt;/title&gt;&lt;secondary-title&gt;BMC Oral Health&lt;/secondary-title&gt;&lt;/titles&gt;&lt;periodical&gt;&lt;full-title&gt;BMC Oral Health&lt;/full-title&gt;&lt;abbr-1&gt;BMC oral health&lt;/abbr-1&gt;&lt;/periodical&gt;&lt;pages&gt;209&lt;/pages&gt;&lt;volume&gt;19&lt;/volume&gt;&lt;number&gt;1&lt;/number&gt;&lt;dates&gt;&lt;year&gt;2019&lt;/year&gt;&lt;/dates&gt;&lt;isbn&gt;1472-6831&lt;/isbn&gt;&lt;urls&gt;&lt;/urls&gt;&lt;/record&gt;&lt;/Cite&gt;&lt;/EndNote&gt;</w:instrText>
            </w:r>
            <w:r w:rsidR="0008652B" w:rsidRPr="005C470C">
              <w:rPr>
                <w:rFonts w:ascii="Times New Roman" w:eastAsia="Times New Roman" w:hAnsi="Times New Roman" w:cs="Times New Roman"/>
                <w:sz w:val="20"/>
                <w:szCs w:val="20"/>
                <w:lang w:eastAsia="pt-BR"/>
              </w:rPr>
              <w:fldChar w:fldCharType="separate"/>
            </w:r>
            <w:r w:rsidR="0008652B" w:rsidRPr="005C470C">
              <w:rPr>
                <w:rFonts w:ascii="Times New Roman" w:eastAsia="Times New Roman" w:hAnsi="Times New Roman" w:cs="Times New Roman"/>
                <w:noProof/>
                <w:sz w:val="20"/>
                <w:szCs w:val="20"/>
                <w:vertAlign w:val="superscript"/>
                <w:lang w:eastAsia="pt-BR"/>
              </w:rPr>
              <w:t>105</w:t>
            </w:r>
            <w:r w:rsidR="0008652B" w:rsidRPr="005C470C">
              <w:rPr>
                <w:rFonts w:ascii="Times New Roman" w:eastAsia="Times New Roman" w:hAnsi="Times New Roman" w:cs="Times New Roman"/>
                <w:sz w:val="20"/>
                <w:szCs w:val="20"/>
                <w:lang w:eastAsia="pt-BR"/>
              </w:rPr>
              <w:fldChar w:fldCharType="end"/>
            </w:r>
          </w:p>
          <w:p w14:paraId="5AC508DC" w14:textId="75A781D1" w:rsidR="00C53143" w:rsidRPr="005C470C" w:rsidRDefault="00C53143" w:rsidP="006226A8">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Malaysia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00BC502B" w14:textId="77777777" w:rsidR="006226A8"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BMC oral health</w:t>
            </w:r>
          </w:p>
          <w:p w14:paraId="53F1D230" w14:textId="7861CD0B"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(1.911)</w:t>
            </w:r>
          </w:p>
        </w:tc>
        <w:tc>
          <w:tcPr>
            <w:tcW w:w="1418" w:type="dxa"/>
            <w:shd w:val="clear" w:color="auto" w:fill="auto"/>
            <w:vAlign w:val="center"/>
            <w:hideMark/>
          </w:tcPr>
          <w:p w14:paraId="7F195559" w14:textId="77777777" w:rsidR="006226A8" w:rsidRPr="005C470C" w:rsidRDefault="006226A8"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09EC3657"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To compare the effectiveness of systemic doxycycline as an adjunct to scaling and root planing (SRP) with SRP alone in improving periodontal clinical attachment level and glycemic control in diabetic patients with periodontitis</w:t>
            </w:r>
          </w:p>
        </w:tc>
        <w:tc>
          <w:tcPr>
            <w:tcW w:w="1134" w:type="dxa"/>
            <w:shd w:val="clear" w:color="auto" w:fill="auto"/>
            <w:vAlign w:val="center"/>
            <w:hideMark/>
          </w:tcPr>
          <w:p w14:paraId="45ED5696"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Diabetic patients with periodontitis</w:t>
            </w:r>
          </w:p>
        </w:tc>
        <w:tc>
          <w:tcPr>
            <w:tcW w:w="1276" w:type="dxa"/>
            <w:shd w:val="clear" w:color="auto" w:fill="auto"/>
            <w:vAlign w:val="center"/>
            <w:hideMark/>
          </w:tcPr>
          <w:p w14:paraId="3D1F8E10" w14:textId="1965A49F"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Systemic doxycycline as an adjunct to SRP</w:t>
            </w:r>
          </w:p>
        </w:tc>
        <w:tc>
          <w:tcPr>
            <w:tcW w:w="1418" w:type="dxa"/>
            <w:shd w:val="clear" w:color="auto" w:fill="auto"/>
            <w:vAlign w:val="center"/>
            <w:hideMark/>
          </w:tcPr>
          <w:p w14:paraId="7E99BFEB"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SRP alone</w:t>
            </w:r>
          </w:p>
        </w:tc>
        <w:tc>
          <w:tcPr>
            <w:tcW w:w="1275" w:type="dxa"/>
            <w:shd w:val="clear" w:color="auto" w:fill="auto"/>
            <w:vAlign w:val="center"/>
            <w:hideMark/>
          </w:tcPr>
          <w:p w14:paraId="6B649ED8" w14:textId="77777777"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Difference in the effect on the periodontal and glycemic status</w:t>
            </w:r>
          </w:p>
        </w:tc>
        <w:tc>
          <w:tcPr>
            <w:tcW w:w="1134" w:type="dxa"/>
            <w:shd w:val="clear" w:color="auto" w:fill="auto"/>
            <w:vAlign w:val="center"/>
            <w:hideMark/>
          </w:tcPr>
          <w:p w14:paraId="0E2EA3B5" w14:textId="77777777" w:rsidR="006226A8" w:rsidRPr="005C470C" w:rsidRDefault="006226A8" w:rsidP="006226A8">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RCTs (n=6)</w:t>
            </w:r>
          </w:p>
        </w:tc>
        <w:tc>
          <w:tcPr>
            <w:tcW w:w="567" w:type="dxa"/>
            <w:shd w:val="clear" w:color="auto" w:fill="auto"/>
            <w:vAlign w:val="center"/>
            <w:hideMark/>
          </w:tcPr>
          <w:p w14:paraId="2E4B0523" w14:textId="77777777" w:rsidR="006226A8" w:rsidRPr="005C470C" w:rsidRDefault="006226A8" w:rsidP="006226A8">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0F10D3E7" w14:textId="5EFBCAED" w:rsidR="006226A8" w:rsidRPr="005C470C" w:rsidRDefault="00D121CD"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S</w:t>
            </w:r>
            <w:r w:rsidR="006226A8" w:rsidRPr="005C470C">
              <w:rPr>
                <w:rFonts w:ascii="Times New Roman" w:eastAsia="Times New Roman" w:hAnsi="Times New Roman" w:cs="Times New Roman"/>
                <w:color w:val="000000"/>
                <w:sz w:val="20"/>
                <w:szCs w:val="20"/>
                <w:lang w:val="en-US" w:eastAsia="pt-BR"/>
              </w:rPr>
              <w:t xml:space="preserve">ystemic doxycycline as an adjunct to </w:t>
            </w:r>
            <w:r w:rsidR="00434FEC" w:rsidRPr="005C470C">
              <w:rPr>
                <w:rFonts w:ascii="Times New Roman" w:eastAsia="Times New Roman" w:hAnsi="Times New Roman" w:cs="Times New Roman"/>
                <w:color w:val="000000"/>
                <w:sz w:val="20"/>
                <w:szCs w:val="20"/>
                <w:lang w:val="en-US" w:eastAsia="pt-BR"/>
              </w:rPr>
              <w:t>SRP</w:t>
            </w:r>
            <w:r w:rsidR="006226A8" w:rsidRPr="005C470C">
              <w:rPr>
                <w:rFonts w:ascii="Times New Roman" w:eastAsia="Times New Roman" w:hAnsi="Times New Roman" w:cs="Times New Roman"/>
                <w:color w:val="000000"/>
                <w:sz w:val="20"/>
                <w:szCs w:val="20"/>
                <w:lang w:val="en-US" w:eastAsia="pt-BR"/>
              </w:rPr>
              <w:t xml:space="preserve"> does not significantly improve clinical attachment levels for periodontal status as well as reduction of HbA1c levels in treatment of diabetic patients with periodontitis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39E03A3" w14:textId="7CA4CE05" w:rsidR="006226A8" w:rsidRPr="005C470C" w:rsidRDefault="006226A8" w:rsidP="006226A8">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w:t>
            </w:r>
            <w:r w:rsidR="00434FEC" w:rsidRPr="005C470C">
              <w:rPr>
                <w:rFonts w:ascii="Times New Roman" w:eastAsia="Times New Roman" w:hAnsi="Times New Roman" w:cs="Times New Roman"/>
                <w:color w:val="000000"/>
                <w:sz w:val="20"/>
                <w:szCs w:val="20"/>
                <w:lang w:val="en-US" w:eastAsia="pt-BR"/>
              </w:rPr>
              <w:t xml:space="preserve"> - More randomized controlled trials with a larger population and longer follow-up periods are needed</w:t>
            </w:r>
            <w:r w:rsidR="00B0457E">
              <w:rPr>
                <w:rFonts w:ascii="Times New Roman" w:eastAsia="Times New Roman" w:hAnsi="Times New Roman" w:cs="Times New Roman"/>
                <w:color w:val="000000"/>
                <w:sz w:val="20"/>
                <w:szCs w:val="20"/>
                <w:lang w:val="en-US" w:eastAsia="pt-BR"/>
              </w:rPr>
              <w:t>.</w:t>
            </w:r>
          </w:p>
        </w:tc>
      </w:tr>
      <w:tr w:rsidR="00C53143" w:rsidRPr="00114AF5" w14:paraId="51A27214" w14:textId="77777777" w:rsidTr="00114AF5">
        <w:trPr>
          <w:trHeight w:val="20"/>
        </w:trPr>
        <w:tc>
          <w:tcPr>
            <w:tcW w:w="1135" w:type="dxa"/>
            <w:shd w:val="clear" w:color="auto" w:fill="auto"/>
            <w:vAlign w:val="center"/>
            <w:hideMark/>
          </w:tcPr>
          <w:p w14:paraId="45E987CF" w14:textId="77777777" w:rsidR="00C53143" w:rsidRDefault="00C53143" w:rsidP="00C53143">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Zhang et al, 2020</w:t>
            </w:r>
            <w:r w:rsidRPr="005C470C">
              <w:rPr>
                <w:rFonts w:ascii="Times New Roman" w:eastAsia="Times New Roman" w:hAnsi="Times New Roman" w:cs="Times New Roman"/>
                <w:sz w:val="20"/>
                <w:szCs w:val="20"/>
                <w:lang w:eastAsia="pt-BR"/>
              </w:rPr>
              <w:fldChar w:fldCharType="begin"/>
            </w:r>
            <w:r w:rsidRPr="005C470C">
              <w:rPr>
                <w:rFonts w:ascii="Times New Roman" w:eastAsia="Times New Roman" w:hAnsi="Times New Roman" w:cs="Times New Roman"/>
                <w:sz w:val="20"/>
                <w:szCs w:val="20"/>
                <w:lang w:eastAsia="pt-BR"/>
              </w:rPr>
              <w:instrText xml:space="preserve"> ADDIN EN.CITE &lt;EndNote&gt;&lt;Cite&gt;&lt;Author&gt;Zhang&lt;/Author&gt;&lt;Year&gt;2020&lt;/Year&gt;&lt;RecNum&gt;21045&lt;/RecNum&gt;&lt;DisplayText&gt;&lt;style face="superscript"&gt;106&lt;/style&gt;&lt;/DisplayText&gt;&lt;record&gt;&lt;rec-number&gt;21045&lt;/rec-number&gt;&lt;foreign-keys&gt;&lt;key app="EN" db-id="f5fv5a2shx52dqesxzmpffeqzt5ffxae2vev" timestamp="1607902626"&gt;21045&lt;/key&gt;&lt;/foreign-keys&gt;&lt;ref-type name="Journal Article"&gt;17&lt;/ref-type&gt;&lt;contributors&gt;&lt;authors&gt;&lt;author&gt;Zhang, Xin&lt;/author&gt;&lt;author&gt;Hu, Zixuan&lt;/author&gt;&lt;author&gt;Zhu, Xuesong&lt;/author&gt;&lt;author&gt;Li, Wenjie&lt;/author&gt;&lt;author&gt;Chen, Jun&lt;/author&gt;&lt;/authors&gt;&lt;/contributors&gt;&lt;titles&gt;&lt;title&gt;Treating periodontitis-A systematic review and meta-analysis comparing ultrasonic and manual subgingival scaling at different probing pocket depths&lt;/title&gt;&lt;/titles&gt;&lt;dates&gt;&lt;year&gt;2020&lt;/year&gt;&lt;/dates&gt;&lt;urls&gt;&lt;/urls&gt;&lt;/record&gt;&lt;/Cite&gt;&lt;/EndNote&gt;</w:instrText>
            </w:r>
            <w:r w:rsidRPr="005C470C">
              <w:rPr>
                <w:rFonts w:ascii="Times New Roman" w:eastAsia="Times New Roman" w:hAnsi="Times New Roman" w:cs="Times New Roman"/>
                <w:sz w:val="20"/>
                <w:szCs w:val="20"/>
                <w:lang w:eastAsia="pt-BR"/>
              </w:rPr>
              <w:fldChar w:fldCharType="separate"/>
            </w:r>
            <w:r w:rsidRPr="005C470C">
              <w:rPr>
                <w:rFonts w:ascii="Times New Roman" w:eastAsia="Times New Roman" w:hAnsi="Times New Roman" w:cs="Times New Roman"/>
                <w:noProof/>
                <w:sz w:val="20"/>
                <w:szCs w:val="20"/>
                <w:vertAlign w:val="superscript"/>
                <w:lang w:eastAsia="pt-BR"/>
              </w:rPr>
              <w:t>106</w:t>
            </w:r>
            <w:r w:rsidRPr="005C470C">
              <w:rPr>
                <w:rFonts w:ascii="Times New Roman" w:eastAsia="Times New Roman" w:hAnsi="Times New Roman" w:cs="Times New Roman"/>
                <w:sz w:val="20"/>
                <w:szCs w:val="20"/>
                <w:lang w:eastAsia="pt-BR"/>
              </w:rPr>
              <w:fldChar w:fldCharType="end"/>
            </w:r>
          </w:p>
          <w:p w14:paraId="46DC30C6" w14:textId="1059F315" w:rsidR="00C53143" w:rsidRPr="005C470C" w:rsidRDefault="00C53143" w:rsidP="00C53143">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w:t>
            </w:r>
            <w:r w:rsidRPr="005C470C">
              <w:rPr>
                <w:rFonts w:ascii="Times New Roman" w:eastAsia="Times New Roman" w:hAnsi="Times New Roman" w:cs="Times New Roman"/>
                <w:sz w:val="20"/>
                <w:szCs w:val="20"/>
                <w:lang w:eastAsia="pt-BR"/>
              </w:rPr>
              <w:t>China</w:t>
            </w:r>
            <w:r>
              <w:rPr>
                <w:rFonts w:ascii="Times New Roman" w:eastAsia="Times New Roman" w:hAnsi="Times New Roman" w:cs="Times New Roman"/>
                <w:sz w:val="20"/>
                <w:szCs w:val="20"/>
                <w:lang w:eastAsia="pt-BR"/>
              </w:rPr>
              <w:t>)</w:t>
            </w:r>
          </w:p>
        </w:tc>
        <w:tc>
          <w:tcPr>
            <w:tcW w:w="992" w:type="dxa"/>
            <w:shd w:val="clear" w:color="auto" w:fill="auto"/>
            <w:vAlign w:val="center"/>
            <w:hideMark/>
          </w:tcPr>
          <w:p w14:paraId="4C96EC91" w14:textId="7777777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BMC oral health</w:t>
            </w:r>
          </w:p>
          <w:p w14:paraId="0847FBFE" w14:textId="54FE5FB9" w:rsidR="00C53143" w:rsidRPr="005C470C" w:rsidRDefault="00C53143" w:rsidP="00C53143">
            <w:pP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(1.911)</w:t>
            </w:r>
          </w:p>
        </w:tc>
        <w:tc>
          <w:tcPr>
            <w:tcW w:w="1418" w:type="dxa"/>
            <w:shd w:val="clear" w:color="auto" w:fill="auto"/>
            <w:vAlign w:val="center"/>
            <w:hideMark/>
          </w:tcPr>
          <w:p w14:paraId="4C9AED81" w14:textId="77777777" w:rsidR="00C53143" w:rsidRPr="005C470C" w:rsidRDefault="00C53143"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6E964A79" w14:textId="77777777" w:rsidR="00C53143" w:rsidRPr="005C470C" w:rsidRDefault="00C53143" w:rsidP="00C53143">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compare the effectiveness of ultrasonic and manual subgingival scaling at different initial probing pocket depths (PPD) in </w:t>
            </w:r>
            <w:r w:rsidRPr="005C470C">
              <w:rPr>
                <w:rFonts w:ascii="Times New Roman" w:eastAsia="Times New Roman" w:hAnsi="Times New Roman" w:cs="Times New Roman"/>
                <w:sz w:val="20"/>
                <w:szCs w:val="20"/>
                <w:lang w:val="en-US" w:eastAsia="pt-BR"/>
              </w:rPr>
              <w:lastRenderedPageBreak/>
              <w:t>periodontal treatment</w:t>
            </w:r>
          </w:p>
        </w:tc>
        <w:tc>
          <w:tcPr>
            <w:tcW w:w="1134" w:type="dxa"/>
            <w:shd w:val="clear" w:color="auto" w:fill="auto"/>
            <w:vAlign w:val="center"/>
            <w:hideMark/>
          </w:tcPr>
          <w:p w14:paraId="16B3F148" w14:textId="11794ED9" w:rsidR="00C53143" w:rsidRPr="005C470C" w:rsidRDefault="00C53143" w:rsidP="00C53143">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 xml:space="preserve">Adults (age ≥18y) diagnosed with periodontitis unaccompanied by any other oral or systemic disease and </w:t>
            </w:r>
            <w:r w:rsidRPr="005C470C">
              <w:rPr>
                <w:rFonts w:ascii="Times New Roman" w:eastAsia="Times New Roman" w:hAnsi="Times New Roman" w:cs="Times New Roman"/>
                <w:color w:val="000000"/>
                <w:sz w:val="20"/>
                <w:szCs w:val="20"/>
                <w:lang w:val="en-US" w:eastAsia="pt-BR"/>
              </w:rPr>
              <w:lastRenderedPageBreak/>
              <w:t>not taking antibiotics</w:t>
            </w:r>
          </w:p>
        </w:tc>
        <w:tc>
          <w:tcPr>
            <w:tcW w:w="1276" w:type="dxa"/>
            <w:shd w:val="clear" w:color="auto" w:fill="auto"/>
            <w:vAlign w:val="center"/>
            <w:hideMark/>
          </w:tcPr>
          <w:p w14:paraId="103C0B3C" w14:textId="2A0BF9FA" w:rsidR="00C53143" w:rsidRPr="005C470C" w:rsidRDefault="00C53143" w:rsidP="00C53143">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Ultrasonic subgingival scaling</w:t>
            </w:r>
          </w:p>
        </w:tc>
        <w:tc>
          <w:tcPr>
            <w:tcW w:w="1418" w:type="dxa"/>
            <w:shd w:val="clear" w:color="auto" w:fill="auto"/>
            <w:vAlign w:val="center"/>
            <w:hideMark/>
          </w:tcPr>
          <w:p w14:paraId="6A87B97D" w14:textId="43F20D49" w:rsidR="00C53143" w:rsidRPr="005C470C" w:rsidRDefault="00C53143" w:rsidP="00C53143">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Manual subgingival scaling</w:t>
            </w:r>
          </w:p>
        </w:tc>
        <w:tc>
          <w:tcPr>
            <w:tcW w:w="1275" w:type="dxa"/>
            <w:shd w:val="clear" w:color="auto" w:fill="auto"/>
            <w:vAlign w:val="center"/>
            <w:hideMark/>
          </w:tcPr>
          <w:p w14:paraId="73E3CF31" w14:textId="7CCFA335" w:rsidR="00C53143" w:rsidRPr="005C470C" w:rsidRDefault="00C53143" w:rsidP="00C53143">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PPD and clinical attachment loss (CAL); Bleeding on probing (BOP), gingival recession (GR), and post-scaling residual </w:t>
            </w:r>
            <w:r w:rsidRPr="005C470C">
              <w:rPr>
                <w:rFonts w:ascii="Times New Roman" w:eastAsia="Times New Roman" w:hAnsi="Times New Roman" w:cs="Times New Roman"/>
                <w:color w:val="000000"/>
                <w:sz w:val="20"/>
                <w:szCs w:val="20"/>
                <w:lang w:val="en-US" w:eastAsia="pt-BR"/>
              </w:rPr>
              <w:lastRenderedPageBreak/>
              <w:t xml:space="preserve">dental calculus </w:t>
            </w:r>
          </w:p>
        </w:tc>
        <w:tc>
          <w:tcPr>
            <w:tcW w:w="1134" w:type="dxa"/>
            <w:shd w:val="clear" w:color="auto" w:fill="auto"/>
            <w:vAlign w:val="center"/>
            <w:hideMark/>
          </w:tcPr>
          <w:p w14:paraId="05908264" w14:textId="77777777" w:rsidR="00C53143" w:rsidRPr="005C470C" w:rsidRDefault="00C53143" w:rsidP="00C53143">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lastRenderedPageBreak/>
              <w:t>RCTs (n=10)</w:t>
            </w:r>
          </w:p>
        </w:tc>
        <w:tc>
          <w:tcPr>
            <w:tcW w:w="567" w:type="dxa"/>
            <w:shd w:val="clear" w:color="auto" w:fill="auto"/>
            <w:vAlign w:val="center"/>
            <w:hideMark/>
          </w:tcPr>
          <w:p w14:paraId="13E6E5E9" w14:textId="77777777" w:rsidR="00C53143" w:rsidRPr="005C470C" w:rsidRDefault="00C53143"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1C0EDC3C" w14:textId="34A933E8" w:rsidR="00C53143" w:rsidRPr="005C470C" w:rsidRDefault="00C53143" w:rsidP="00C53143">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 xml:space="preserve">Ultrasonic subgingival scaling is an efficient non-surgical treatment of periodontitis. However, when initial PPD was 4-6 mm, PPD reduction proved manual subgingival scaling was superior, but </w:t>
            </w:r>
            <w:r w:rsidRPr="005C470C">
              <w:rPr>
                <w:rFonts w:ascii="Times New Roman" w:eastAsia="Times New Roman" w:hAnsi="Times New Roman" w:cs="Times New Roman"/>
                <w:color w:val="000000"/>
                <w:sz w:val="20"/>
                <w:szCs w:val="20"/>
                <w:lang w:val="en-US" w:eastAsia="pt-BR"/>
              </w:rPr>
              <w:lastRenderedPageBreak/>
              <w:t>CAL results showed no statistical differences between the two means. When initial PPD was ≥6 mm, PPD and CAL reductions suggested that manual subgingival scaling was superior. Manual subgingival scaling is significant and cannot be completely replaced by ultrasonic subgingival scaling</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0123B34E" w14:textId="5980938B" w:rsidR="00C53143" w:rsidRPr="005C470C" w:rsidRDefault="00C53143" w:rsidP="00C53143">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Y – The authors suggest, when initial PPD is medium or deep, using ultrasonic and manual subgingival instruments together</w:t>
            </w:r>
            <w:r w:rsidR="00B0457E">
              <w:rPr>
                <w:rFonts w:ascii="Times New Roman" w:eastAsia="Times New Roman" w:hAnsi="Times New Roman" w:cs="Times New Roman"/>
                <w:color w:val="000000"/>
                <w:sz w:val="20"/>
                <w:szCs w:val="20"/>
                <w:lang w:val="en-US" w:eastAsia="pt-BR"/>
              </w:rPr>
              <w:t>.</w:t>
            </w:r>
          </w:p>
        </w:tc>
      </w:tr>
      <w:tr w:rsidR="00C53143" w:rsidRPr="005C470C" w14:paraId="43BC4D3D" w14:textId="77777777" w:rsidTr="00114AF5">
        <w:trPr>
          <w:trHeight w:val="20"/>
        </w:trPr>
        <w:tc>
          <w:tcPr>
            <w:tcW w:w="1135" w:type="dxa"/>
            <w:shd w:val="clear" w:color="auto" w:fill="auto"/>
            <w:vAlign w:val="center"/>
            <w:hideMark/>
          </w:tcPr>
          <w:p w14:paraId="585B8757" w14:textId="77777777" w:rsidR="00C53143" w:rsidRDefault="00C53143" w:rsidP="00C53143">
            <w:pP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Zhao et al, 2020</w:t>
            </w:r>
            <w:r w:rsidRPr="005C470C">
              <w:rPr>
                <w:rFonts w:ascii="Times New Roman" w:eastAsia="Times New Roman" w:hAnsi="Times New Roman" w:cs="Times New Roman"/>
                <w:sz w:val="20"/>
                <w:szCs w:val="20"/>
                <w:lang w:eastAsia="pt-BR"/>
              </w:rPr>
              <w:fldChar w:fldCharType="begin"/>
            </w:r>
            <w:r w:rsidRPr="005C470C">
              <w:rPr>
                <w:rFonts w:ascii="Times New Roman" w:eastAsia="Times New Roman" w:hAnsi="Times New Roman" w:cs="Times New Roman"/>
                <w:sz w:val="20"/>
                <w:szCs w:val="20"/>
                <w:lang w:eastAsia="pt-BR"/>
              </w:rPr>
              <w:instrText xml:space="preserve"> ADDIN EN.CITE &lt;EndNote&gt;&lt;Cite&gt;&lt;Author&gt;Zhao&lt;/Author&gt;&lt;Year&gt;2020&lt;/Year&gt;&lt;RecNum&gt;21044&lt;/RecNum&gt;&lt;DisplayText&gt;&lt;style face="superscript"&gt;107&lt;/style&gt;&lt;/DisplayText&gt;&lt;record&gt;&lt;rec-number&gt;21044&lt;/rec-number&gt;&lt;foreign-keys&gt;&lt;key app="EN" db-id="f5fv5a2shx52dqesxzmpffeqzt5ffxae2vev" timestamp="1607902626"&gt;21044&lt;/key&gt;&lt;/foreign-keys&gt;&lt;ref-type name="Journal Article"&gt;17&lt;/ref-type&gt;&lt;contributors&gt;&lt;authors&gt;&lt;author&gt;Zhao, Dan&lt;/author&gt;&lt;author&gt;Khawaja, Abrar Tahir&lt;/author&gt;&lt;author&gt;Jin, Lijian&lt;/author&gt;&lt;author&gt;Chan, Kam Wa&lt;/author&gt;&lt;author&gt;Tonetti, Maurizio&lt;/author&gt;&lt;author&gt;Tang, Sydney Chi Wai&lt;/author&gt;&lt;author&gt;Pelekos, George&lt;/author&gt;&lt;/authors&gt;&lt;/contributors&gt;&lt;titles&gt;&lt;title&gt;Effect of non-surgical periodontal therapy on renal function in chronic kidney disease patients with periodontitis: a systematic review and meta-analysis of interventional studies&lt;/title&gt;&lt;secondary-title&gt;Clinical oral investigations&lt;/secondary-title&gt;&lt;/titles&gt;&lt;periodical&gt;&lt;full-title&gt;Clin Oral Investig&lt;/full-title&gt;&lt;abbr-1&gt;Clinical oral investigations&lt;/abbr-1&gt;&lt;/periodical&gt;&lt;pages&gt;1607-1618&lt;/pages&gt;&lt;volume&gt;24&lt;/volume&gt;&lt;number&gt;4&lt;/number&gt;&lt;dates&gt;&lt;year&gt;2020&lt;/year&gt;&lt;/dates&gt;&lt;isbn&gt;1436-3771&lt;/isbn&gt;&lt;urls&gt;&lt;/urls&gt;&lt;/record&gt;&lt;/Cite&gt;&lt;/EndNote&gt;</w:instrText>
            </w:r>
            <w:r w:rsidRPr="005C470C">
              <w:rPr>
                <w:rFonts w:ascii="Times New Roman" w:eastAsia="Times New Roman" w:hAnsi="Times New Roman" w:cs="Times New Roman"/>
                <w:sz w:val="20"/>
                <w:szCs w:val="20"/>
                <w:lang w:eastAsia="pt-BR"/>
              </w:rPr>
              <w:fldChar w:fldCharType="separate"/>
            </w:r>
            <w:r w:rsidRPr="005C470C">
              <w:rPr>
                <w:rFonts w:ascii="Times New Roman" w:eastAsia="Times New Roman" w:hAnsi="Times New Roman" w:cs="Times New Roman"/>
                <w:noProof/>
                <w:sz w:val="20"/>
                <w:szCs w:val="20"/>
                <w:vertAlign w:val="superscript"/>
                <w:lang w:eastAsia="pt-BR"/>
              </w:rPr>
              <w:t>107</w:t>
            </w:r>
            <w:r w:rsidRPr="005C470C">
              <w:rPr>
                <w:rFonts w:ascii="Times New Roman" w:eastAsia="Times New Roman" w:hAnsi="Times New Roman" w:cs="Times New Roman"/>
                <w:sz w:val="20"/>
                <w:szCs w:val="20"/>
                <w:lang w:eastAsia="pt-BR"/>
              </w:rPr>
              <w:fldChar w:fldCharType="end"/>
            </w:r>
          </w:p>
          <w:p w14:paraId="5FFF52B0" w14:textId="041C2D08" w:rsidR="00C53143" w:rsidRPr="005C470C" w:rsidRDefault="00C53143" w:rsidP="00C53143">
            <w:pPr>
              <w:rPr>
                <w:rFonts w:ascii="Times New Roman" w:eastAsia="Times New Roman" w:hAnsi="Times New Roman" w:cs="Times New Roman"/>
                <w:sz w:val="20"/>
                <w:szCs w:val="20"/>
                <w:lang w:eastAsia="pt-BR"/>
              </w:rPr>
            </w:pPr>
            <w:r>
              <w:rPr>
                <w:rFonts w:ascii="Times New Roman" w:eastAsia="Times New Roman" w:hAnsi="Times New Roman" w:cs="Times New Roman"/>
                <w:sz w:val="20"/>
                <w:szCs w:val="20"/>
                <w:lang w:eastAsia="pt-BR"/>
              </w:rPr>
              <w:t>(China)</w:t>
            </w:r>
          </w:p>
        </w:tc>
        <w:tc>
          <w:tcPr>
            <w:tcW w:w="992" w:type="dxa"/>
            <w:shd w:val="clear" w:color="auto" w:fill="auto"/>
            <w:vAlign w:val="center"/>
            <w:hideMark/>
          </w:tcPr>
          <w:p w14:paraId="4E0B25A3" w14:textId="77777777" w:rsidR="00C53143" w:rsidRPr="00C53143"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Clinical oral investigations</w:t>
            </w:r>
          </w:p>
          <w:p w14:paraId="6114250B" w14:textId="5F4F82F9" w:rsidR="00C53143" w:rsidRPr="005C470C" w:rsidRDefault="00C53143" w:rsidP="00C53143">
            <w:pPr>
              <w:jc w:val="center"/>
              <w:rPr>
                <w:rFonts w:ascii="Times New Roman" w:eastAsia="Times New Roman" w:hAnsi="Times New Roman" w:cs="Times New Roman"/>
                <w:sz w:val="20"/>
                <w:szCs w:val="20"/>
                <w:lang w:eastAsia="pt-BR"/>
              </w:rPr>
            </w:pPr>
            <w:r w:rsidRPr="00C53143">
              <w:rPr>
                <w:rFonts w:ascii="Times New Roman" w:eastAsia="Times New Roman" w:hAnsi="Times New Roman" w:cs="Times New Roman"/>
                <w:sz w:val="20"/>
                <w:szCs w:val="20"/>
                <w:lang w:eastAsia="pt-BR"/>
              </w:rPr>
              <w:t>(2.812)</w:t>
            </w:r>
          </w:p>
        </w:tc>
        <w:tc>
          <w:tcPr>
            <w:tcW w:w="1418" w:type="dxa"/>
            <w:shd w:val="clear" w:color="auto" w:fill="auto"/>
            <w:vAlign w:val="center"/>
            <w:hideMark/>
          </w:tcPr>
          <w:p w14:paraId="5CDE018B" w14:textId="77777777" w:rsidR="00C53143" w:rsidRPr="005C470C" w:rsidRDefault="00C53143"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Periodontics</w:t>
            </w:r>
          </w:p>
        </w:tc>
        <w:tc>
          <w:tcPr>
            <w:tcW w:w="1275" w:type="dxa"/>
            <w:shd w:val="clear" w:color="auto" w:fill="auto"/>
            <w:vAlign w:val="center"/>
            <w:hideMark/>
          </w:tcPr>
          <w:p w14:paraId="4BEE1693" w14:textId="7D673FD9" w:rsidR="00C53143" w:rsidRPr="005C470C" w:rsidRDefault="00C53143" w:rsidP="00C53143">
            <w:pPr>
              <w:jc w:val="center"/>
              <w:rPr>
                <w:rFonts w:ascii="Times New Roman" w:eastAsia="Times New Roman" w:hAnsi="Times New Roman" w:cs="Times New Roman"/>
                <w:sz w:val="20"/>
                <w:szCs w:val="20"/>
                <w:lang w:val="en-US" w:eastAsia="pt-BR"/>
              </w:rPr>
            </w:pPr>
            <w:r w:rsidRPr="005C470C">
              <w:rPr>
                <w:rFonts w:ascii="Times New Roman" w:eastAsia="Times New Roman" w:hAnsi="Times New Roman" w:cs="Times New Roman"/>
                <w:sz w:val="20"/>
                <w:szCs w:val="20"/>
                <w:lang w:val="en-US" w:eastAsia="pt-BR"/>
              </w:rPr>
              <w:t xml:space="preserve">To evaluate the impacts of non-surgical periodontal therapy (NSPT) in patients with chronic kidney disease (CKD) and periodontitis in order to explore </w:t>
            </w:r>
            <w:r w:rsidRPr="005C470C">
              <w:rPr>
                <w:rFonts w:ascii="Times New Roman" w:eastAsia="Times New Roman" w:hAnsi="Times New Roman" w:cs="Times New Roman"/>
                <w:sz w:val="20"/>
                <w:szCs w:val="20"/>
                <w:lang w:val="en-US" w:eastAsia="pt-BR"/>
              </w:rPr>
              <w:lastRenderedPageBreak/>
              <w:t>causality and assess the potential benefits of co-management</w:t>
            </w:r>
          </w:p>
        </w:tc>
        <w:tc>
          <w:tcPr>
            <w:tcW w:w="1134" w:type="dxa"/>
            <w:shd w:val="clear" w:color="auto" w:fill="auto"/>
            <w:vAlign w:val="center"/>
            <w:hideMark/>
          </w:tcPr>
          <w:p w14:paraId="07E4E085" w14:textId="77777777" w:rsidR="00C53143" w:rsidRPr="005C470C" w:rsidRDefault="00C53143" w:rsidP="00C53143">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lastRenderedPageBreak/>
              <w:t>Subjects with CKD and periodontitis</w:t>
            </w:r>
          </w:p>
        </w:tc>
        <w:tc>
          <w:tcPr>
            <w:tcW w:w="1276" w:type="dxa"/>
            <w:shd w:val="clear" w:color="auto" w:fill="auto"/>
            <w:vAlign w:val="center"/>
            <w:hideMark/>
          </w:tcPr>
          <w:p w14:paraId="7285FCFE" w14:textId="62BAF55B" w:rsidR="00C53143" w:rsidRPr="005C470C" w:rsidRDefault="00C53143" w:rsidP="00C53143">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Non-surgical periodontal therapy</w:t>
            </w:r>
          </w:p>
        </w:tc>
        <w:tc>
          <w:tcPr>
            <w:tcW w:w="1418" w:type="dxa"/>
            <w:shd w:val="clear" w:color="auto" w:fill="auto"/>
            <w:vAlign w:val="center"/>
            <w:hideMark/>
          </w:tcPr>
          <w:p w14:paraId="1947A2B3" w14:textId="1B34E044" w:rsidR="00C53143" w:rsidRPr="005C470C" w:rsidRDefault="00C53143" w:rsidP="00C53143">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No periodontal intervention or oral hygiene instructions (OHI)</w:t>
            </w:r>
          </w:p>
        </w:tc>
        <w:tc>
          <w:tcPr>
            <w:tcW w:w="1275" w:type="dxa"/>
            <w:shd w:val="clear" w:color="auto" w:fill="auto"/>
            <w:vAlign w:val="center"/>
            <w:hideMark/>
          </w:tcPr>
          <w:p w14:paraId="6C395B68" w14:textId="582BE3BE" w:rsidR="00C53143" w:rsidRPr="005C470C" w:rsidRDefault="00C53143" w:rsidP="00C53143">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Improvement in renal function</w:t>
            </w:r>
          </w:p>
        </w:tc>
        <w:tc>
          <w:tcPr>
            <w:tcW w:w="1134" w:type="dxa"/>
            <w:shd w:val="clear" w:color="auto" w:fill="auto"/>
            <w:vAlign w:val="center"/>
            <w:hideMark/>
          </w:tcPr>
          <w:p w14:paraId="6F748F54" w14:textId="77777777" w:rsidR="00C53143" w:rsidRPr="005C470C" w:rsidRDefault="00C53143" w:rsidP="00C53143">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RCT (n=1) and case-series studies (n=4)</w:t>
            </w:r>
          </w:p>
        </w:tc>
        <w:tc>
          <w:tcPr>
            <w:tcW w:w="567" w:type="dxa"/>
            <w:shd w:val="clear" w:color="auto" w:fill="auto"/>
            <w:vAlign w:val="center"/>
            <w:hideMark/>
          </w:tcPr>
          <w:p w14:paraId="65AB6EBE" w14:textId="77777777" w:rsidR="00C53143" w:rsidRPr="005C470C" w:rsidRDefault="00C53143" w:rsidP="00C53143">
            <w:pPr>
              <w:jc w:val="center"/>
              <w:rPr>
                <w:rFonts w:ascii="Times New Roman" w:eastAsia="Times New Roman" w:hAnsi="Times New Roman" w:cs="Times New Roman"/>
                <w:sz w:val="20"/>
                <w:szCs w:val="20"/>
                <w:lang w:eastAsia="pt-BR"/>
              </w:rPr>
            </w:pPr>
            <w:r w:rsidRPr="005C470C">
              <w:rPr>
                <w:rFonts w:ascii="Times New Roman" w:eastAsia="Times New Roman" w:hAnsi="Times New Roman" w:cs="Times New Roman"/>
                <w:sz w:val="20"/>
                <w:szCs w:val="20"/>
                <w:lang w:eastAsia="pt-BR"/>
              </w:rPr>
              <w:t>Y</w:t>
            </w:r>
          </w:p>
        </w:tc>
        <w:tc>
          <w:tcPr>
            <w:tcW w:w="1701" w:type="dxa"/>
            <w:shd w:val="clear" w:color="auto" w:fill="auto"/>
            <w:vAlign w:val="center"/>
            <w:hideMark/>
          </w:tcPr>
          <w:p w14:paraId="7CC45825" w14:textId="5A392126" w:rsidR="00C53143" w:rsidRPr="005C470C" w:rsidRDefault="00C53143" w:rsidP="00C53143">
            <w:pPr>
              <w:jc w:val="center"/>
              <w:rPr>
                <w:rFonts w:ascii="Times New Roman" w:eastAsia="Times New Roman" w:hAnsi="Times New Roman" w:cs="Times New Roman"/>
                <w:color w:val="000000"/>
                <w:sz w:val="20"/>
                <w:szCs w:val="20"/>
                <w:lang w:val="en-US" w:eastAsia="pt-BR"/>
              </w:rPr>
            </w:pPr>
            <w:r w:rsidRPr="005C470C">
              <w:rPr>
                <w:rFonts w:ascii="Times New Roman" w:eastAsia="Times New Roman" w:hAnsi="Times New Roman" w:cs="Times New Roman"/>
                <w:color w:val="000000"/>
                <w:sz w:val="20"/>
                <w:szCs w:val="20"/>
                <w:lang w:val="en-US" w:eastAsia="pt-BR"/>
              </w:rPr>
              <w:t>The present evidence is insufficient to conclude whether NSPT has any effect on renal function in CKD patients</w:t>
            </w:r>
            <w:r w:rsidR="00B0457E">
              <w:rPr>
                <w:rFonts w:ascii="Times New Roman" w:eastAsia="Times New Roman" w:hAnsi="Times New Roman" w:cs="Times New Roman"/>
                <w:color w:val="000000"/>
                <w:sz w:val="20"/>
                <w:szCs w:val="20"/>
                <w:lang w:val="en-US" w:eastAsia="pt-BR"/>
              </w:rPr>
              <w:t>.</w:t>
            </w:r>
          </w:p>
        </w:tc>
        <w:tc>
          <w:tcPr>
            <w:tcW w:w="1418" w:type="dxa"/>
            <w:shd w:val="clear" w:color="auto" w:fill="auto"/>
            <w:vAlign w:val="center"/>
            <w:hideMark/>
          </w:tcPr>
          <w:p w14:paraId="13767D94" w14:textId="77777777" w:rsidR="00C53143" w:rsidRPr="005C470C" w:rsidRDefault="00C53143" w:rsidP="00C53143">
            <w:pPr>
              <w:jc w:val="center"/>
              <w:rPr>
                <w:rFonts w:ascii="Times New Roman" w:eastAsia="Times New Roman" w:hAnsi="Times New Roman" w:cs="Times New Roman"/>
                <w:color w:val="000000"/>
                <w:sz w:val="20"/>
                <w:szCs w:val="20"/>
                <w:lang w:eastAsia="pt-BR"/>
              </w:rPr>
            </w:pPr>
            <w:r w:rsidRPr="005C470C">
              <w:rPr>
                <w:rFonts w:ascii="Times New Roman" w:eastAsia="Times New Roman" w:hAnsi="Times New Roman" w:cs="Times New Roman"/>
                <w:color w:val="000000"/>
                <w:sz w:val="20"/>
                <w:szCs w:val="20"/>
                <w:lang w:eastAsia="pt-BR"/>
              </w:rPr>
              <w:t>N</w:t>
            </w:r>
          </w:p>
        </w:tc>
      </w:tr>
    </w:tbl>
    <w:p w14:paraId="78516BF7" w14:textId="44E318F6" w:rsidR="00C01468" w:rsidRPr="005C470C" w:rsidRDefault="00DC29BB">
      <w:pPr>
        <w:rPr>
          <w:rFonts w:ascii="Times New Roman" w:hAnsi="Times New Roman" w:cs="Times New Roman"/>
          <w:sz w:val="20"/>
          <w:szCs w:val="20"/>
          <w:lang w:val="en-US"/>
        </w:rPr>
      </w:pPr>
      <w:r w:rsidRPr="005C470C">
        <w:rPr>
          <w:rFonts w:ascii="Times New Roman" w:hAnsi="Times New Roman" w:cs="Times New Roman"/>
          <w:sz w:val="20"/>
          <w:szCs w:val="20"/>
          <w:lang w:val="en-US"/>
        </w:rPr>
        <w:t>CCT</w:t>
      </w:r>
      <w:r w:rsidR="00B0457E">
        <w:rPr>
          <w:rFonts w:ascii="Times New Roman" w:hAnsi="Times New Roman" w:cs="Times New Roman"/>
          <w:sz w:val="20"/>
          <w:szCs w:val="20"/>
          <w:lang w:val="en-US"/>
        </w:rPr>
        <w:t>=</w:t>
      </w:r>
      <w:r w:rsidRPr="005C470C">
        <w:rPr>
          <w:rFonts w:ascii="Times New Roman" w:hAnsi="Times New Roman" w:cs="Times New Roman"/>
          <w:sz w:val="20"/>
          <w:szCs w:val="20"/>
          <w:lang w:val="en-US"/>
        </w:rPr>
        <w:t xml:space="preserve">controlled clinical trial; </w:t>
      </w:r>
      <w:r w:rsidR="008466C6" w:rsidRPr="005C470C">
        <w:rPr>
          <w:rFonts w:ascii="Times New Roman" w:hAnsi="Times New Roman" w:cs="Times New Roman"/>
          <w:sz w:val="20"/>
          <w:szCs w:val="20"/>
          <w:lang w:val="en-US"/>
        </w:rPr>
        <w:t>d</w:t>
      </w:r>
      <w:r w:rsidR="00B0457E">
        <w:rPr>
          <w:rFonts w:ascii="Times New Roman" w:hAnsi="Times New Roman" w:cs="Times New Roman"/>
          <w:sz w:val="20"/>
          <w:szCs w:val="20"/>
          <w:lang w:val="en-US"/>
        </w:rPr>
        <w:t>=</w:t>
      </w:r>
      <w:r w:rsidR="008466C6" w:rsidRPr="005C470C">
        <w:rPr>
          <w:rFonts w:ascii="Times New Roman" w:hAnsi="Times New Roman" w:cs="Times New Roman"/>
          <w:sz w:val="20"/>
          <w:szCs w:val="20"/>
          <w:lang w:val="en-US"/>
        </w:rPr>
        <w:t xml:space="preserve">day; </w:t>
      </w:r>
      <w:r w:rsidR="00BF136F" w:rsidRPr="005C470C">
        <w:rPr>
          <w:rFonts w:ascii="Times New Roman" w:hAnsi="Times New Roman" w:cs="Times New Roman"/>
          <w:sz w:val="20"/>
          <w:szCs w:val="20"/>
          <w:lang w:val="en-US"/>
        </w:rPr>
        <w:t>h</w:t>
      </w:r>
      <w:r w:rsidR="00B0457E">
        <w:rPr>
          <w:rFonts w:ascii="Times New Roman" w:hAnsi="Times New Roman" w:cs="Times New Roman"/>
          <w:sz w:val="20"/>
          <w:szCs w:val="20"/>
          <w:lang w:val="en-US"/>
        </w:rPr>
        <w:t>=</w:t>
      </w:r>
      <w:r w:rsidR="00BF136F" w:rsidRPr="005C470C">
        <w:rPr>
          <w:rFonts w:ascii="Times New Roman" w:hAnsi="Times New Roman" w:cs="Times New Roman"/>
          <w:sz w:val="20"/>
          <w:szCs w:val="20"/>
          <w:lang w:val="en-US"/>
        </w:rPr>
        <w:t xml:space="preserve">hour; </w:t>
      </w:r>
      <w:r w:rsidR="008466C6" w:rsidRPr="005C470C">
        <w:rPr>
          <w:rFonts w:ascii="Times New Roman" w:hAnsi="Times New Roman" w:cs="Times New Roman"/>
          <w:sz w:val="20"/>
          <w:szCs w:val="20"/>
          <w:lang w:val="en-US"/>
        </w:rPr>
        <w:t>MA</w:t>
      </w:r>
      <w:r w:rsidR="00B0457E">
        <w:rPr>
          <w:rFonts w:ascii="Times New Roman" w:hAnsi="Times New Roman" w:cs="Times New Roman"/>
          <w:sz w:val="20"/>
          <w:szCs w:val="20"/>
          <w:lang w:val="en-US"/>
        </w:rPr>
        <w:t>=</w:t>
      </w:r>
      <w:r w:rsidR="008466C6" w:rsidRPr="005C470C">
        <w:rPr>
          <w:rFonts w:ascii="Times New Roman" w:eastAsia="Times New Roman" w:hAnsi="Times New Roman" w:cs="Times New Roman"/>
          <w:color w:val="000000"/>
          <w:sz w:val="20"/>
          <w:szCs w:val="20"/>
          <w:lang w:val="en-US" w:eastAsia="pt-BR"/>
        </w:rPr>
        <w:t xml:space="preserve">meta-analysis; </w:t>
      </w:r>
      <w:r w:rsidR="008466C6" w:rsidRPr="005C470C">
        <w:rPr>
          <w:rFonts w:ascii="Times New Roman" w:hAnsi="Times New Roman" w:cs="Times New Roman"/>
          <w:sz w:val="20"/>
          <w:szCs w:val="20"/>
          <w:lang w:val="en-US"/>
        </w:rPr>
        <w:t>mo</w:t>
      </w:r>
      <w:r w:rsidR="00B0457E">
        <w:rPr>
          <w:rFonts w:ascii="Times New Roman" w:hAnsi="Times New Roman" w:cs="Times New Roman"/>
          <w:sz w:val="20"/>
          <w:szCs w:val="20"/>
          <w:lang w:val="en-US"/>
        </w:rPr>
        <w:t>=</w:t>
      </w:r>
      <w:r w:rsidR="008466C6" w:rsidRPr="005C470C">
        <w:rPr>
          <w:rFonts w:ascii="Times New Roman" w:hAnsi="Times New Roman" w:cs="Times New Roman"/>
          <w:sz w:val="20"/>
          <w:szCs w:val="20"/>
          <w:lang w:val="en-US"/>
        </w:rPr>
        <w:t xml:space="preserve">month; </w:t>
      </w:r>
      <w:r w:rsidRPr="005C470C">
        <w:rPr>
          <w:rFonts w:ascii="Times New Roman" w:hAnsi="Times New Roman" w:cs="Times New Roman"/>
          <w:sz w:val="20"/>
          <w:szCs w:val="20"/>
          <w:lang w:val="en-US"/>
        </w:rPr>
        <w:t>N</w:t>
      </w:r>
      <w:r w:rsidR="00B0457E">
        <w:rPr>
          <w:rFonts w:ascii="Times New Roman" w:hAnsi="Times New Roman" w:cs="Times New Roman"/>
          <w:sz w:val="20"/>
          <w:szCs w:val="20"/>
          <w:lang w:val="en-US"/>
        </w:rPr>
        <w:t>=</w:t>
      </w:r>
      <w:r w:rsidRPr="005C470C">
        <w:rPr>
          <w:rFonts w:ascii="Times New Roman" w:hAnsi="Times New Roman" w:cs="Times New Roman"/>
          <w:sz w:val="20"/>
          <w:szCs w:val="20"/>
          <w:lang w:val="en-US"/>
        </w:rPr>
        <w:t xml:space="preserve">no; </w:t>
      </w:r>
      <w:r w:rsidR="00EF5009">
        <w:rPr>
          <w:rFonts w:ascii="Times New Roman" w:hAnsi="Times New Roman" w:cs="Times New Roman"/>
          <w:sz w:val="20"/>
          <w:szCs w:val="20"/>
          <w:lang w:val="en-US"/>
        </w:rPr>
        <w:t>NR</w:t>
      </w:r>
      <w:r w:rsidR="00B0457E">
        <w:rPr>
          <w:rFonts w:ascii="Times New Roman" w:hAnsi="Times New Roman" w:cs="Times New Roman"/>
          <w:sz w:val="20"/>
          <w:szCs w:val="20"/>
          <w:lang w:val="en-US"/>
        </w:rPr>
        <w:t>=</w:t>
      </w:r>
      <w:r w:rsidR="00EF5009">
        <w:rPr>
          <w:rFonts w:ascii="Times New Roman" w:hAnsi="Times New Roman" w:cs="Times New Roman"/>
          <w:sz w:val="20"/>
          <w:szCs w:val="20"/>
          <w:lang w:val="en-US"/>
        </w:rPr>
        <w:t xml:space="preserve">not reported; </w:t>
      </w:r>
      <w:r w:rsidR="009314F4" w:rsidRPr="005C470C">
        <w:rPr>
          <w:rFonts w:ascii="Times New Roman" w:hAnsi="Times New Roman" w:cs="Times New Roman"/>
          <w:sz w:val="20"/>
          <w:szCs w:val="20"/>
          <w:lang w:val="en-US"/>
        </w:rPr>
        <w:t>ppm</w:t>
      </w:r>
      <w:r w:rsidR="00B0457E">
        <w:rPr>
          <w:rFonts w:ascii="Times New Roman" w:hAnsi="Times New Roman" w:cs="Times New Roman"/>
          <w:sz w:val="20"/>
          <w:szCs w:val="20"/>
          <w:lang w:val="en-US"/>
        </w:rPr>
        <w:t>=</w:t>
      </w:r>
      <w:r w:rsidR="009314F4" w:rsidRPr="005C470C">
        <w:rPr>
          <w:rFonts w:ascii="Times New Roman" w:eastAsia="Times New Roman" w:hAnsi="Times New Roman" w:cs="Times New Roman"/>
          <w:color w:val="000000"/>
          <w:sz w:val="20"/>
          <w:szCs w:val="20"/>
          <w:lang w:val="en-US" w:eastAsia="pt-BR"/>
        </w:rPr>
        <w:t>parts per million</w:t>
      </w:r>
      <w:r w:rsidR="009314F4" w:rsidRPr="005C470C">
        <w:rPr>
          <w:rFonts w:ascii="Times New Roman" w:hAnsi="Times New Roman" w:cs="Times New Roman"/>
          <w:sz w:val="20"/>
          <w:szCs w:val="20"/>
          <w:lang w:val="en-US"/>
        </w:rPr>
        <w:t xml:space="preserve">; </w:t>
      </w:r>
      <w:r w:rsidRPr="005C470C">
        <w:rPr>
          <w:rFonts w:ascii="Times New Roman" w:hAnsi="Times New Roman" w:cs="Times New Roman"/>
          <w:sz w:val="20"/>
          <w:szCs w:val="20"/>
          <w:lang w:val="en-US"/>
        </w:rPr>
        <w:t>RCT</w:t>
      </w:r>
      <w:r w:rsidR="00B0457E">
        <w:rPr>
          <w:rFonts w:ascii="Times New Roman" w:hAnsi="Times New Roman" w:cs="Times New Roman"/>
          <w:sz w:val="20"/>
          <w:szCs w:val="20"/>
          <w:lang w:val="en-US"/>
        </w:rPr>
        <w:t>=</w:t>
      </w:r>
      <w:r w:rsidRPr="005C470C">
        <w:rPr>
          <w:rFonts w:ascii="Times New Roman" w:hAnsi="Times New Roman" w:cs="Times New Roman"/>
          <w:sz w:val="20"/>
          <w:szCs w:val="20"/>
          <w:lang w:val="en-US"/>
        </w:rPr>
        <w:t>randomize</w:t>
      </w:r>
      <w:r w:rsidR="00B16511">
        <w:rPr>
          <w:rFonts w:ascii="Times New Roman" w:hAnsi="Times New Roman" w:cs="Times New Roman"/>
          <w:sz w:val="20"/>
          <w:szCs w:val="20"/>
          <w:lang w:val="en-US"/>
        </w:rPr>
        <w:t>d</w:t>
      </w:r>
      <w:r w:rsidRPr="005C470C">
        <w:rPr>
          <w:rFonts w:ascii="Times New Roman" w:hAnsi="Times New Roman" w:cs="Times New Roman"/>
          <w:sz w:val="20"/>
          <w:szCs w:val="20"/>
          <w:lang w:val="en-US"/>
        </w:rPr>
        <w:t xml:space="preserve"> clinical trial; </w:t>
      </w:r>
      <w:r w:rsidR="00DA4084" w:rsidRPr="005C470C">
        <w:rPr>
          <w:rFonts w:ascii="Times New Roman" w:eastAsia="Times New Roman" w:hAnsi="Times New Roman" w:cs="Times New Roman"/>
          <w:color w:val="000000"/>
          <w:sz w:val="20"/>
          <w:szCs w:val="20"/>
          <w:lang w:val="en-US" w:eastAsia="pt-BR"/>
        </w:rPr>
        <w:t>RoB</w:t>
      </w:r>
      <w:r w:rsidR="00B0457E">
        <w:rPr>
          <w:rFonts w:ascii="Times New Roman" w:hAnsi="Times New Roman" w:cs="Times New Roman"/>
          <w:sz w:val="20"/>
          <w:szCs w:val="20"/>
          <w:lang w:val="en-US"/>
        </w:rPr>
        <w:t>=</w:t>
      </w:r>
      <w:r w:rsidR="00DA4084" w:rsidRPr="005C470C">
        <w:rPr>
          <w:rFonts w:ascii="Times New Roman" w:hAnsi="Times New Roman" w:cs="Times New Roman"/>
          <w:sz w:val="20"/>
          <w:szCs w:val="20"/>
          <w:lang w:val="en-US"/>
        </w:rPr>
        <w:t xml:space="preserve">risk of bias; </w:t>
      </w:r>
      <w:r w:rsidRPr="005C470C">
        <w:rPr>
          <w:rFonts w:ascii="Times New Roman" w:hAnsi="Times New Roman" w:cs="Times New Roman"/>
          <w:sz w:val="20"/>
          <w:szCs w:val="20"/>
          <w:lang w:val="en-US"/>
        </w:rPr>
        <w:t>SR</w:t>
      </w:r>
      <w:r w:rsidR="00B0457E">
        <w:rPr>
          <w:rFonts w:ascii="Times New Roman" w:hAnsi="Times New Roman" w:cs="Times New Roman"/>
          <w:sz w:val="20"/>
          <w:szCs w:val="20"/>
          <w:lang w:val="en-US"/>
        </w:rPr>
        <w:t>=</w:t>
      </w:r>
      <w:r w:rsidRPr="005C470C">
        <w:rPr>
          <w:rFonts w:ascii="Times New Roman" w:hAnsi="Times New Roman" w:cs="Times New Roman"/>
          <w:sz w:val="20"/>
          <w:szCs w:val="20"/>
          <w:lang w:val="en-US"/>
        </w:rPr>
        <w:t xml:space="preserve">systematic review; </w:t>
      </w:r>
      <w:r w:rsidR="008466C6" w:rsidRPr="005C470C">
        <w:rPr>
          <w:rFonts w:ascii="Times New Roman" w:hAnsi="Times New Roman" w:cs="Times New Roman"/>
          <w:sz w:val="20"/>
          <w:szCs w:val="20"/>
          <w:lang w:val="en-US"/>
        </w:rPr>
        <w:t>w</w:t>
      </w:r>
      <w:r w:rsidR="00B0457E">
        <w:rPr>
          <w:rFonts w:ascii="Times New Roman" w:hAnsi="Times New Roman" w:cs="Times New Roman"/>
          <w:sz w:val="20"/>
          <w:szCs w:val="20"/>
          <w:lang w:val="en-US"/>
        </w:rPr>
        <w:t>=</w:t>
      </w:r>
      <w:r w:rsidR="008466C6" w:rsidRPr="005C470C">
        <w:rPr>
          <w:rFonts w:ascii="Times New Roman" w:hAnsi="Times New Roman" w:cs="Times New Roman"/>
          <w:sz w:val="20"/>
          <w:szCs w:val="20"/>
          <w:lang w:val="en-US"/>
        </w:rPr>
        <w:t xml:space="preserve">week; </w:t>
      </w:r>
      <w:r w:rsidRPr="005C470C">
        <w:rPr>
          <w:rFonts w:ascii="Times New Roman" w:hAnsi="Times New Roman" w:cs="Times New Roman"/>
          <w:sz w:val="20"/>
          <w:szCs w:val="20"/>
          <w:lang w:val="en-US"/>
        </w:rPr>
        <w:t>y</w:t>
      </w:r>
      <w:r w:rsidR="00B0457E">
        <w:rPr>
          <w:rFonts w:ascii="Times New Roman" w:hAnsi="Times New Roman" w:cs="Times New Roman"/>
          <w:sz w:val="20"/>
          <w:szCs w:val="20"/>
          <w:lang w:val="en-US"/>
        </w:rPr>
        <w:t>=</w:t>
      </w:r>
      <w:r w:rsidRPr="005C470C">
        <w:rPr>
          <w:rFonts w:ascii="Times New Roman" w:hAnsi="Times New Roman" w:cs="Times New Roman"/>
          <w:sz w:val="20"/>
          <w:szCs w:val="20"/>
          <w:lang w:val="en-US"/>
        </w:rPr>
        <w:t>years; Y</w:t>
      </w:r>
      <w:r w:rsidR="00B0457E">
        <w:rPr>
          <w:rFonts w:ascii="Times New Roman" w:hAnsi="Times New Roman" w:cs="Times New Roman"/>
          <w:sz w:val="20"/>
          <w:szCs w:val="20"/>
          <w:lang w:val="en-US"/>
        </w:rPr>
        <w:t>=</w:t>
      </w:r>
      <w:r w:rsidRPr="005C470C">
        <w:rPr>
          <w:rFonts w:ascii="Times New Roman" w:hAnsi="Times New Roman" w:cs="Times New Roman"/>
          <w:sz w:val="20"/>
          <w:szCs w:val="20"/>
          <w:lang w:val="en-US"/>
        </w:rPr>
        <w:t>yes;</w:t>
      </w:r>
    </w:p>
    <w:p w14:paraId="43A3371F" w14:textId="3F8874D1" w:rsidR="00BC17DB" w:rsidRDefault="00BC17DB">
      <w:pPr>
        <w:rPr>
          <w:rFonts w:ascii="Times New Roman" w:hAnsi="Times New Roman" w:cs="Times New Roman"/>
          <w:sz w:val="20"/>
          <w:szCs w:val="20"/>
          <w:lang w:val="en-US"/>
        </w:rPr>
      </w:pPr>
      <w:r>
        <w:rPr>
          <w:rFonts w:ascii="Times New Roman" w:hAnsi="Times New Roman" w:cs="Times New Roman"/>
          <w:sz w:val="20"/>
          <w:szCs w:val="20"/>
          <w:lang w:val="en-US"/>
        </w:rPr>
        <w:t xml:space="preserve">*The Impact factor was based on the </w:t>
      </w:r>
      <w:r w:rsidRPr="00BC17DB">
        <w:rPr>
          <w:rFonts w:ascii="Times New Roman" w:hAnsi="Times New Roman" w:cs="Times New Roman"/>
          <w:sz w:val="20"/>
          <w:szCs w:val="20"/>
          <w:lang w:val="en-US"/>
        </w:rPr>
        <w:t xml:space="preserve">Journal citation report 2019-2020 - Clarivate Analytics - Journal Impact Factor (ISI) 2019 </w:t>
      </w:r>
      <w:r>
        <w:rPr>
          <w:rFonts w:ascii="Times New Roman" w:hAnsi="Times New Roman" w:cs="Times New Roman"/>
          <w:sz w:val="20"/>
          <w:szCs w:val="20"/>
          <w:lang w:val="en-US"/>
        </w:rPr>
        <w:t>–</w:t>
      </w:r>
      <w:r w:rsidRPr="00BC17DB">
        <w:rPr>
          <w:rFonts w:ascii="Times New Roman" w:hAnsi="Times New Roman" w:cs="Times New Roman"/>
          <w:sz w:val="20"/>
          <w:szCs w:val="20"/>
          <w:lang w:val="en-US"/>
        </w:rPr>
        <w:t xml:space="preserve"> 2020</w:t>
      </w:r>
      <w:r>
        <w:rPr>
          <w:rFonts w:ascii="Times New Roman" w:hAnsi="Times New Roman" w:cs="Times New Roman"/>
          <w:sz w:val="20"/>
          <w:szCs w:val="20"/>
          <w:lang w:val="en-US"/>
        </w:rPr>
        <w:t>.</w:t>
      </w:r>
    </w:p>
    <w:p w14:paraId="04FE6169" w14:textId="6843E3C6" w:rsidR="0008652B" w:rsidRPr="00EF5009" w:rsidRDefault="006226A8">
      <w:pPr>
        <w:rPr>
          <w:rFonts w:ascii="Times New Roman" w:hAnsi="Times New Roman" w:cs="Times New Roman"/>
          <w:sz w:val="20"/>
          <w:szCs w:val="20"/>
          <w:vertAlign w:val="superscript"/>
          <w:lang w:val="en-US"/>
        </w:rPr>
      </w:pPr>
      <w:r w:rsidRPr="005C470C">
        <w:rPr>
          <w:rFonts w:ascii="Times New Roman" w:hAnsi="Times New Roman" w:cs="Times New Roman"/>
          <w:sz w:val="20"/>
          <w:szCs w:val="20"/>
          <w:lang w:val="en-US"/>
        </w:rPr>
        <w:t>*</w:t>
      </w:r>
      <w:r w:rsidR="00BC17DB">
        <w:rPr>
          <w:rFonts w:ascii="Times New Roman" w:hAnsi="Times New Roman" w:cs="Times New Roman"/>
          <w:sz w:val="20"/>
          <w:szCs w:val="20"/>
          <w:lang w:val="en-US"/>
        </w:rPr>
        <w:t>*</w:t>
      </w:r>
      <w:r w:rsidRPr="005C470C">
        <w:rPr>
          <w:rFonts w:ascii="Times New Roman" w:hAnsi="Times New Roman" w:cs="Times New Roman"/>
          <w:sz w:val="20"/>
          <w:szCs w:val="20"/>
          <w:lang w:val="en-US"/>
        </w:rPr>
        <w:t>Dentistry Specialty following the classification of American Dental Association adopted by the National Commission on Recognition of Dental Specialties and Certifying Boards</w:t>
      </w:r>
      <w:r w:rsidR="00947FEF" w:rsidRPr="005C470C">
        <w:rPr>
          <w:rFonts w:ascii="Times New Roman" w:hAnsi="Times New Roman" w:cs="Times New Roman"/>
          <w:sz w:val="20"/>
          <w:szCs w:val="20"/>
          <w:vertAlign w:val="superscript"/>
          <w:lang w:val="en-US"/>
        </w:rPr>
        <w:t>2</w:t>
      </w:r>
      <w:r w:rsidR="00B0457E">
        <w:rPr>
          <w:rFonts w:ascii="Times New Roman" w:hAnsi="Times New Roman" w:cs="Times New Roman"/>
          <w:sz w:val="20"/>
          <w:szCs w:val="20"/>
          <w:vertAlign w:val="superscript"/>
          <w:lang w:val="en-US"/>
        </w:rPr>
        <w:t>4</w:t>
      </w:r>
    </w:p>
    <w:p w14:paraId="448F49D7" w14:textId="77777777" w:rsidR="0008652B" w:rsidRPr="005C470C" w:rsidRDefault="0008652B">
      <w:pPr>
        <w:rPr>
          <w:rFonts w:ascii="Times New Roman" w:hAnsi="Times New Roman" w:cs="Times New Roman"/>
          <w:b/>
          <w:bCs/>
          <w:sz w:val="20"/>
          <w:szCs w:val="20"/>
          <w:lang w:val="en-US"/>
        </w:rPr>
      </w:pPr>
    </w:p>
    <w:p w14:paraId="1A4ED796" w14:textId="481095D2" w:rsidR="00434FEC" w:rsidRPr="005C470C" w:rsidRDefault="00434FEC">
      <w:pPr>
        <w:rPr>
          <w:rFonts w:ascii="Times New Roman" w:hAnsi="Times New Roman" w:cs="Times New Roman"/>
          <w:b/>
          <w:bCs/>
          <w:sz w:val="20"/>
          <w:szCs w:val="20"/>
          <w:lang w:val="en-US"/>
        </w:rPr>
      </w:pPr>
      <w:r w:rsidRPr="005C470C">
        <w:rPr>
          <w:rFonts w:ascii="Times New Roman" w:hAnsi="Times New Roman" w:cs="Times New Roman"/>
          <w:b/>
          <w:bCs/>
          <w:sz w:val="20"/>
          <w:szCs w:val="20"/>
          <w:lang w:val="en-US"/>
        </w:rPr>
        <w:t>REFERENCES</w:t>
      </w:r>
    </w:p>
    <w:p w14:paraId="21EC2F08" w14:textId="77777777" w:rsidR="0008652B" w:rsidRPr="005C470C" w:rsidRDefault="00434FEC" w:rsidP="0008652B">
      <w:pPr>
        <w:pStyle w:val="EndNoteBibliography"/>
        <w:rPr>
          <w:rFonts w:ascii="Times New Roman" w:hAnsi="Times New Roman" w:cs="Times New Roman"/>
          <w:noProof/>
        </w:rPr>
      </w:pPr>
      <w:r w:rsidRPr="005C470C">
        <w:rPr>
          <w:rFonts w:ascii="Times New Roman" w:hAnsi="Times New Roman" w:cs="Times New Roman"/>
          <w:b/>
          <w:bCs/>
          <w:sz w:val="20"/>
          <w:szCs w:val="20"/>
        </w:rPr>
        <w:fldChar w:fldCharType="begin"/>
      </w:r>
      <w:r w:rsidRPr="005C470C">
        <w:rPr>
          <w:rFonts w:ascii="Times New Roman" w:hAnsi="Times New Roman" w:cs="Times New Roman"/>
          <w:b/>
          <w:bCs/>
          <w:sz w:val="20"/>
          <w:szCs w:val="20"/>
        </w:rPr>
        <w:instrText xml:space="preserve"> ADDIN EN.REFLIST </w:instrText>
      </w:r>
      <w:r w:rsidRPr="005C470C">
        <w:rPr>
          <w:rFonts w:ascii="Times New Roman" w:hAnsi="Times New Roman" w:cs="Times New Roman"/>
          <w:b/>
          <w:bCs/>
          <w:sz w:val="20"/>
          <w:szCs w:val="20"/>
        </w:rPr>
        <w:fldChar w:fldCharType="separate"/>
      </w:r>
      <w:r w:rsidR="0008652B" w:rsidRPr="005C470C">
        <w:rPr>
          <w:rFonts w:ascii="Times New Roman" w:hAnsi="Times New Roman" w:cs="Times New Roman"/>
          <w:noProof/>
        </w:rPr>
        <w:t>1.</w:t>
      </w:r>
      <w:r w:rsidR="0008652B" w:rsidRPr="005C470C">
        <w:rPr>
          <w:rFonts w:ascii="Times New Roman" w:hAnsi="Times New Roman" w:cs="Times New Roman"/>
          <w:noProof/>
        </w:rPr>
        <w:tab/>
        <w:t>Abdel Shaheed C, Maher CG, McLachlan AJ. Efficacy and Safety of Low-dose Codeine-containing Combination Analgesics for Pain. The Clinical journal of pain. 2019;35(10):836-43.</w:t>
      </w:r>
    </w:p>
    <w:p w14:paraId="5D2E0C0D"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2.</w:t>
      </w:r>
      <w:r w:rsidRPr="005C470C">
        <w:rPr>
          <w:rFonts w:ascii="Times New Roman" w:hAnsi="Times New Roman" w:cs="Times New Roman"/>
          <w:noProof/>
        </w:rPr>
        <w:tab/>
        <w:t>Akram Z, Shafqat SS, Aati S, Kujan O, Fawzy A. Clinical efficacy of probiotics in the treatment of gingivitis: A systematic review and meta‐analysis. Australian dental journal. 2020;65(1):12-20.</w:t>
      </w:r>
    </w:p>
    <w:p w14:paraId="3D52A46E"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3.</w:t>
      </w:r>
      <w:r w:rsidRPr="005C470C">
        <w:rPr>
          <w:rFonts w:ascii="Times New Roman" w:hAnsi="Times New Roman" w:cs="Times New Roman"/>
          <w:noProof/>
        </w:rPr>
        <w:tab/>
        <w:t>Akram Z, Shafqat SS, Niaz MO, Raza A, Naseem M. Clinical efficacy of photodynamic therapy and laser irradiation as an adjunct to open flap debridement in the treatment of chronic periodontitis: A systematic review and meta‐analysis. Photodermatology, photoimmunology &amp; photomedicine. 2020;36(1):3-13.</w:t>
      </w:r>
    </w:p>
    <w:p w14:paraId="6F4A7333"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4.</w:t>
      </w:r>
      <w:r w:rsidRPr="005C470C">
        <w:rPr>
          <w:rFonts w:ascii="Times New Roman" w:hAnsi="Times New Roman" w:cs="Times New Roman"/>
          <w:noProof/>
        </w:rPr>
        <w:tab/>
        <w:t>Al-Moraissi EA, Oginni FO, Holkom MAM, Mohamed AAS, Al-Sharani HM. Tissue-engineered bone using mesenchymal stem cells versus conventional bone grafts in the regeneration of maxillary alveolar bone: A systematic review and meta-analysis. International Journal of Oral &amp; Maxillofacial Implants. 2020;35(1).</w:t>
      </w:r>
    </w:p>
    <w:p w14:paraId="1EDD5D34"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5.</w:t>
      </w:r>
      <w:r w:rsidRPr="005C470C">
        <w:rPr>
          <w:rFonts w:ascii="Times New Roman" w:hAnsi="Times New Roman" w:cs="Times New Roman"/>
          <w:noProof/>
        </w:rPr>
        <w:tab/>
        <w:t>Alessandri-Bonetti A, Bortolotti F, Moreno-Hay I, Michelotti A, Cordaro M, Alessandri-Bonetti G, et al. Effects of mandibular advancement device for obstructive sleep apnea on temporomandibular disorders: A systematic review and meta-analysis. Sleep Medicine Reviews. 2019;48:101211.</w:t>
      </w:r>
    </w:p>
    <w:p w14:paraId="6C382454"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6.</w:t>
      </w:r>
      <w:r w:rsidRPr="005C470C">
        <w:rPr>
          <w:rFonts w:ascii="Times New Roman" w:hAnsi="Times New Roman" w:cs="Times New Roman"/>
          <w:noProof/>
        </w:rPr>
        <w:tab/>
        <w:t>Bartolucci ML, Bortolotti F, Corazza G, Incerti Parenti S, Paganelli C, Alessandri Bonetti G. Effectiveness of different mandibular advancement device designs in obstructive sleep apnoea therapy: A systematic review of randomised controlled trials with meta‐analysis. Journal of oral rehabilitation. 2020.</w:t>
      </w:r>
    </w:p>
    <w:p w14:paraId="300CA55D"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7.</w:t>
      </w:r>
      <w:r w:rsidRPr="005C470C">
        <w:rPr>
          <w:rFonts w:ascii="Times New Roman" w:hAnsi="Times New Roman" w:cs="Times New Roman"/>
          <w:noProof/>
        </w:rPr>
        <w:tab/>
        <w:t>Bellini-Pereira SA, Pupulim DC, Aliaga-Del Castillo A, Henriques JFC, Janson G. Time of maxillary molar distalization with non-compliance intraoral distalizing appliances: a meta-analysis. European journal of orthodontics. 2019;41(6):652-60.</w:t>
      </w:r>
    </w:p>
    <w:p w14:paraId="5ED89666"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lastRenderedPageBreak/>
        <w:t>8.</w:t>
      </w:r>
      <w:r w:rsidRPr="005C470C">
        <w:rPr>
          <w:rFonts w:ascii="Times New Roman" w:hAnsi="Times New Roman" w:cs="Times New Roman"/>
          <w:noProof/>
        </w:rPr>
        <w:tab/>
        <w:t>Cabral LC, Alves GM, Furtado LM, Neto AJF, Júnior PCS. Changes in mandibular and articular dynamics associated with surgical versus nonsurgical treatment of mandibular condylar fractures: a systematic review with meta-analysis. Oral Surgery, Oral Medicine, Oral Pathology and Oral Radiology. 2019.</w:t>
      </w:r>
    </w:p>
    <w:p w14:paraId="7C7AAD07"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9.</w:t>
      </w:r>
      <w:r w:rsidRPr="005C470C">
        <w:rPr>
          <w:rFonts w:ascii="Times New Roman" w:hAnsi="Times New Roman" w:cs="Times New Roman"/>
          <w:noProof/>
        </w:rPr>
        <w:tab/>
        <w:t>Cacciatore G, Ugolini A, Sforza C, Gbinigie O, Plüddemann A. Long-term effects of functional appliances in treated versus untreated patients with Class II malocclusion: A systematic review and meta-analysis. PloS one. 2019;14(9):e0221624.</w:t>
      </w:r>
    </w:p>
    <w:p w14:paraId="4C252677"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10.</w:t>
      </w:r>
      <w:r w:rsidRPr="005C470C">
        <w:rPr>
          <w:rFonts w:ascii="Times New Roman" w:hAnsi="Times New Roman" w:cs="Times New Roman"/>
          <w:noProof/>
        </w:rPr>
        <w:tab/>
        <w:t>Cai H, Xi P, Zhong L, Chen J, Liang X. Efficacy of aromatherapy on dental anxiety: A systematic review of randomised and quasi‐randomised controlled trials. Oral diseases. 2020.</w:t>
      </w:r>
    </w:p>
    <w:p w14:paraId="4C7507B8"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11.</w:t>
      </w:r>
      <w:r w:rsidRPr="005C470C">
        <w:rPr>
          <w:rFonts w:ascii="Times New Roman" w:hAnsi="Times New Roman" w:cs="Times New Roman"/>
          <w:noProof/>
        </w:rPr>
        <w:tab/>
        <w:t>Cairo F, Barbato L, Selvaggi F, Baielli MG, Piattelli A, Chambrone L. Surgical procedures for soft tissue augmentation at implant sites. A systematic review and meta‐analysis of randomized controlled trials. Clinical Implant Dentistry and Related Research. 2019;21(6):1262-70.</w:t>
      </w:r>
    </w:p>
    <w:p w14:paraId="1D5B9FD4"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12.</w:t>
      </w:r>
      <w:r w:rsidRPr="005C470C">
        <w:rPr>
          <w:rFonts w:ascii="Times New Roman" w:hAnsi="Times New Roman" w:cs="Times New Roman"/>
          <w:noProof/>
        </w:rPr>
        <w:tab/>
        <w:t xml:space="preserve">Caporossi LS, Dos Santos CS, Calcia TBB, Cenci MS, Muniz FWMG, da Silveira Lima G. Pharmacological management of pain after periodontal surgery: a systematic review with meta-analysis. </w:t>
      </w:r>
      <w:r w:rsidRPr="002F6AEF">
        <w:rPr>
          <w:rFonts w:ascii="Times New Roman" w:hAnsi="Times New Roman" w:cs="Times New Roman"/>
          <w:noProof/>
          <w:lang w:val="pt-BR"/>
        </w:rPr>
        <w:t>Clinical oral investigations. 2020;24(8):2559-78.</w:t>
      </w:r>
    </w:p>
    <w:p w14:paraId="67FC9056"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13.</w:t>
      </w:r>
      <w:r w:rsidRPr="002F6AEF">
        <w:rPr>
          <w:rFonts w:ascii="Times New Roman" w:hAnsi="Times New Roman" w:cs="Times New Roman"/>
          <w:noProof/>
          <w:lang w:val="pt-BR"/>
        </w:rPr>
        <w:tab/>
        <w:t xml:space="preserve">Cardenas AFM, Maran BM, Araújo LCR, de Siqueira FSF, Wambier LM, Gonzaga CC, et al. </w:t>
      </w:r>
      <w:r w:rsidRPr="005C470C">
        <w:rPr>
          <w:rFonts w:ascii="Times New Roman" w:hAnsi="Times New Roman" w:cs="Times New Roman"/>
          <w:noProof/>
        </w:rPr>
        <w:t>Are combined bleaching techniques better than their sole application? A systematic review and meta-analysis. Clinical oral investigations. 2019:1-17.</w:t>
      </w:r>
    </w:p>
    <w:p w14:paraId="7B695A39"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14.</w:t>
      </w:r>
      <w:r w:rsidRPr="005C470C">
        <w:rPr>
          <w:rFonts w:ascii="Times New Roman" w:hAnsi="Times New Roman" w:cs="Times New Roman"/>
          <w:noProof/>
        </w:rPr>
        <w:tab/>
        <w:t xml:space="preserve">Cardoso PC, Espinosa DG, Mecenas P, Flores-Mir C, Normando D. Pain level between clear aligners and fixed appliances: a systematic review. </w:t>
      </w:r>
      <w:r w:rsidRPr="002F6AEF">
        <w:rPr>
          <w:rFonts w:ascii="Times New Roman" w:hAnsi="Times New Roman" w:cs="Times New Roman"/>
          <w:noProof/>
          <w:lang w:val="pt-BR"/>
        </w:rPr>
        <w:t>Progress in Orthodontics. 2020;21(1):3.</w:t>
      </w:r>
    </w:p>
    <w:p w14:paraId="532441B7" w14:textId="77777777" w:rsidR="0008652B" w:rsidRPr="002F6AEF" w:rsidRDefault="0008652B" w:rsidP="0008652B">
      <w:pPr>
        <w:pStyle w:val="EndNoteBibliography"/>
        <w:rPr>
          <w:rFonts w:ascii="Times New Roman" w:hAnsi="Times New Roman" w:cs="Times New Roman"/>
          <w:noProof/>
          <w:lang w:val="pt-BR"/>
        </w:rPr>
      </w:pPr>
      <w:r w:rsidRPr="002F6AEF">
        <w:rPr>
          <w:rFonts w:ascii="Times New Roman" w:hAnsi="Times New Roman" w:cs="Times New Roman"/>
          <w:noProof/>
          <w:lang w:val="pt-BR"/>
        </w:rPr>
        <w:t>15.</w:t>
      </w:r>
      <w:r w:rsidRPr="002F6AEF">
        <w:rPr>
          <w:rFonts w:ascii="Times New Roman" w:hAnsi="Times New Roman" w:cs="Times New Roman"/>
          <w:noProof/>
          <w:lang w:val="pt-BR"/>
        </w:rPr>
        <w:tab/>
        <w:t xml:space="preserve">Carneiro-Campos LE, Freitas-Fernandes LB, Masterson D, Magno MB, Fernandes CP, Maia LC, et al. </w:t>
      </w:r>
      <w:r w:rsidRPr="005C470C">
        <w:rPr>
          <w:rFonts w:ascii="Times New Roman" w:hAnsi="Times New Roman" w:cs="Times New Roman"/>
          <w:noProof/>
        </w:rPr>
        <w:t xml:space="preserve">Does the natural maxillary dentition influence the survival rate of mandibular metal-resin implant-supported fixed complete dentures? A systematic review and meta-analysis. The Journal of prosthetic dentistry. </w:t>
      </w:r>
      <w:r w:rsidRPr="002F6AEF">
        <w:rPr>
          <w:rFonts w:ascii="Times New Roman" w:hAnsi="Times New Roman" w:cs="Times New Roman"/>
          <w:noProof/>
          <w:lang w:val="pt-BR"/>
        </w:rPr>
        <w:t>2019.</w:t>
      </w:r>
    </w:p>
    <w:p w14:paraId="5C8D8533"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16.</w:t>
      </w:r>
      <w:r w:rsidRPr="002F6AEF">
        <w:rPr>
          <w:rFonts w:ascii="Times New Roman" w:hAnsi="Times New Roman" w:cs="Times New Roman"/>
          <w:noProof/>
          <w:lang w:val="pt-BR"/>
        </w:rPr>
        <w:tab/>
        <w:t xml:space="preserve">Cetira Filho EL, Carvalho FSR, de Barros Silva PG, Barbosa DAF, Pereira KMA, Ribeiro TR, et al. </w:t>
      </w:r>
      <w:r w:rsidRPr="005C470C">
        <w:rPr>
          <w:rFonts w:ascii="Times New Roman" w:hAnsi="Times New Roman" w:cs="Times New Roman"/>
          <w:noProof/>
        </w:rPr>
        <w:t>Preemptive use of oral nonsteroidal anti-inflammatory drugs for the relief of inflammatory events after surgical removal of lower third molars: A systematic review with meta-analysis of placebo-controlled randomized clinical trials. Journal of Cranio-Maxillofacial Surgery. 2020;48(3):293-307.</w:t>
      </w:r>
    </w:p>
    <w:p w14:paraId="22EF0103"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17.</w:t>
      </w:r>
      <w:r w:rsidRPr="005C470C">
        <w:rPr>
          <w:rFonts w:ascii="Times New Roman" w:hAnsi="Times New Roman" w:cs="Times New Roman"/>
          <w:noProof/>
        </w:rPr>
        <w:tab/>
        <w:t>Chambrone L, Ortega MAS, Sukekava F, Rotundo R, Kalemaj Z, Buti J, et al. Root coverage procedures for treating single and multiple recession‐type defects: An updated Cochrane systematic review. Journal of periodontology. 2019;90(12):1399-422.</w:t>
      </w:r>
    </w:p>
    <w:p w14:paraId="54DA18AF"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18.</w:t>
      </w:r>
      <w:r w:rsidRPr="005C470C">
        <w:rPr>
          <w:rFonts w:ascii="Times New Roman" w:hAnsi="Times New Roman" w:cs="Times New Roman"/>
          <w:noProof/>
        </w:rPr>
        <w:tab/>
        <w:t>Chaves JDP, Figueredo TFM, Warnavin SVSC, Pannuti CM, Steffens JP. Sex hormone replacement therapy in periodontology—A systematic review. Oral diseases. 2020;26(2):270-84.</w:t>
      </w:r>
    </w:p>
    <w:p w14:paraId="149AD1D5"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19.</w:t>
      </w:r>
      <w:r w:rsidRPr="005C470C">
        <w:rPr>
          <w:rFonts w:ascii="Times New Roman" w:hAnsi="Times New Roman" w:cs="Times New Roman"/>
          <w:noProof/>
        </w:rPr>
        <w:tab/>
        <w:t>Chen Z, Chen Q, Fan X, Li Y, Mo S. Stepwise versus single-step mandibular advancement with functional appliance in treating class II patients: A meta-analysis. Journal of orofacial orthopedics= Fortschritte der Kieferorthopadie: Organ/official journal Deutsche Gesellschaft fur Kieferorthopadie. 2020.</w:t>
      </w:r>
    </w:p>
    <w:p w14:paraId="25E1DD62"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20.</w:t>
      </w:r>
      <w:r w:rsidRPr="005C470C">
        <w:rPr>
          <w:rFonts w:ascii="Times New Roman" w:hAnsi="Times New Roman" w:cs="Times New Roman"/>
          <w:noProof/>
        </w:rPr>
        <w:tab/>
        <w:t>Chugh VK, Patnana AK, Chugh A, Kumar P, Wadhwa P, Singh S. Clinical differences of hand and rotary instrumentations during biomechanical preparation in primary teeth—A systematic review and meta‐analysis. International journal of paediatric dentistry. 2020.</w:t>
      </w:r>
    </w:p>
    <w:p w14:paraId="3C5FDC45"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lastRenderedPageBreak/>
        <w:t>21.</w:t>
      </w:r>
      <w:r w:rsidRPr="005C470C">
        <w:rPr>
          <w:rFonts w:ascii="Times New Roman" w:hAnsi="Times New Roman" w:cs="Times New Roman"/>
          <w:noProof/>
        </w:rPr>
        <w:tab/>
        <w:t>Clark-Perry D, Levin L. Comparison of new formulas of stannous fluoride toothpastes with other commercially available fluoridated toothpastes: A systematic review and meta-analysis of randomised controlled trials. International Dental Journal. 2020;70(6):418-26.</w:t>
      </w:r>
    </w:p>
    <w:p w14:paraId="040BD06A"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22.</w:t>
      </w:r>
      <w:r w:rsidRPr="005C470C">
        <w:rPr>
          <w:rFonts w:ascii="Times New Roman" w:hAnsi="Times New Roman" w:cs="Times New Roman"/>
          <w:noProof/>
        </w:rPr>
        <w:tab/>
        <w:t>Copello FM, Marañón‐Vásquez GA, Brunetto DP, Caldas LD, Masterson D, Maia LC, et al. Is the buccal alveolar bone less affected by mini‐implant assisted rapid palatal expansion than by conventional rapid palatal expansion?—A systematic review and meta‐analysis. Orthodontics &amp; craniofacial research. 2020;23(3):237-49.</w:t>
      </w:r>
    </w:p>
    <w:p w14:paraId="08E615A4"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23.</w:t>
      </w:r>
      <w:r w:rsidRPr="005C470C">
        <w:rPr>
          <w:rFonts w:ascii="Times New Roman" w:hAnsi="Times New Roman" w:cs="Times New Roman"/>
          <w:noProof/>
        </w:rPr>
        <w:tab/>
        <w:t>Correia A, Bresciani E, Borges A, Pereira D, Maia L, Caneppele T. Do Tooth-and Cavity-related Aspects of Noncarious Cervical Lesions Affect the Retention of Resin Composite Restorations in Adults? A Systematic Review and Meta-analysis. Operative dentistry. 2020;45(3):E124-E40.</w:t>
      </w:r>
    </w:p>
    <w:p w14:paraId="2AD5126E"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24.</w:t>
      </w:r>
      <w:r w:rsidRPr="002F6AEF">
        <w:rPr>
          <w:rFonts w:ascii="Times New Roman" w:hAnsi="Times New Roman" w:cs="Times New Roman"/>
          <w:noProof/>
          <w:lang w:val="pt-BR"/>
        </w:rPr>
        <w:tab/>
        <w:t xml:space="preserve">Costacurta AO, Kunz PVM, Silva RC, Wambier LM, da Cunha LF, Correr GM, et al. </w:t>
      </w:r>
      <w:r w:rsidRPr="005C470C">
        <w:rPr>
          <w:rFonts w:ascii="Times New Roman" w:hAnsi="Times New Roman" w:cs="Times New Roman"/>
          <w:noProof/>
        </w:rPr>
        <w:t>Does the addition of potassium nitrate to carbamide peroxide gel reduce sensitivity during at‐home bleaching? Australian dental journal. 2020;65(1):70-82.</w:t>
      </w:r>
    </w:p>
    <w:p w14:paraId="0F261F08"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25.</w:t>
      </w:r>
      <w:r w:rsidRPr="005C470C">
        <w:rPr>
          <w:rFonts w:ascii="Times New Roman" w:hAnsi="Times New Roman" w:cs="Times New Roman"/>
          <w:noProof/>
        </w:rPr>
        <w:tab/>
        <w:t>Cross E, Jordan H, Godfrey R, Onakpoya I, Shears A, Fidler K, et al. Route and duration of antibiotic therapy in acute cellulitis: A systematic review and meta-analyses considering the effectiveness and harms of antibiotic treatment. Journal of Infection. 2020.</w:t>
      </w:r>
    </w:p>
    <w:p w14:paraId="38C55DCC"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26.</w:t>
      </w:r>
      <w:r w:rsidRPr="005C470C">
        <w:rPr>
          <w:rFonts w:ascii="Times New Roman" w:hAnsi="Times New Roman" w:cs="Times New Roman"/>
          <w:noProof/>
        </w:rPr>
        <w:tab/>
        <w:t>Dawson A, Dawson J, Ernberg M. The effect of botulinum toxin A on patients with persistent idiopathic dentoalveolar pain—A systematic review. Journal of oral rehabilitation. 2020;47(9):1184-91.</w:t>
      </w:r>
    </w:p>
    <w:p w14:paraId="5B70B673"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27.</w:t>
      </w:r>
      <w:r w:rsidRPr="005C470C">
        <w:rPr>
          <w:rFonts w:ascii="Times New Roman" w:hAnsi="Times New Roman" w:cs="Times New Roman"/>
          <w:noProof/>
        </w:rPr>
        <w:tab/>
        <w:t xml:space="preserve">De Felice F, Pranno N, Papi P, Brugnoletti O, Tombolini V, Polimeni A. Xerostomia and Clinical Outcomes in Definitive Intensity Modulated Radiotherapy (IMRT) Versus Three-dimensional Conformal Radiotherapy (3D-CRT) for Head and Neck Squamous Cell Carcinoma: A Meta-analysis. in vivo. </w:t>
      </w:r>
      <w:r w:rsidRPr="002F6AEF">
        <w:rPr>
          <w:rFonts w:ascii="Times New Roman" w:hAnsi="Times New Roman" w:cs="Times New Roman"/>
          <w:noProof/>
          <w:lang w:val="pt-BR"/>
        </w:rPr>
        <w:t>2020;34(2):623-9.</w:t>
      </w:r>
    </w:p>
    <w:p w14:paraId="4E66ABE1"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28.</w:t>
      </w:r>
      <w:r w:rsidRPr="002F6AEF">
        <w:rPr>
          <w:rFonts w:ascii="Times New Roman" w:hAnsi="Times New Roman" w:cs="Times New Roman"/>
          <w:noProof/>
          <w:lang w:val="pt-BR"/>
        </w:rPr>
        <w:tab/>
        <w:t xml:space="preserve">de Menêses AG, Normando AGC, Porto de Toledo I, Reis PED, Guerra ENS. </w:t>
      </w:r>
      <w:r w:rsidRPr="005C470C">
        <w:rPr>
          <w:rFonts w:ascii="Times New Roman" w:hAnsi="Times New Roman" w:cs="Times New Roman"/>
          <w:noProof/>
        </w:rPr>
        <w:t>Effects of oral supplementation in the management of oral mucositis in cancer patients: A meta‐analysis of randomized clinical trials. Journal of Oral Pathology &amp; Medicine. 2020;49(2):117-25.</w:t>
      </w:r>
    </w:p>
    <w:p w14:paraId="5A5EB9B8"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29.</w:t>
      </w:r>
      <w:r w:rsidRPr="005C470C">
        <w:rPr>
          <w:rFonts w:ascii="Times New Roman" w:hAnsi="Times New Roman" w:cs="Times New Roman"/>
          <w:noProof/>
        </w:rPr>
        <w:tab/>
        <w:t>Devila A, Lasta R, Zanella L, Agnol MD, Rodrigues-Junior S. Efficacy and Adverse Effects of Whitening Dentifrices Compared With Other Products: A Systematic Review and Meta-analysis. Operative dentistry. 2020;45(2):E77-E90.</w:t>
      </w:r>
    </w:p>
    <w:p w14:paraId="0682EC71"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30.</w:t>
      </w:r>
      <w:r w:rsidRPr="005C470C">
        <w:rPr>
          <w:rFonts w:ascii="Times New Roman" w:hAnsi="Times New Roman" w:cs="Times New Roman"/>
          <w:noProof/>
        </w:rPr>
        <w:tab/>
        <w:t>Díaz‐Sánchez M, Soto‐Peñaloza D, Peñarrocha‐Oltra D, Peñarrocha‐Diago M. Influence of supracrestal tissue attachment thickness on radiographic bone level around dental implants: A systematic review and meta‐analysis. Journal of periodontal research. 2019;54(6):573-88.</w:t>
      </w:r>
    </w:p>
    <w:p w14:paraId="5A0EAD98"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31.</w:t>
      </w:r>
      <w:r w:rsidRPr="005C470C">
        <w:rPr>
          <w:rFonts w:ascii="Times New Roman" w:hAnsi="Times New Roman" w:cs="Times New Roman"/>
          <w:noProof/>
        </w:rPr>
        <w:tab/>
        <w:t>Dos Santos CCO, Mecenas P, de Castro Aragón MLS, Normando D. Effects of micro-osteoperforations performed with Propel system on tooth movement, pain/quality of life, anchorage loss, and root resorption: a systematic review and meta-analysis. Progress in orthodontics. 2020;21(1):1-15.</w:t>
      </w:r>
    </w:p>
    <w:p w14:paraId="39C2E54A"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32.</w:t>
      </w:r>
      <w:r w:rsidRPr="005C470C">
        <w:rPr>
          <w:rFonts w:ascii="Times New Roman" w:hAnsi="Times New Roman" w:cs="Times New Roman"/>
          <w:noProof/>
        </w:rPr>
        <w:tab/>
        <w:t xml:space="preserve">Dos Santos KW, Rech RS, Wendland EMDR, Hilgert JB. Rehabilitation strategies in maxillofacial trauma: systematic review and meta-analysis. </w:t>
      </w:r>
      <w:r w:rsidRPr="002F6AEF">
        <w:rPr>
          <w:rFonts w:ascii="Times New Roman" w:hAnsi="Times New Roman" w:cs="Times New Roman"/>
          <w:noProof/>
          <w:lang w:val="pt-BR"/>
        </w:rPr>
        <w:t>Oral and maxillofacial surgery. 2020;24(1):1-10.</w:t>
      </w:r>
    </w:p>
    <w:p w14:paraId="72DCC034"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lastRenderedPageBreak/>
        <w:t>33.</w:t>
      </w:r>
      <w:r w:rsidRPr="002F6AEF">
        <w:rPr>
          <w:rFonts w:ascii="Times New Roman" w:hAnsi="Times New Roman" w:cs="Times New Roman"/>
          <w:noProof/>
          <w:lang w:val="pt-BR"/>
        </w:rPr>
        <w:tab/>
        <w:t xml:space="preserve">Duarte ML, Pires PM, Ferreira DM, Pintor AVB, de Almeida Neves A, Maia LC, et al. </w:t>
      </w:r>
      <w:r w:rsidRPr="005C470C">
        <w:rPr>
          <w:rFonts w:ascii="Times New Roman" w:hAnsi="Times New Roman" w:cs="Times New Roman"/>
          <w:noProof/>
        </w:rPr>
        <w:t>Is there evidence for the use of lesion sterilization and tissue repair therapy in the endodontic treatment of primary teeth? A systematic review and meta-analyses. Clinical oral investigations. 2020;24(9):2959-72.</w:t>
      </w:r>
    </w:p>
    <w:p w14:paraId="358FF1EC"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34.</w:t>
      </w:r>
      <w:r w:rsidRPr="005C470C">
        <w:rPr>
          <w:rFonts w:ascii="Times New Roman" w:hAnsi="Times New Roman" w:cs="Times New Roman"/>
          <w:noProof/>
        </w:rPr>
        <w:tab/>
        <w:t xml:space="preserve">Elkerbout TA, Slot DE, Rosema NM, Van der Weijden G. How effective is a powered toothbrush as compared to a manual toothbrush? A systematic review and meta‐analysis of single brushing exercises. </w:t>
      </w:r>
      <w:r w:rsidRPr="002F6AEF">
        <w:rPr>
          <w:rFonts w:ascii="Times New Roman" w:hAnsi="Times New Roman" w:cs="Times New Roman"/>
          <w:noProof/>
          <w:lang w:val="pt-BR"/>
        </w:rPr>
        <w:t>International journal of dental hygiene. 2020;18(1):17-26.</w:t>
      </w:r>
    </w:p>
    <w:p w14:paraId="7D63DB21"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35.</w:t>
      </w:r>
      <w:r w:rsidRPr="002F6AEF">
        <w:rPr>
          <w:rFonts w:ascii="Times New Roman" w:hAnsi="Times New Roman" w:cs="Times New Roman"/>
          <w:noProof/>
          <w:lang w:val="pt-BR"/>
        </w:rPr>
        <w:tab/>
        <w:t xml:space="preserve">Fernandes I, Lopes A, Fonseca P, da Silva Torres A, Rodrigues A, Galvão E, et al. </w:t>
      </w:r>
      <w:r w:rsidRPr="005C470C">
        <w:rPr>
          <w:rFonts w:ascii="Times New Roman" w:hAnsi="Times New Roman" w:cs="Times New Roman"/>
          <w:noProof/>
        </w:rPr>
        <w:t>Comparison between Erich arch bars and intermaxillary screws in maxillofacial fractures involving the dental occlusion: a meta-analysis. International journal of oral and maxillofacial surgery. 2020.</w:t>
      </w:r>
    </w:p>
    <w:p w14:paraId="73922234"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36.</w:t>
      </w:r>
      <w:r w:rsidRPr="005C470C">
        <w:rPr>
          <w:rFonts w:ascii="Times New Roman" w:hAnsi="Times New Roman" w:cs="Times New Roman"/>
          <w:noProof/>
        </w:rPr>
        <w:tab/>
        <w:t>Figueiredo DSF, Houara RG, Pinto LSdMC, Diniz AR, Araújo VE, Thabane L, et al. Effects of piezocision in orthodontic tooth movement: A systematic review of comparative studies. Journal of clinical and experimental dentistry. 2019;11(11):e1078.</w:t>
      </w:r>
    </w:p>
    <w:p w14:paraId="510EE480"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37.</w:t>
      </w:r>
      <w:r w:rsidRPr="005C470C">
        <w:rPr>
          <w:rFonts w:ascii="Times New Roman" w:hAnsi="Times New Roman" w:cs="Times New Roman"/>
          <w:noProof/>
        </w:rPr>
        <w:tab/>
        <w:t>Franchini M, Cruciani M, Mengoli C, Masiello F, Marano G, D‘Aloja E, et al. The use of platelet-rich plasma in oral surgery: a systematic review and meta-analysis. Blood Transfusion. 2019;17(5):357.</w:t>
      </w:r>
    </w:p>
    <w:p w14:paraId="694F7B65"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38.</w:t>
      </w:r>
      <w:r w:rsidRPr="005C470C">
        <w:rPr>
          <w:rFonts w:ascii="Times New Roman" w:hAnsi="Times New Roman" w:cs="Times New Roman"/>
          <w:noProof/>
        </w:rPr>
        <w:tab/>
        <w:t>Gao J, Yu S, Zhu X, Yan Y, Zhang Y, Pei D. Does probiotic Lactobacillus have an adjunctive effect in the nonsurgical treatment of peri-implant diseases? A systematic review and meta-analysis. Journal of Evidence Based Dental Practice. 2020;20(1):101398.</w:t>
      </w:r>
    </w:p>
    <w:p w14:paraId="7DE2FF9C"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39.</w:t>
      </w:r>
      <w:r w:rsidRPr="005C470C">
        <w:rPr>
          <w:rFonts w:ascii="Times New Roman" w:hAnsi="Times New Roman" w:cs="Times New Roman"/>
          <w:noProof/>
        </w:rPr>
        <w:tab/>
        <w:t>Gareb B, van Bakelen N, Dijkstra P, Vissink A, Bos R, van Minnen B. Biodegradable versus titanium osteosynthesis in maxillofacial traumatology: A systematic review with meta-analysis and trial sequential analysis. International journal of oral and maxillofacial surgery. 2020;49(7):914-31.</w:t>
      </w:r>
    </w:p>
    <w:p w14:paraId="2B90C364"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40.</w:t>
      </w:r>
      <w:r w:rsidRPr="005C470C">
        <w:rPr>
          <w:rFonts w:ascii="Times New Roman" w:hAnsi="Times New Roman" w:cs="Times New Roman"/>
          <w:noProof/>
        </w:rPr>
        <w:tab/>
        <w:t>González Espinosa D, Santos M, Mendes SMdA, Normando D. Mandibular propulsion appliance for adults with Class II malocclusion: a systematic review and meta-analysis. European journal of orthodontics. 2020;42(2):163-73.</w:t>
      </w:r>
    </w:p>
    <w:p w14:paraId="64CB1FC8"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41.</w:t>
      </w:r>
      <w:r w:rsidRPr="005C470C">
        <w:rPr>
          <w:rFonts w:ascii="Times New Roman" w:hAnsi="Times New Roman" w:cs="Times New Roman"/>
          <w:noProof/>
        </w:rPr>
        <w:tab/>
        <w:t>Göstemeyer G, da Mata C, McKenna G, Schwendicke F. Atraumatic vs conventional restorative treatment for root caries lesions in older patients: Meta‐and trial sequential analysis. Gerodontology. 2019;36(3):285-93.</w:t>
      </w:r>
    </w:p>
    <w:p w14:paraId="0655BD56"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42.</w:t>
      </w:r>
      <w:r w:rsidRPr="005C470C">
        <w:rPr>
          <w:rFonts w:ascii="Times New Roman" w:hAnsi="Times New Roman" w:cs="Times New Roman"/>
          <w:noProof/>
        </w:rPr>
        <w:tab/>
        <w:t>Grisar K, Luyten J, Preda F, Martin C, Hoppenreijs T, Politis C, et al. Interventions for impacted maxillary canines: A systematic review of the relationship between initial canine position and treatment outcome. Orthodontics &amp; craniofacial research. 2020.</w:t>
      </w:r>
    </w:p>
    <w:p w14:paraId="18347EF8"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43.</w:t>
      </w:r>
      <w:r w:rsidRPr="005C470C">
        <w:rPr>
          <w:rFonts w:ascii="Times New Roman" w:hAnsi="Times New Roman" w:cs="Times New Roman"/>
          <w:noProof/>
        </w:rPr>
        <w:tab/>
        <w:t>Guo R, Zhang L, Hu M, Huang Y, Li W. Alveolar bone changes in maxillary and mandibular anterior teeth during orthodontic treatment: A systematic review and meta‐analysis. Orthodontics &amp; craniofacial research. 2020.</w:t>
      </w:r>
    </w:p>
    <w:p w14:paraId="1724CC99"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44.</w:t>
      </w:r>
      <w:r w:rsidRPr="005C470C">
        <w:rPr>
          <w:rFonts w:ascii="Times New Roman" w:hAnsi="Times New Roman" w:cs="Times New Roman"/>
          <w:noProof/>
        </w:rPr>
        <w:tab/>
        <w:t>Hadj-Hamou R, Senok AC, Athanasiou AE, Kaklamanos EG. Do probiotics promote oral health during orthodontic treatment with fixed appliances? A systematic review. BMC oral health. 2020;20:1-9.</w:t>
      </w:r>
    </w:p>
    <w:p w14:paraId="54A58BFF"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45.</w:t>
      </w:r>
      <w:r w:rsidRPr="005C470C">
        <w:rPr>
          <w:rFonts w:ascii="Times New Roman" w:hAnsi="Times New Roman" w:cs="Times New Roman"/>
          <w:noProof/>
        </w:rPr>
        <w:tab/>
        <w:t>Hoyle P, Patel K, Benson P. Does replacement of missing dental units with resin-retained bridges improve oral health-related quality of life?: A systematic review. Journal of dentistry. 2019;91:103209.</w:t>
      </w:r>
    </w:p>
    <w:p w14:paraId="723DBD28"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lastRenderedPageBreak/>
        <w:t>46.</w:t>
      </w:r>
      <w:r w:rsidRPr="005C470C">
        <w:rPr>
          <w:rFonts w:ascii="Times New Roman" w:hAnsi="Times New Roman" w:cs="Times New Roman"/>
          <w:noProof/>
        </w:rPr>
        <w:tab/>
        <w:t xml:space="preserve">Ibrahim AM, Zakhary SY, Amin SAW. Calcium hydroxide intracanal medication effects on pain and flare-up: a systematic review and meta-analysis. </w:t>
      </w:r>
      <w:r w:rsidRPr="002F6AEF">
        <w:rPr>
          <w:rFonts w:ascii="Times New Roman" w:hAnsi="Times New Roman" w:cs="Times New Roman"/>
          <w:noProof/>
          <w:lang w:val="pt-BR"/>
        </w:rPr>
        <w:t>Restorative Dentistry &amp; Endodontics. 2020;45(3).</w:t>
      </w:r>
    </w:p>
    <w:p w14:paraId="37FBA7F0"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47.</w:t>
      </w:r>
      <w:r w:rsidRPr="002F6AEF">
        <w:rPr>
          <w:rFonts w:ascii="Times New Roman" w:hAnsi="Times New Roman" w:cs="Times New Roman"/>
          <w:noProof/>
          <w:lang w:val="pt-BR"/>
        </w:rPr>
        <w:tab/>
        <w:t xml:space="preserve">Janakiram C, Venkitachalam R, Fontelo P, Iafolla TJ, Dye BA. </w:t>
      </w:r>
      <w:r w:rsidRPr="005C470C">
        <w:rPr>
          <w:rFonts w:ascii="Times New Roman" w:hAnsi="Times New Roman" w:cs="Times New Roman"/>
          <w:noProof/>
        </w:rPr>
        <w:t>Effectiveness of herbal oral care products in reducing dental plaque &amp; gingivitis–a systematic review and meta-analysis. BMC complementary medicine and therapies. 2020;20(1):1-12.</w:t>
      </w:r>
    </w:p>
    <w:p w14:paraId="02FA434E"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48.</w:t>
      </w:r>
      <w:r w:rsidRPr="005C470C">
        <w:rPr>
          <w:rFonts w:ascii="Times New Roman" w:hAnsi="Times New Roman" w:cs="Times New Roman"/>
          <w:noProof/>
        </w:rPr>
        <w:tab/>
        <w:t>Jayaraman J, Nagendrababu V, Pulikkotil SJ, Veettil SK, Dhar V. Effectiveness of formocresol and ferric sulfate as pulpotomy material in primary molars: a systematic review and meta-analysis with trial sequential analysis of randomized clinical trials. Quintessence International. 2020;51(1).</w:t>
      </w:r>
    </w:p>
    <w:p w14:paraId="146533E6"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49.</w:t>
      </w:r>
      <w:r w:rsidRPr="005C470C">
        <w:rPr>
          <w:rFonts w:ascii="Times New Roman" w:hAnsi="Times New Roman" w:cs="Times New Roman"/>
          <w:noProof/>
        </w:rPr>
        <w:tab/>
        <w:t>Jazayeri HE, Khavanin N, Jason WY, Lopez J, Shamliyan T, Peacock ZS, et al. Fixation Points in the Treatment of Traumatic Zygomaticomaxillary Complex Fractures: A Systematic Review and Meta-Analysis. Journal of Oral and Maxillofacial Surgery. 2019;77(10):2064-73.</w:t>
      </w:r>
    </w:p>
    <w:p w14:paraId="4394A43B"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50.</w:t>
      </w:r>
      <w:r w:rsidRPr="005C470C">
        <w:rPr>
          <w:rFonts w:ascii="Times New Roman" w:hAnsi="Times New Roman" w:cs="Times New Roman"/>
          <w:noProof/>
        </w:rPr>
        <w:tab/>
        <w:t>Kamińska A, Dalewski B, Sobolewska E. The Usefulness of the Pressure Algometer in the Diagnosis and Treatment of Orofacial Pain Patients: A Systematic Review. Occupational Therapy International. 2020;2020.</w:t>
      </w:r>
    </w:p>
    <w:p w14:paraId="608E2CBF"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51.</w:t>
      </w:r>
      <w:r w:rsidRPr="005C470C">
        <w:rPr>
          <w:rFonts w:ascii="Times New Roman" w:hAnsi="Times New Roman" w:cs="Times New Roman"/>
          <w:noProof/>
        </w:rPr>
        <w:tab/>
        <w:t>Khalaf K, Mando M. Removable appliances to correct anterior crossbites in the mixed dentition: a systematic review. Acta odontologica Scandinavica. 2020;78(2):118-25.</w:t>
      </w:r>
    </w:p>
    <w:p w14:paraId="55A949E9"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52.</w:t>
      </w:r>
      <w:r w:rsidRPr="005C470C">
        <w:rPr>
          <w:rFonts w:ascii="Times New Roman" w:hAnsi="Times New Roman" w:cs="Times New Roman"/>
          <w:noProof/>
        </w:rPr>
        <w:tab/>
        <w:t>Khijmatgar S, Reddy U, John S, Badavannavar AN, Souza TD. Is there evidence for Novamin application in remineralization?: A Systematic review. Journal of Oral Biology and Craniofacial Research. 2020;10(2):87-92.</w:t>
      </w:r>
    </w:p>
    <w:p w14:paraId="65D9B89B"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53.</w:t>
      </w:r>
      <w:r w:rsidRPr="005C470C">
        <w:rPr>
          <w:rFonts w:ascii="Times New Roman" w:hAnsi="Times New Roman" w:cs="Times New Roman"/>
          <w:noProof/>
        </w:rPr>
        <w:tab/>
        <w:t>Klinge A, Khalil D, Klinge B, Lund B, Naimi-Akbar A, Tranaeus S, et al. Prophylactic antibiotics for staged bone augmentation in implant dentistry. Acta odontologica Scandinavica. 2020;78(1):64-73.</w:t>
      </w:r>
    </w:p>
    <w:p w14:paraId="449652A2"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54.</w:t>
      </w:r>
      <w:r w:rsidRPr="005C470C">
        <w:rPr>
          <w:rFonts w:ascii="Times New Roman" w:hAnsi="Times New Roman" w:cs="Times New Roman"/>
          <w:noProof/>
        </w:rPr>
        <w:tab/>
        <w:t>Knoesel M, Espinoza-Espinoza GE, Sandoval-Vidal P, Zaror C. Angle class II correction: stepwise mandibular advancement or bite jumping?: A systematic review and meta-analysis of skeletal, dental and condylar effects. Journal of orofacial orthopedics= Fortschritte der Kieferorthopadie: Organ/official journal Deutsche Gesellschaft fur Kieferorthopadie. 2020.</w:t>
      </w:r>
    </w:p>
    <w:p w14:paraId="2DFC76C3"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55.</w:t>
      </w:r>
      <w:r w:rsidRPr="005C470C">
        <w:rPr>
          <w:rFonts w:ascii="Times New Roman" w:hAnsi="Times New Roman" w:cs="Times New Roman"/>
          <w:noProof/>
        </w:rPr>
        <w:tab/>
        <w:t xml:space="preserve">Kruse AB, Kowalski CD, Leuthold S, Vach K, Ratka-Krüger P, Woelber JP. What is the impact of the adjunctive use of omega-3 fatty acids in the treatment of periodontitis? A systematic review and meta-analysis. Lipids in Health and Disease. </w:t>
      </w:r>
      <w:r w:rsidRPr="002F6AEF">
        <w:rPr>
          <w:rFonts w:ascii="Times New Roman" w:hAnsi="Times New Roman" w:cs="Times New Roman"/>
          <w:noProof/>
          <w:lang w:val="pt-BR"/>
        </w:rPr>
        <w:t>2020;19(1):1-16.</w:t>
      </w:r>
    </w:p>
    <w:p w14:paraId="54AD460A"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56.</w:t>
      </w:r>
      <w:r w:rsidRPr="002F6AEF">
        <w:rPr>
          <w:rFonts w:ascii="Times New Roman" w:hAnsi="Times New Roman" w:cs="Times New Roman"/>
          <w:noProof/>
          <w:lang w:val="pt-BR"/>
        </w:rPr>
        <w:tab/>
        <w:t xml:space="preserve">Lam PP, Sardana D, Ekambaram M, Lee GH, Yiu CK. </w:t>
      </w:r>
      <w:r w:rsidRPr="005C470C">
        <w:rPr>
          <w:rFonts w:ascii="Times New Roman" w:hAnsi="Times New Roman" w:cs="Times New Roman"/>
          <w:noProof/>
        </w:rPr>
        <w:t>Effectiveness of Pit and Fissure Sealants for Preventing and Arresting Occlusal Caries in Primary Molars: A Systematic Review and Meta-Analysis. Journal of Evidence Based Dental Practice. 2020;20(2):101404.</w:t>
      </w:r>
    </w:p>
    <w:p w14:paraId="5697F7A7"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57.</w:t>
      </w:r>
      <w:r w:rsidRPr="005C470C">
        <w:rPr>
          <w:rFonts w:ascii="Times New Roman" w:hAnsi="Times New Roman" w:cs="Times New Roman"/>
          <w:noProof/>
        </w:rPr>
        <w:tab/>
        <w:t>Li F, Wu C, Sun H, Zhou Q. Effect of Platelet-Rich Plasma Injections on Pain Reduction in Patients with Temporomandibular Joint Osteoarthrosis: A Meta-Analysis of Randomized Controlled Trials. Journal of Oral &amp; Facial Pain &amp; Headache. 2020;34(2).</w:t>
      </w:r>
    </w:p>
    <w:p w14:paraId="6D6B49BD"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58.</w:t>
      </w:r>
      <w:r w:rsidRPr="005C470C">
        <w:rPr>
          <w:rFonts w:ascii="Times New Roman" w:hAnsi="Times New Roman" w:cs="Times New Roman"/>
          <w:noProof/>
        </w:rPr>
        <w:tab/>
        <w:t>Limones A, Sáez-Alcaide LM, Díaz-Parreño SA, Helm A, Bornstein MM, Molinero-Mourelle P. Medication-related osteonecrosis of the jaws (MRONJ) in cancer patients treated with denosumab VS. zoledronic acid: A systematic review and meta-analysis. Medicina oral, patologia oral y cirugia bucal. 2020;25(3):e326.</w:t>
      </w:r>
    </w:p>
    <w:p w14:paraId="556605FC"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lastRenderedPageBreak/>
        <w:t>59.</w:t>
      </w:r>
      <w:r w:rsidRPr="005C470C">
        <w:rPr>
          <w:rFonts w:ascii="Times New Roman" w:hAnsi="Times New Roman" w:cs="Times New Roman"/>
          <w:noProof/>
        </w:rPr>
        <w:tab/>
        <w:t>Lins R, Sebold M, Magno M, Maia L, Martins L, Giannini M. Does the Type of Solvent in Dental Adhesives Influence the Clinical Performance of Composite Restorations Placed in Noncarious Cervical Lesions? A Systematic Review and Meta-analysis. Operative dentistry. 2020.</w:t>
      </w:r>
    </w:p>
    <w:p w14:paraId="6AAC6DE1"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60.</w:t>
      </w:r>
      <w:r w:rsidRPr="005C470C">
        <w:rPr>
          <w:rFonts w:ascii="Times New Roman" w:hAnsi="Times New Roman" w:cs="Times New Roman"/>
          <w:noProof/>
        </w:rPr>
        <w:tab/>
        <w:t>Lockhart PB, DeLong HR, Lipman RD, Abt E, Baddour LM, Colvin M, et al. Effect of dental treatment before cardiac valve surgery: systematic review and meta-analysis. The Journal of the American Dental Association. 2019;150(9):739-47. e9.</w:t>
      </w:r>
    </w:p>
    <w:p w14:paraId="11904988"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61.</w:t>
      </w:r>
      <w:r w:rsidRPr="005C470C">
        <w:rPr>
          <w:rFonts w:ascii="Times New Roman" w:hAnsi="Times New Roman" w:cs="Times New Roman"/>
          <w:noProof/>
        </w:rPr>
        <w:tab/>
        <w:t>Lyu C, Zhang L, Zou S. The effectiveness of supplemental vibrational force on enhancing orthodontic treatment. A systematic review. European journal of orthodontics. 2019;41(5):502-12.</w:t>
      </w:r>
    </w:p>
    <w:p w14:paraId="400EA7E5"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62.</w:t>
      </w:r>
      <w:r w:rsidRPr="005C470C">
        <w:rPr>
          <w:rFonts w:ascii="Times New Roman" w:hAnsi="Times New Roman" w:cs="Times New Roman"/>
          <w:noProof/>
        </w:rPr>
        <w:tab/>
        <w:t>Machado V, Botelho J, Mascarenhas P, Mendes JJ, Delgado A. A systematic review and meta-analysis on Bolton’s ratios: Normal occlusion and malocclusion. Journal of orthodontics. 2020;47(1):7-29.</w:t>
      </w:r>
    </w:p>
    <w:p w14:paraId="336554FE"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63.</w:t>
      </w:r>
      <w:r w:rsidRPr="005C470C">
        <w:rPr>
          <w:rFonts w:ascii="Times New Roman" w:hAnsi="Times New Roman" w:cs="Times New Roman"/>
          <w:noProof/>
        </w:rPr>
        <w:tab/>
        <w:t>Manchanda S, Sardana D, Yiu C. A systematic review and meta‐analysis of randomized clinical trials comparing rotary canal instrumentation techniques with manual instrumentation techniques in primary teeth. International endodontic journal. 2020;53(3):333-53.</w:t>
      </w:r>
    </w:p>
    <w:p w14:paraId="381A00CF"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64.</w:t>
      </w:r>
      <w:r w:rsidRPr="005C470C">
        <w:rPr>
          <w:rFonts w:ascii="Times New Roman" w:hAnsi="Times New Roman" w:cs="Times New Roman"/>
          <w:noProof/>
        </w:rPr>
        <w:tab/>
        <w:t>Martins ML, Ribeiro-Lages MB, Masterson D, Magno MB, Cavalcanti YW, Maia LC, et al. Efficacy of natural antimicrobials derived from phenolic compounds in the control of biofilm in children and adolescents compared to synthetic antimicrobials: A systematic review and meta-analysis. Archives of oral biology. 2020:104844.</w:t>
      </w:r>
    </w:p>
    <w:p w14:paraId="68FF6F87"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65.</w:t>
      </w:r>
      <w:r w:rsidRPr="005C470C">
        <w:rPr>
          <w:rFonts w:ascii="Times New Roman" w:hAnsi="Times New Roman" w:cs="Times New Roman"/>
          <w:noProof/>
        </w:rPr>
        <w:tab/>
        <w:t>Marui VC, Souto MLS, Rovai ES, Romito GA, Chambrone L, Pannuti CM. Efficacy of preprocedural mouthrinses in the reduction of microorganisms in aerosol: a systematic review. The Journal of the American Dental Association. 2019;150(12):1015-26. e1.</w:t>
      </w:r>
    </w:p>
    <w:p w14:paraId="3BD51B58"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66.</w:t>
      </w:r>
      <w:r w:rsidRPr="005C470C">
        <w:rPr>
          <w:rFonts w:ascii="Times New Roman" w:hAnsi="Times New Roman" w:cs="Times New Roman"/>
          <w:noProof/>
        </w:rPr>
        <w:tab/>
        <w:t xml:space="preserve">Mheissen S, Khan H, Samawi S. Is Piezocision effective in accelerating orthodontic tooth movement: A systematic review and meta-analysis. </w:t>
      </w:r>
      <w:r w:rsidRPr="002F6AEF">
        <w:rPr>
          <w:rFonts w:ascii="Times New Roman" w:hAnsi="Times New Roman" w:cs="Times New Roman"/>
          <w:noProof/>
          <w:lang w:val="pt-BR"/>
        </w:rPr>
        <w:t>PloS one. 2020;15(4):e0231492.</w:t>
      </w:r>
    </w:p>
    <w:p w14:paraId="285AA16D"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67.</w:t>
      </w:r>
      <w:r w:rsidRPr="002F6AEF">
        <w:rPr>
          <w:rFonts w:ascii="Times New Roman" w:hAnsi="Times New Roman" w:cs="Times New Roman"/>
          <w:noProof/>
          <w:lang w:val="pt-BR"/>
        </w:rPr>
        <w:tab/>
        <w:t xml:space="preserve">Moda LB, da Silva Barros ALC, Fagundes NCF, Normando D, Maia LC, dos Anjos Mendes SM. </w:t>
      </w:r>
      <w:r w:rsidRPr="005C470C">
        <w:rPr>
          <w:rFonts w:ascii="Times New Roman" w:hAnsi="Times New Roman" w:cs="Times New Roman"/>
          <w:noProof/>
        </w:rPr>
        <w:t>Lower fixed retainers: bonded on all teeth or only on canines? A systematic review. The Angle orthodontist. 2020;90(1):125-43.</w:t>
      </w:r>
    </w:p>
    <w:p w14:paraId="1C9B36EC"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68.</w:t>
      </w:r>
      <w:r w:rsidRPr="005C470C">
        <w:rPr>
          <w:rFonts w:ascii="Times New Roman" w:hAnsi="Times New Roman" w:cs="Times New Roman"/>
          <w:noProof/>
        </w:rPr>
        <w:tab/>
        <w:t>Mohammed H, Čirgić E, Rizk MZ, Vandevska-Radunovic V. Effectiveness of prefabricated myofunctional appliances in the treatment of Class II division 1 malocclusion: a systematic review. European journal of orthodontics. 2020;42(2):125-34.</w:t>
      </w:r>
    </w:p>
    <w:p w14:paraId="0653D1F0"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69.</w:t>
      </w:r>
      <w:r w:rsidRPr="005C470C">
        <w:rPr>
          <w:rFonts w:ascii="Times New Roman" w:hAnsi="Times New Roman" w:cs="Times New Roman"/>
          <w:noProof/>
        </w:rPr>
        <w:tab/>
        <w:t>Nagendrababu V, Ahmed HMA, Pulikkotil SJ, Veettil SK, Dharmarajan L, Setzer FC. Anesthetic Efficacy of Gow-Gates, Vazirani-Akinosi, and Mental Incisive Nerve Blocks for Treatment of Symptomatic Irreversible Pulpitis: A Systematic Review and Meta-analysis with Trial Sequential Analysis. Journal of endodontics. 2019;45(10):1175-83. e3.</w:t>
      </w:r>
    </w:p>
    <w:p w14:paraId="5EB2930A"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70.</w:t>
      </w:r>
      <w:r w:rsidRPr="005C470C">
        <w:rPr>
          <w:rFonts w:ascii="Times New Roman" w:hAnsi="Times New Roman" w:cs="Times New Roman"/>
          <w:noProof/>
        </w:rPr>
        <w:tab/>
        <w:t>Né YGS, Martins BV, Castro MML, Alvarenga MOP, Fagundes NCF, Magno MB, et al. Is nutritional intervention an improvement factor in the management of periodontitis? A systematic review. Clinical Nutrition. 2019.</w:t>
      </w:r>
    </w:p>
    <w:p w14:paraId="29EC7C2B"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71.</w:t>
      </w:r>
      <w:r w:rsidRPr="005C470C">
        <w:rPr>
          <w:rFonts w:ascii="Times New Roman" w:hAnsi="Times New Roman" w:cs="Times New Roman"/>
          <w:noProof/>
        </w:rPr>
        <w:tab/>
        <w:t>Nibali L, Koidou VP, Nieri M, Barbato L, Pagliaro U, Cairo F. Regenerative surgery versus access flap for the treatment of intra‐bony periodontal defects: A systematic review and meta‐analysis. Journal of clinical periodontology. 2020;47:320-51.</w:t>
      </w:r>
    </w:p>
    <w:p w14:paraId="0B057BED"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lastRenderedPageBreak/>
        <w:t>72.</w:t>
      </w:r>
      <w:r w:rsidRPr="005C470C">
        <w:rPr>
          <w:rFonts w:ascii="Times New Roman" w:hAnsi="Times New Roman" w:cs="Times New Roman"/>
          <w:noProof/>
        </w:rPr>
        <w:tab/>
        <w:t xml:space="preserve">Niu X, Di Carlo G, Cornelis MA, Cattaneo PM. Three‐dimensional analyses of short‐and long‐term effects of rapid maxillary expansion on nasal cavity and upper airway: A systematic review and meta‐analysis. </w:t>
      </w:r>
      <w:r w:rsidRPr="002F6AEF">
        <w:rPr>
          <w:rFonts w:ascii="Times New Roman" w:hAnsi="Times New Roman" w:cs="Times New Roman"/>
          <w:noProof/>
          <w:lang w:val="pt-BR"/>
        </w:rPr>
        <w:t>Orthodontics &amp; craniofacial research. 2020.</w:t>
      </w:r>
    </w:p>
    <w:p w14:paraId="761BAA37"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73.</w:t>
      </w:r>
      <w:r w:rsidRPr="002F6AEF">
        <w:rPr>
          <w:rFonts w:ascii="Times New Roman" w:hAnsi="Times New Roman" w:cs="Times New Roman"/>
          <w:noProof/>
          <w:lang w:val="pt-BR"/>
        </w:rPr>
        <w:tab/>
        <w:t xml:space="preserve">Oliveira SR, Almeida TFA, da Silva TA, Mesquita RA, Abreu LG. </w:t>
      </w:r>
      <w:r w:rsidRPr="005C470C">
        <w:rPr>
          <w:rFonts w:ascii="Times New Roman" w:hAnsi="Times New Roman" w:cs="Times New Roman"/>
          <w:noProof/>
        </w:rPr>
        <w:t>Comparison of tissue artifacts in punch and scalpel biopsies of oral and maxillofacial lesions: A systematic review and meta-analysis. Journal of stomatology, oral and maxillofacial surgery. 2020.</w:t>
      </w:r>
    </w:p>
    <w:p w14:paraId="61020FD9"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74.</w:t>
      </w:r>
      <w:r w:rsidRPr="005C470C">
        <w:rPr>
          <w:rFonts w:ascii="Times New Roman" w:hAnsi="Times New Roman" w:cs="Times New Roman"/>
          <w:noProof/>
        </w:rPr>
        <w:tab/>
        <w:t>Omori Y, Lang NP, Botticelli D, Papageorgiou SN, Baba S. Biological and mechanical complications of angulated abutments connected to fixed dental prostheses: A systematic review with meta‐analysis. Journal of oral rehabilitation. 2020;47(1):101-11.</w:t>
      </w:r>
    </w:p>
    <w:p w14:paraId="184EF349"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75.</w:t>
      </w:r>
      <w:r w:rsidRPr="005C470C">
        <w:rPr>
          <w:rFonts w:ascii="Times New Roman" w:hAnsi="Times New Roman" w:cs="Times New Roman"/>
          <w:noProof/>
        </w:rPr>
        <w:tab/>
        <w:t>Papageorgiou SN, Koletsi D, Iliadi A, Peltomaki T, Eliades T. Treatment outcome with orthodontic aligners and fixed appliances: a systematic review with meta-analyses. European journal of orthodontics. 2020;42(3):331-43.</w:t>
      </w:r>
    </w:p>
    <w:p w14:paraId="328908C4"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76.</w:t>
      </w:r>
      <w:r w:rsidRPr="005C470C">
        <w:rPr>
          <w:rFonts w:ascii="Times New Roman" w:hAnsi="Times New Roman" w:cs="Times New Roman"/>
          <w:noProof/>
        </w:rPr>
        <w:tab/>
        <w:t>Pardal-Peláez B, Flores-Fraile J, Pardal-Refoyo JL, Montero J. Implant loss and crestal bone loss in immediate versus delayed load in edentulous mandibles: A systematic review and meta-analysis. The Journal of Prosthetic Dentistry. 2020.</w:t>
      </w:r>
    </w:p>
    <w:p w14:paraId="3BE949D0"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77.</w:t>
      </w:r>
      <w:r w:rsidRPr="005C470C">
        <w:rPr>
          <w:rFonts w:ascii="Times New Roman" w:hAnsi="Times New Roman" w:cs="Times New Roman"/>
          <w:noProof/>
        </w:rPr>
        <w:tab/>
        <w:t>Peng J, Shi Y, Wang J, Wang F, Dan H, Xu H, et al. Low-level laser therapy in the prevention and treatment of oral mucositis: a systematic review and meta-analysis. Oral Surgery, Oral Medicine, Oral Pathology and Oral Radiology. 2020.</w:t>
      </w:r>
    </w:p>
    <w:p w14:paraId="3BC5672C"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78.</w:t>
      </w:r>
      <w:r w:rsidRPr="005C470C">
        <w:rPr>
          <w:rFonts w:ascii="Times New Roman" w:hAnsi="Times New Roman" w:cs="Times New Roman"/>
          <w:noProof/>
        </w:rPr>
        <w:tab/>
        <w:t xml:space="preserve">Polak D, Wilensky A, Antonoglou GN, Shapira L, Goldstein M, Martin C. The Efficacy of Pocket Elimination/Reduction Compared to Access Flap Surgery: A Systematic Review and Meta‐analysis. </w:t>
      </w:r>
      <w:r w:rsidRPr="002F6AEF">
        <w:rPr>
          <w:rFonts w:ascii="Times New Roman" w:hAnsi="Times New Roman" w:cs="Times New Roman"/>
          <w:noProof/>
          <w:lang w:val="pt-BR"/>
        </w:rPr>
        <w:t>Journal of Clinical Periodontology. 2020.</w:t>
      </w:r>
    </w:p>
    <w:p w14:paraId="1A081FAB"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79.</w:t>
      </w:r>
      <w:r w:rsidRPr="002F6AEF">
        <w:rPr>
          <w:rFonts w:ascii="Times New Roman" w:hAnsi="Times New Roman" w:cs="Times New Roman"/>
          <w:noProof/>
          <w:lang w:val="pt-BR"/>
        </w:rPr>
        <w:tab/>
        <w:t xml:space="preserve">Prado IM, Carcavalli L, Abreu LG, Serra‐Negra JM, Paiva SM, Martins CC. </w:t>
      </w:r>
      <w:r w:rsidRPr="005C470C">
        <w:rPr>
          <w:rFonts w:ascii="Times New Roman" w:hAnsi="Times New Roman" w:cs="Times New Roman"/>
          <w:noProof/>
        </w:rPr>
        <w:t>Use of distraction techniques for the management of anxiety and fear in paediatric dental practice: A systematic review of randomized controlled trials. International Journal of Paediatric Dentistry. 2019;29(5):650-68.</w:t>
      </w:r>
    </w:p>
    <w:p w14:paraId="3B571E37"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80.</w:t>
      </w:r>
      <w:r w:rsidRPr="005C470C">
        <w:rPr>
          <w:rFonts w:ascii="Times New Roman" w:hAnsi="Times New Roman" w:cs="Times New Roman"/>
          <w:noProof/>
        </w:rPr>
        <w:tab/>
        <w:t>Riley P, Glenny A-M, Worthington HV, Jacobsen E, Robertson C, Durham J, et al. Oral splints for temporomandibular disorder or bruxism: a systematic review. British dental journal. 2020;228(3):191-7.</w:t>
      </w:r>
    </w:p>
    <w:p w14:paraId="26F3B92B"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81.</w:t>
      </w:r>
      <w:r w:rsidRPr="005C470C">
        <w:rPr>
          <w:rFonts w:ascii="Times New Roman" w:hAnsi="Times New Roman" w:cs="Times New Roman"/>
          <w:noProof/>
        </w:rPr>
        <w:tab/>
        <w:t>Robertson L, Kaur H, Fagundes NCF, Romanyk D, Major P, Flores Mir C. Effectiveness of clear aligner therapy for orthodontic treatment: A systematic review. Orthodontics &amp; craniofacial research. 2020;23(2):133-42.</w:t>
      </w:r>
    </w:p>
    <w:p w14:paraId="1456DC94"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82.</w:t>
      </w:r>
      <w:r w:rsidRPr="005C470C">
        <w:rPr>
          <w:rFonts w:ascii="Times New Roman" w:hAnsi="Times New Roman" w:cs="Times New Roman"/>
          <w:noProof/>
        </w:rPr>
        <w:tab/>
        <w:t>Ruksakiet K, Hanák L, Farkas N, Hegyi P, Sadaeng W, Czumbel LM, et al. Antimicrobial efficacy of chlorhexidine and sodium hypochlorite in root canal disinfection: A systematic review and meta-analysis of randomized controlled trials. Journal of Endodontics. 2020.</w:t>
      </w:r>
    </w:p>
    <w:p w14:paraId="0F870C45"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83.</w:t>
      </w:r>
      <w:r w:rsidRPr="005C470C">
        <w:rPr>
          <w:rFonts w:ascii="Times New Roman" w:hAnsi="Times New Roman" w:cs="Times New Roman"/>
          <w:noProof/>
        </w:rPr>
        <w:tab/>
        <w:t>Sakamoto Y, Furuhashi A, Komori E, Ishiyama H, Hasebe D, Sato K, et al. The Most Effective Amount of Forward Movement for Oral Appliances for Obstructive Sleep Apnea: A Systematic Review. International journal of environmental research and public health. 2019;16(18):3248.</w:t>
      </w:r>
    </w:p>
    <w:p w14:paraId="2215E47D"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84.</w:t>
      </w:r>
      <w:r w:rsidRPr="005C470C">
        <w:rPr>
          <w:rFonts w:ascii="Times New Roman" w:hAnsi="Times New Roman" w:cs="Times New Roman"/>
          <w:noProof/>
        </w:rPr>
        <w:tab/>
        <w:t>Sales P, Costa F, Cetira Filho E, Silva P, Albuquerque A, Leão J. Effect of maxillary advancement on speech and velopharyngeal function of patients with cleft palate: Systematic Review and Meta-Analysis. International journal of oral and maxillofacial surgery. 2020.</w:t>
      </w:r>
    </w:p>
    <w:p w14:paraId="45559BA3"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85.</w:t>
      </w:r>
      <w:r w:rsidRPr="005C470C">
        <w:rPr>
          <w:rFonts w:ascii="Times New Roman" w:hAnsi="Times New Roman" w:cs="Times New Roman"/>
          <w:noProof/>
        </w:rPr>
        <w:tab/>
        <w:t>Salgado KR, Wendt AR, Fagundes NCF, Maia LC, Normando D, Leão PB. Early or delayed palatoplasty in complete unilateral cleft lip and palate patients? A systematic review of the effects on maxillary growth. Journal of Cranio-Maxillofacial Surgery. 2019;47(11):1690-8.</w:t>
      </w:r>
    </w:p>
    <w:p w14:paraId="6F80787B"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lastRenderedPageBreak/>
        <w:t>86.</w:t>
      </w:r>
      <w:r w:rsidRPr="005C470C">
        <w:rPr>
          <w:rFonts w:ascii="Times New Roman" w:hAnsi="Times New Roman" w:cs="Times New Roman"/>
          <w:noProof/>
        </w:rPr>
        <w:tab/>
        <w:t>Sampaio FB, Özcan M, Gimenez TC, Moreira MS, Tedesco TK, Morimoto S. Effects of manufacturing methods on the survival rate of ceramic and indirect composite restorations: A systematic review and meta‐analysis. Journal of Esthetic and Restorative Dentistry. 2019;31(6):561-71.</w:t>
      </w:r>
    </w:p>
    <w:p w14:paraId="3F3300F8"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87.</w:t>
      </w:r>
      <w:r w:rsidRPr="005C470C">
        <w:rPr>
          <w:rFonts w:ascii="Times New Roman" w:hAnsi="Times New Roman" w:cs="Times New Roman"/>
          <w:noProof/>
        </w:rPr>
        <w:tab/>
        <w:t xml:space="preserve">Santana LG, Avelar K, Flores‐Mir C, Marques LS. Incremental or maximal mandibular advancement in the treatment of Class II malocclusion through functional appliances: a systematic review with meta‐analysis. </w:t>
      </w:r>
      <w:r w:rsidRPr="002F6AEF">
        <w:rPr>
          <w:rFonts w:ascii="Times New Roman" w:hAnsi="Times New Roman" w:cs="Times New Roman"/>
          <w:noProof/>
          <w:lang w:val="pt-BR"/>
        </w:rPr>
        <w:t>Orthodontics &amp; craniofacial research. 2020.</w:t>
      </w:r>
    </w:p>
    <w:p w14:paraId="6728B27D"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88.</w:t>
      </w:r>
      <w:r w:rsidRPr="002F6AEF">
        <w:rPr>
          <w:rFonts w:ascii="Times New Roman" w:hAnsi="Times New Roman" w:cs="Times New Roman"/>
          <w:noProof/>
          <w:lang w:val="pt-BR"/>
        </w:rPr>
        <w:tab/>
        <w:t xml:space="preserve">Santana LG, de Campos França E, Flores-Mir C, Abreu LG, Marques LS, Martins-Junior PA. </w:t>
      </w:r>
      <w:r w:rsidRPr="005C470C">
        <w:rPr>
          <w:rFonts w:ascii="Times New Roman" w:hAnsi="Times New Roman" w:cs="Times New Roman"/>
          <w:noProof/>
        </w:rPr>
        <w:t>Effects of lip bumper therapy on the mandibular arch dimensions of children and adolescents: A systematic review. American Journal of Orthodontics and Dentofacial Orthopedics. 2020;157(4):454-65. e1.</w:t>
      </w:r>
    </w:p>
    <w:p w14:paraId="72A7F4EC"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89.</w:t>
      </w:r>
      <w:r w:rsidRPr="005C470C">
        <w:rPr>
          <w:rFonts w:ascii="Times New Roman" w:hAnsi="Times New Roman" w:cs="Times New Roman"/>
          <w:noProof/>
        </w:rPr>
        <w:tab/>
        <w:t>Santana MLC, Leal PC, Reis A, Faria-e-Silva AL. Effect of anti-inflammatory and analgesic drugs for the prevention of bleaching-induced tooth sensitivity: A systematic review and meta-analysis. The Journal of the American Dental Association. 2019;150(10):818-29. e4.</w:t>
      </w:r>
    </w:p>
    <w:p w14:paraId="49D6B71F"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90.</w:t>
      </w:r>
      <w:r w:rsidRPr="005C470C">
        <w:rPr>
          <w:rFonts w:ascii="Times New Roman" w:hAnsi="Times New Roman" w:cs="Times New Roman"/>
          <w:noProof/>
        </w:rPr>
        <w:tab/>
        <w:t>Santos TdS, Osborne PR, Jacob ES, Araújo RTE, Nogueira CBP, Martins-Filho PRS. Effects of Water-Circulating Cooling Mask on Postoperative Outcomes in Orthognathic Surgery and Facial Trauma. Journal of Craniofacial Surgery. 2020;31(7):1981-5.</w:t>
      </w:r>
    </w:p>
    <w:p w14:paraId="35B628F1"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91.</w:t>
      </w:r>
      <w:r w:rsidRPr="005C470C">
        <w:rPr>
          <w:rFonts w:ascii="Times New Roman" w:hAnsi="Times New Roman" w:cs="Times New Roman"/>
          <w:noProof/>
        </w:rPr>
        <w:tab/>
        <w:t>Sardana D, Manchanda S, Ekambaram M, Yang Y, McGrath CP, Yiu CK. Effectiveness of self-applied topical fluorides against enamel white spot lesions from multi-bracketed fixed orthodontic treatment: a systematic review. European journal of orthodontics. 2019;41(6):661-8.</w:t>
      </w:r>
    </w:p>
    <w:p w14:paraId="35434BA0"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92.</w:t>
      </w:r>
      <w:r w:rsidRPr="005C470C">
        <w:rPr>
          <w:rFonts w:ascii="Times New Roman" w:hAnsi="Times New Roman" w:cs="Times New Roman"/>
          <w:noProof/>
        </w:rPr>
        <w:tab/>
        <w:t>Shahabee M, Shafaee H, Abtahi M, Rangrazi A, Bardideh E. Effect of micro-osteoperforation on the rate of orthodontic tooth movement—a systematic review and a meta-analysis. European journal of orthodontics. 2020;42(2):211-21.</w:t>
      </w:r>
    </w:p>
    <w:p w14:paraId="0B6C2915"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93.</w:t>
      </w:r>
      <w:r w:rsidRPr="005C470C">
        <w:rPr>
          <w:rFonts w:ascii="Times New Roman" w:hAnsi="Times New Roman" w:cs="Times New Roman"/>
          <w:noProof/>
        </w:rPr>
        <w:tab/>
        <w:t>Sivarajan S, Ringgingon LP, Fayed MMS, Wey MC. The effect of micro-osteoperforations on the rate of orthodontic tooth movement: A systematic review and meta-analysis. American Journal of Orthodontics and Dentofacial Orthopedics. 2020;157(3):290-304.</w:t>
      </w:r>
    </w:p>
    <w:p w14:paraId="412B2B4E"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94.</w:t>
      </w:r>
      <w:r w:rsidRPr="005C470C">
        <w:rPr>
          <w:rFonts w:ascii="Times New Roman" w:hAnsi="Times New Roman" w:cs="Times New Roman"/>
          <w:noProof/>
        </w:rPr>
        <w:tab/>
        <w:t>Smolarek PdC, Wambier LM, Siqueira Silva L, Chibinski ACR. Does computerized anaesthesia reduce pain during local anaesthesia in paediatric patients for dental treatment? A systematic review and meta‐analysis. International Journal of Paediatric Dentistry. 2020;30(2):118-35.</w:t>
      </w:r>
    </w:p>
    <w:p w14:paraId="26ECE256" w14:textId="77777777" w:rsidR="0008652B" w:rsidRPr="002F6AEF" w:rsidRDefault="0008652B" w:rsidP="0008652B">
      <w:pPr>
        <w:pStyle w:val="EndNoteBibliography"/>
        <w:rPr>
          <w:rFonts w:ascii="Times New Roman" w:hAnsi="Times New Roman" w:cs="Times New Roman"/>
          <w:noProof/>
          <w:lang w:val="pt-BR"/>
        </w:rPr>
      </w:pPr>
      <w:r w:rsidRPr="005C470C">
        <w:rPr>
          <w:rFonts w:ascii="Times New Roman" w:hAnsi="Times New Roman" w:cs="Times New Roman"/>
          <w:noProof/>
        </w:rPr>
        <w:t>95.</w:t>
      </w:r>
      <w:r w:rsidRPr="005C470C">
        <w:rPr>
          <w:rFonts w:ascii="Times New Roman" w:hAnsi="Times New Roman" w:cs="Times New Roman"/>
          <w:noProof/>
        </w:rPr>
        <w:tab/>
        <w:t xml:space="preserve">Sosly R, Mohammed H, Rizk MZ, Jamous E, Qaisi AG, Bearn DR. Effectiveness of miniscrew-supported maxillary incisor intrusion in deep-bite correction: A systematic review and meta-analysis. </w:t>
      </w:r>
      <w:r w:rsidRPr="002F6AEF">
        <w:rPr>
          <w:rFonts w:ascii="Times New Roman" w:hAnsi="Times New Roman" w:cs="Times New Roman"/>
          <w:noProof/>
          <w:lang w:val="pt-BR"/>
        </w:rPr>
        <w:t>The Angle orthodontist. 2020;90(2):291-304.</w:t>
      </w:r>
    </w:p>
    <w:p w14:paraId="740CF0ED" w14:textId="77777777" w:rsidR="0008652B" w:rsidRPr="005C470C" w:rsidRDefault="0008652B" w:rsidP="0008652B">
      <w:pPr>
        <w:pStyle w:val="EndNoteBibliography"/>
        <w:rPr>
          <w:rFonts w:ascii="Times New Roman" w:hAnsi="Times New Roman" w:cs="Times New Roman"/>
          <w:noProof/>
        </w:rPr>
      </w:pPr>
      <w:r w:rsidRPr="002F6AEF">
        <w:rPr>
          <w:rFonts w:ascii="Times New Roman" w:hAnsi="Times New Roman" w:cs="Times New Roman"/>
          <w:noProof/>
          <w:lang w:val="pt-BR"/>
        </w:rPr>
        <w:t>96.</w:t>
      </w:r>
      <w:r w:rsidRPr="002F6AEF">
        <w:rPr>
          <w:rFonts w:ascii="Times New Roman" w:hAnsi="Times New Roman" w:cs="Times New Roman"/>
          <w:noProof/>
          <w:lang w:val="pt-BR"/>
        </w:rPr>
        <w:tab/>
        <w:t xml:space="preserve">Sousa SJL, do Nascimento Poubel DL, de Lucas Rezende LVM, Almeida FT, de Toledo IP, Garcia FCP. </w:t>
      </w:r>
      <w:r w:rsidRPr="005C470C">
        <w:rPr>
          <w:rFonts w:ascii="Times New Roman" w:hAnsi="Times New Roman" w:cs="Times New Roman"/>
          <w:noProof/>
        </w:rPr>
        <w:t>Early clinical performance of resin cements in glass-ceramic posterior restorations in adult vital teeth: A systematic review and meta-analysis. The Journal of prosthetic dentistry. 2020;123(1):61-70.</w:t>
      </w:r>
    </w:p>
    <w:p w14:paraId="1074230B"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97.</w:t>
      </w:r>
      <w:r w:rsidRPr="005C470C">
        <w:rPr>
          <w:rFonts w:ascii="Times New Roman" w:hAnsi="Times New Roman" w:cs="Times New Roman"/>
          <w:noProof/>
        </w:rPr>
        <w:tab/>
        <w:t>Souza GM, Elias GM, Andrade PFP, Sales KNA, Galvão EL, Falci SGM. The effectiveness of hyaluronic acid in controlling pain, edema and trismus after extraction of third molars: systematic review and meta-analysis. Journal of Oral and Maxillofacial Surgery. 2020.</w:t>
      </w:r>
    </w:p>
    <w:p w14:paraId="25250412"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98.</w:t>
      </w:r>
      <w:r w:rsidRPr="005C470C">
        <w:rPr>
          <w:rFonts w:ascii="Times New Roman" w:hAnsi="Times New Roman" w:cs="Times New Roman"/>
          <w:noProof/>
        </w:rPr>
        <w:tab/>
        <w:t>Ta PCP, Dinh HQ, Nguyen K, Lin S, Ong YL, Ariyawardana A. Efficacy of gabapentin in the treatment of trigeminal neuralgia: A systematic review of randomized controlled trials. Journal of investigative and clinical dentistry. 2019;10(4):e12448.</w:t>
      </w:r>
    </w:p>
    <w:p w14:paraId="14F290E9"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lastRenderedPageBreak/>
        <w:t>99.</w:t>
      </w:r>
      <w:r w:rsidRPr="005C470C">
        <w:rPr>
          <w:rFonts w:ascii="Times New Roman" w:hAnsi="Times New Roman" w:cs="Times New Roman"/>
          <w:noProof/>
        </w:rPr>
        <w:tab/>
        <w:t>Tasios T, Papageorgiou SN, Papadopoulos MA, Tsapas A, Haidich AB. Prevention of orthodontic enamel demineralization: A systematic review with meta‐analyses. Orthodontics &amp; craniofacial research. 2019;22(4):225-35.</w:t>
      </w:r>
    </w:p>
    <w:p w14:paraId="3E14B7A0"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100.</w:t>
      </w:r>
      <w:r w:rsidRPr="005C470C">
        <w:rPr>
          <w:rFonts w:ascii="Times New Roman" w:hAnsi="Times New Roman" w:cs="Times New Roman"/>
          <w:noProof/>
        </w:rPr>
        <w:tab/>
        <w:t>Tattan M, Chambrone L, González‐Martín O, Avila‐Ortiz G. Static computer‐aided, partially guided, and free‐handed implant placement: A systematic review and meta‐analysis of randomized controlled trials. Clinical oral implants research. 2020;31(10):889-916.</w:t>
      </w:r>
    </w:p>
    <w:p w14:paraId="5D3A99CC"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101.</w:t>
      </w:r>
      <w:r w:rsidRPr="005C470C">
        <w:rPr>
          <w:rFonts w:ascii="Times New Roman" w:hAnsi="Times New Roman" w:cs="Times New Roman"/>
          <w:noProof/>
        </w:rPr>
        <w:tab/>
        <w:t>Taylor GD, Vernazza CR, Abdulmohsen B. Success of endodontic management of compromised first permanent molars in children: A systematic review. International Journal of Paediatric Dentistry. 2020;30(3):370-80.</w:t>
      </w:r>
    </w:p>
    <w:p w14:paraId="0F41BFDA"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102.</w:t>
      </w:r>
      <w:r w:rsidRPr="005C470C">
        <w:rPr>
          <w:rFonts w:ascii="Times New Roman" w:hAnsi="Times New Roman" w:cs="Times New Roman"/>
          <w:noProof/>
        </w:rPr>
        <w:tab/>
        <w:t>Valkenburg C, Else Slot D, Van der Weijden G. What is the effect of active ingredients in dentifrice on inhibiting the regrowth of overnight plaque? A systematic review. International journal of dental hygiene. 2020;18(2):128-41.</w:t>
      </w:r>
    </w:p>
    <w:p w14:paraId="43FB610C"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103.</w:t>
      </w:r>
      <w:r w:rsidRPr="005C470C">
        <w:rPr>
          <w:rFonts w:ascii="Times New Roman" w:hAnsi="Times New Roman" w:cs="Times New Roman"/>
          <w:noProof/>
        </w:rPr>
        <w:tab/>
        <w:t>Van Swaaij BW, Van der Weijden G, Bakker EW, Graziani F, Slot DE. Does chlorhexidine mouthwash, with an anti‐discoloration system, reduce tooth surface discoloration without losing its efficacy? A systematic review and meta‐analysis. International journal of dental hygiene. 2020;18(1):27-43.</w:t>
      </w:r>
    </w:p>
    <w:p w14:paraId="5D296280"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104.</w:t>
      </w:r>
      <w:r w:rsidRPr="005C470C">
        <w:rPr>
          <w:rFonts w:ascii="Times New Roman" w:hAnsi="Times New Roman" w:cs="Times New Roman"/>
          <w:noProof/>
        </w:rPr>
        <w:tab/>
        <w:t>Yan Q, Wu X, Su M, Hua F, Shi B. Short implants (≤ 6 mm) versus longer implants with sinus floor elevation in atrophic posterior maxilla: a systematic review and meta-analysis. BMJ open. 2019;9(10).</w:t>
      </w:r>
    </w:p>
    <w:p w14:paraId="0BCF86B9"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105.</w:t>
      </w:r>
      <w:r w:rsidRPr="005C470C">
        <w:rPr>
          <w:rFonts w:ascii="Times New Roman" w:hAnsi="Times New Roman" w:cs="Times New Roman"/>
          <w:noProof/>
        </w:rPr>
        <w:tab/>
        <w:t>Yap KCH, Pulikkotil SJ. Systemic doxycycline as an adjunct to scaling and root planing in diabetic patients with periodontitis: a systematic review and meta-analysis. BMC oral health. 2019;19(1):209.</w:t>
      </w:r>
    </w:p>
    <w:p w14:paraId="18ACB591"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106.</w:t>
      </w:r>
      <w:r w:rsidRPr="005C470C">
        <w:rPr>
          <w:rFonts w:ascii="Times New Roman" w:hAnsi="Times New Roman" w:cs="Times New Roman"/>
          <w:noProof/>
        </w:rPr>
        <w:tab/>
        <w:t>Zhang X, Hu Z, Zhu X, Li W, Chen J. Treating periodontitis-A systematic review and meta-analysis comparing ultrasonic and manual subgingival scaling at different probing pocket depths. 2020.</w:t>
      </w:r>
    </w:p>
    <w:p w14:paraId="20ABEDC1" w14:textId="77777777" w:rsidR="0008652B" w:rsidRPr="005C470C" w:rsidRDefault="0008652B" w:rsidP="0008652B">
      <w:pPr>
        <w:pStyle w:val="EndNoteBibliography"/>
        <w:rPr>
          <w:rFonts w:ascii="Times New Roman" w:hAnsi="Times New Roman" w:cs="Times New Roman"/>
          <w:noProof/>
        </w:rPr>
      </w:pPr>
      <w:r w:rsidRPr="005C470C">
        <w:rPr>
          <w:rFonts w:ascii="Times New Roman" w:hAnsi="Times New Roman" w:cs="Times New Roman"/>
          <w:noProof/>
        </w:rPr>
        <w:t>107.</w:t>
      </w:r>
      <w:r w:rsidRPr="005C470C">
        <w:rPr>
          <w:rFonts w:ascii="Times New Roman" w:hAnsi="Times New Roman" w:cs="Times New Roman"/>
          <w:noProof/>
        </w:rPr>
        <w:tab/>
        <w:t>Zhao D, Khawaja AT, Jin L, Chan KW, Tonetti M, Tang SCW, et al. Effect of non-surgical periodontal therapy on renal function in chronic kidney disease patients with periodontitis: a systematic review and meta-analysis of interventional studies. Clinical oral investigations. 2020;24(4):1607-18.</w:t>
      </w:r>
    </w:p>
    <w:p w14:paraId="7D99E7F8" w14:textId="00C1AA39" w:rsidR="00434FEC" w:rsidRPr="005C470C" w:rsidRDefault="00434FEC">
      <w:pPr>
        <w:rPr>
          <w:rFonts w:ascii="Times New Roman" w:hAnsi="Times New Roman" w:cs="Times New Roman"/>
          <w:b/>
          <w:bCs/>
          <w:sz w:val="20"/>
          <w:szCs w:val="20"/>
          <w:lang w:val="en-US"/>
        </w:rPr>
      </w:pPr>
      <w:r w:rsidRPr="005C470C">
        <w:rPr>
          <w:rFonts w:ascii="Times New Roman" w:hAnsi="Times New Roman" w:cs="Times New Roman"/>
          <w:b/>
          <w:bCs/>
          <w:sz w:val="20"/>
          <w:szCs w:val="20"/>
          <w:lang w:val="en-US"/>
        </w:rPr>
        <w:fldChar w:fldCharType="end"/>
      </w:r>
    </w:p>
    <w:sectPr w:rsidR="00434FEC" w:rsidRPr="005C470C" w:rsidSect="00BA18E4">
      <w:pgSz w:w="16840" w:h="1190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2"/>
  <w:activeWritingStyle w:appName="MSWord" w:lang="pt-BR" w:vendorID="64" w:dllVersion="6" w:nlCheck="1" w:checkStyle="0"/>
  <w:activeWritingStyle w:appName="MSWord" w:lang="en-US" w:vendorID="64" w:dllVersion="6" w:nlCheck="1" w:checkStyle="1"/>
  <w:activeWritingStyle w:appName="MSWord" w:lang="en-US" w:vendorID="64" w:dllVersion="0" w:nlCheck="1" w:checkStyle="0"/>
  <w:activeWritingStyle w:appName="MSWord" w:lang="pt-BR" w:vendorID="64" w:dllVersion="0"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 (superscript)&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fv5a2shx52dqesxzmpffeqzt5ffxae2vev&quot;&gt;Escrita GRADE&lt;record-ids&gt;&lt;item&gt;20822&lt;/item&gt;&lt;item&gt;20823&lt;/item&gt;&lt;item&gt;20825&lt;/item&gt;&lt;item&gt;20826&lt;/item&gt;&lt;item&gt;20827&lt;/item&gt;&lt;item&gt;20828&lt;/item&gt;&lt;item&gt;20842&lt;/item&gt;&lt;item&gt;20843&lt;/item&gt;&lt;item&gt;20844&lt;/item&gt;&lt;item&gt;20845&lt;/item&gt;&lt;item&gt;20846&lt;/item&gt;&lt;item&gt;20847&lt;/item&gt;&lt;item&gt;20848&lt;/item&gt;&lt;item&gt;20849&lt;/item&gt;&lt;item&gt;20850&lt;/item&gt;&lt;item&gt;20851&lt;/item&gt;&lt;item&gt;20864&lt;/item&gt;&lt;item&gt;20865&lt;/item&gt;&lt;item&gt;20866&lt;/item&gt;&lt;item&gt;20867&lt;/item&gt;&lt;item&gt;20868&lt;/item&gt;&lt;item&gt;20869&lt;/item&gt;&lt;item&gt;20870&lt;/item&gt;&lt;item&gt;20871&lt;/item&gt;&lt;item&gt;20872&lt;/item&gt;&lt;item&gt;20873&lt;/item&gt;&lt;item&gt;20884&lt;/item&gt;&lt;item&gt;20885&lt;/item&gt;&lt;item&gt;20886&lt;/item&gt;&lt;item&gt;20887&lt;/item&gt;&lt;item&gt;20888&lt;/item&gt;&lt;item&gt;20889&lt;/item&gt;&lt;item&gt;20890&lt;/item&gt;&lt;item&gt;20891&lt;/item&gt;&lt;item&gt;20892&lt;/item&gt;&lt;item&gt;20893&lt;/item&gt;&lt;item&gt;20904&lt;/item&gt;&lt;item&gt;20905&lt;/item&gt;&lt;item&gt;20906&lt;/item&gt;&lt;item&gt;20907&lt;/item&gt;&lt;item&gt;20908&lt;/item&gt;&lt;item&gt;20909&lt;/item&gt;&lt;item&gt;20910&lt;/item&gt;&lt;item&gt;20911&lt;/item&gt;&lt;item&gt;20912&lt;/item&gt;&lt;item&gt;20913&lt;/item&gt;&lt;item&gt;20924&lt;/item&gt;&lt;item&gt;20925&lt;/item&gt;&lt;item&gt;20926&lt;/item&gt;&lt;item&gt;20927&lt;/item&gt;&lt;item&gt;20928&lt;/item&gt;&lt;item&gt;20929&lt;/item&gt;&lt;item&gt;20930&lt;/item&gt;&lt;item&gt;20931&lt;/item&gt;&lt;item&gt;20932&lt;/item&gt;&lt;item&gt;20933&lt;/item&gt;&lt;item&gt;20944&lt;/item&gt;&lt;item&gt;20945&lt;/item&gt;&lt;item&gt;20946&lt;/item&gt;&lt;item&gt;20947&lt;/item&gt;&lt;item&gt;20948&lt;/item&gt;&lt;item&gt;20949&lt;/item&gt;&lt;item&gt;20950&lt;/item&gt;&lt;item&gt;20951&lt;/item&gt;&lt;item&gt;20952&lt;/item&gt;&lt;item&gt;20953&lt;/item&gt;&lt;item&gt;20964&lt;/item&gt;&lt;item&gt;20965&lt;/item&gt;&lt;item&gt;20966&lt;/item&gt;&lt;item&gt;20967&lt;/item&gt;&lt;item&gt;20968&lt;/item&gt;&lt;item&gt;20969&lt;/item&gt;&lt;item&gt;20970&lt;/item&gt;&lt;item&gt;20971&lt;/item&gt;&lt;item&gt;20972&lt;/item&gt;&lt;item&gt;20973&lt;/item&gt;&lt;item&gt;20984&lt;/item&gt;&lt;item&gt;20986&lt;/item&gt;&lt;item&gt;20987&lt;/item&gt;&lt;item&gt;20989&lt;/item&gt;&lt;item&gt;20990&lt;/item&gt;&lt;item&gt;20993&lt;/item&gt;&lt;item&gt;21005&lt;/item&gt;&lt;item&gt;21008&lt;/item&gt;&lt;item&gt;21011&lt;/item&gt;&lt;item&gt;21012&lt;/item&gt;&lt;item&gt;21024&lt;/item&gt;&lt;item&gt;21025&lt;/item&gt;&lt;item&gt;21026&lt;/item&gt;&lt;item&gt;21027&lt;/item&gt;&lt;item&gt;21028&lt;/item&gt;&lt;item&gt;21029&lt;/item&gt;&lt;item&gt;21030&lt;/item&gt;&lt;item&gt;21031&lt;/item&gt;&lt;item&gt;21032&lt;/item&gt;&lt;item&gt;21033&lt;/item&gt;&lt;item&gt;21044&lt;/item&gt;&lt;item&gt;21045&lt;/item&gt;&lt;item&gt;21046&lt;/item&gt;&lt;item&gt;21047&lt;/item&gt;&lt;item&gt;21048&lt;/item&gt;&lt;item&gt;21049&lt;/item&gt;&lt;item&gt;21050&lt;/item&gt;&lt;item&gt;21051&lt;/item&gt;&lt;item&gt;21052&lt;/item&gt;&lt;item&gt;21053&lt;/item&gt;&lt;item&gt;21056&lt;/item&gt;&lt;/record-ids&gt;&lt;/item&gt;&lt;/Libraries&gt;"/>
  </w:docVars>
  <w:rsids>
    <w:rsidRoot w:val="00BA18E4"/>
    <w:rsid w:val="00004AF4"/>
    <w:rsid w:val="00030295"/>
    <w:rsid w:val="00054F9B"/>
    <w:rsid w:val="0008652B"/>
    <w:rsid w:val="0009132C"/>
    <w:rsid w:val="00105D8D"/>
    <w:rsid w:val="00114AF5"/>
    <w:rsid w:val="001157CA"/>
    <w:rsid w:val="00156391"/>
    <w:rsid w:val="00156AF5"/>
    <w:rsid w:val="001607B9"/>
    <w:rsid w:val="00161C46"/>
    <w:rsid w:val="00181FB9"/>
    <w:rsid w:val="001A1A8A"/>
    <w:rsid w:val="001E6545"/>
    <w:rsid w:val="001F64FB"/>
    <w:rsid w:val="002332D1"/>
    <w:rsid w:val="002914BB"/>
    <w:rsid w:val="002B33BC"/>
    <w:rsid w:val="002B4A3F"/>
    <w:rsid w:val="002F2932"/>
    <w:rsid w:val="002F6AEF"/>
    <w:rsid w:val="002F7F64"/>
    <w:rsid w:val="00324237"/>
    <w:rsid w:val="003507B7"/>
    <w:rsid w:val="003578CB"/>
    <w:rsid w:val="00371ACF"/>
    <w:rsid w:val="003A2B53"/>
    <w:rsid w:val="003C128D"/>
    <w:rsid w:val="003C7E86"/>
    <w:rsid w:val="003F0426"/>
    <w:rsid w:val="00403513"/>
    <w:rsid w:val="00434FEC"/>
    <w:rsid w:val="00444B7F"/>
    <w:rsid w:val="004563B5"/>
    <w:rsid w:val="0047239C"/>
    <w:rsid w:val="00491835"/>
    <w:rsid w:val="004B61C1"/>
    <w:rsid w:val="004D1EAA"/>
    <w:rsid w:val="004D4554"/>
    <w:rsid w:val="004D65F7"/>
    <w:rsid w:val="00520D5A"/>
    <w:rsid w:val="005216B8"/>
    <w:rsid w:val="005B00F6"/>
    <w:rsid w:val="005C470C"/>
    <w:rsid w:val="005D5885"/>
    <w:rsid w:val="005E7510"/>
    <w:rsid w:val="006140F6"/>
    <w:rsid w:val="006163BD"/>
    <w:rsid w:val="006226A8"/>
    <w:rsid w:val="0062586C"/>
    <w:rsid w:val="0062619D"/>
    <w:rsid w:val="00630112"/>
    <w:rsid w:val="0064382C"/>
    <w:rsid w:val="00674284"/>
    <w:rsid w:val="00693232"/>
    <w:rsid w:val="00693F4D"/>
    <w:rsid w:val="006D0D48"/>
    <w:rsid w:val="00717D64"/>
    <w:rsid w:val="00726290"/>
    <w:rsid w:val="00775844"/>
    <w:rsid w:val="007C50DA"/>
    <w:rsid w:val="007D52E1"/>
    <w:rsid w:val="007F5906"/>
    <w:rsid w:val="008466C6"/>
    <w:rsid w:val="00880EF7"/>
    <w:rsid w:val="00881560"/>
    <w:rsid w:val="00890AB1"/>
    <w:rsid w:val="008B54AD"/>
    <w:rsid w:val="009063E7"/>
    <w:rsid w:val="00915691"/>
    <w:rsid w:val="009204E5"/>
    <w:rsid w:val="00925DE6"/>
    <w:rsid w:val="009314F4"/>
    <w:rsid w:val="00947FEF"/>
    <w:rsid w:val="00963C08"/>
    <w:rsid w:val="0096594E"/>
    <w:rsid w:val="009725F3"/>
    <w:rsid w:val="009734AA"/>
    <w:rsid w:val="009B6537"/>
    <w:rsid w:val="009D1913"/>
    <w:rsid w:val="00A10EE0"/>
    <w:rsid w:val="00A31C48"/>
    <w:rsid w:val="00A44971"/>
    <w:rsid w:val="00A53E66"/>
    <w:rsid w:val="00A55A0A"/>
    <w:rsid w:val="00A70A8C"/>
    <w:rsid w:val="00AF5F1B"/>
    <w:rsid w:val="00B0003F"/>
    <w:rsid w:val="00B0457E"/>
    <w:rsid w:val="00B16511"/>
    <w:rsid w:val="00B37265"/>
    <w:rsid w:val="00B379AC"/>
    <w:rsid w:val="00B431E0"/>
    <w:rsid w:val="00B63FE6"/>
    <w:rsid w:val="00BA18E4"/>
    <w:rsid w:val="00BA514D"/>
    <w:rsid w:val="00BC17DB"/>
    <w:rsid w:val="00BD6C9D"/>
    <w:rsid w:val="00BF136F"/>
    <w:rsid w:val="00C01468"/>
    <w:rsid w:val="00C14A0D"/>
    <w:rsid w:val="00C444A0"/>
    <w:rsid w:val="00C522C5"/>
    <w:rsid w:val="00C53143"/>
    <w:rsid w:val="00C96592"/>
    <w:rsid w:val="00CB20C6"/>
    <w:rsid w:val="00CC7C79"/>
    <w:rsid w:val="00D11E5E"/>
    <w:rsid w:val="00D121CD"/>
    <w:rsid w:val="00D137A4"/>
    <w:rsid w:val="00D472D4"/>
    <w:rsid w:val="00D9203A"/>
    <w:rsid w:val="00DA4084"/>
    <w:rsid w:val="00DB3364"/>
    <w:rsid w:val="00DB3787"/>
    <w:rsid w:val="00DB7F4A"/>
    <w:rsid w:val="00DC29BB"/>
    <w:rsid w:val="00DC5ECE"/>
    <w:rsid w:val="00DF235B"/>
    <w:rsid w:val="00DF561E"/>
    <w:rsid w:val="00E26A51"/>
    <w:rsid w:val="00E27791"/>
    <w:rsid w:val="00E31336"/>
    <w:rsid w:val="00E35D48"/>
    <w:rsid w:val="00E36F01"/>
    <w:rsid w:val="00EF4E31"/>
    <w:rsid w:val="00EF5009"/>
    <w:rsid w:val="00F01D22"/>
    <w:rsid w:val="00F30544"/>
    <w:rsid w:val="00F3196E"/>
    <w:rsid w:val="00F439CD"/>
    <w:rsid w:val="00F64780"/>
    <w:rsid w:val="00F64F1E"/>
    <w:rsid w:val="00F845D4"/>
    <w:rsid w:val="00F85A8B"/>
    <w:rsid w:val="00F919C8"/>
    <w:rsid w:val="00FB0156"/>
    <w:rsid w:val="00FB7D8B"/>
    <w:rsid w:val="00FC0BBD"/>
    <w:rsid w:val="00FC6CBE"/>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FCAEA0"/>
  <w15:docId w15:val="{F521DD2E-D7D4-914F-85F1-4F68E72B7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751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B37265"/>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B37265"/>
    <w:rPr>
      <w:rFonts w:ascii="Times New Roman" w:hAnsi="Times New Roman" w:cs="Times New Roman"/>
      <w:sz w:val="18"/>
      <w:szCs w:val="18"/>
    </w:rPr>
  </w:style>
  <w:style w:type="character" w:styleId="Hyperlink">
    <w:name w:val="Hyperlink"/>
    <w:basedOn w:val="Fontepargpadro"/>
    <w:uiPriority w:val="99"/>
    <w:semiHidden/>
    <w:unhideWhenUsed/>
    <w:rsid w:val="00BA18E4"/>
    <w:rPr>
      <w:color w:val="1155CC"/>
      <w:u w:val="single"/>
    </w:rPr>
  </w:style>
  <w:style w:type="character" w:styleId="HiperlinkVisitado">
    <w:name w:val="FollowedHyperlink"/>
    <w:basedOn w:val="Fontepargpadro"/>
    <w:uiPriority w:val="99"/>
    <w:semiHidden/>
    <w:unhideWhenUsed/>
    <w:rsid w:val="00BA18E4"/>
    <w:rPr>
      <w:color w:val="1155CC"/>
      <w:u w:val="single"/>
    </w:rPr>
  </w:style>
  <w:style w:type="paragraph" w:customStyle="1" w:styleId="msonormal0">
    <w:name w:val="msonormal"/>
    <w:basedOn w:val="Normal"/>
    <w:rsid w:val="00BA18E4"/>
    <w:pPr>
      <w:spacing w:before="100" w:beforeAutospacing="1" w:after="100" w:afterAutospacing="1"/>
    </w:pPr>
    <w:rPr>
      <w:rFonts w:ascii="Times New Roman" w:eastAsia="Times New Roman" w:hAnsi="Times New Roman" w:cs="Times New Roman"/>
      <w:lang w:eastAsia="pt-BR"/>
    </w:rPr>
  </w:style>
  <w:style w:type="paragraph" w:customStyle="1" w:styleId="font0">
    <w:name w:val="font0"/>
    <w:basedOn w:val="Normal"/>
    <w:rsid w:val="00BA18E4"/>
    <w:pPr>
      <w:spacing w:before="100" w:beforeAutospacing="1" w:after="100" w:afterAutospacing="1"/>
    </w:pPr>
    <w:rPr>
      <w:rFonts w:ascii="Arial" w:eastAsia="Times New Roman" w:hAnsi="Arial" w:cs="Arial"/>
      <w:color w:val="000000"/>
      <w:sz w:val="20"/>
      <w:szCs w:val="20"/>
      <w:lang w:eastAsia="pt-BR"/>
    </w:rPr>
  </w:style>
  <w:style w:type="paragraph" w:customStyle="1" w:styleId="font5">
    <w:name w:val="font5"/>
    <w:basedOn w:val="Normal"/>
    <w:rsid w:val="00BA18E4"/>
    <w:pPr>
      <w:spacing w:before="100" w:beforeAutospacing="1" w:after="100" w:afterAutospacing="1"/>
    </w:pPr>
    <w:rPr>
      <w:rFonts w:ascii="Arial" w:eastAsia="Times New Roman" w:hAnsi="Arial" w:cs="Arial"/>
      <w:sz w:val="20"/>
      <w:szCs w:val="20"/>
      <w:lang w:eastAsia="pt-BR"/>
    </w:rPr>
  </w:style>
  <w:style w:type="paragraph" w:customStyle="1" w:styleId="font6">
    <w:name w:val="font6"/>
    <w:basedOn w:val="Normal"/>
    <w:rsid w:val="00BA18E4"/>
    <w:pPr>
      <w:spacing w:before="100" w:beforeAutospacing="1" w:after="100" w:afterAutospacing="1"/>
    </w:pPr>
    <w:rPr>
      <w:rFonts w:ascii="Arial" w:eastAsia="Times New Roman" w:hAnsi="Arial" w:cs="Arial"/>
      <w:b/>
      <w:bCs/>
      <w:sz w:val="20"/>
      <w:szCs w:val="20"/>
      <w:lang w:eastAsia="pt-BR"/>
    </w:rPr>
  </w:style>
  <w:style w:type="paragraph" w:customStyle="1" w:styleId="font7">
    <w:name w:val="font7"/>
    <w:basedOn w:val="Normal"/>
    <w:rsid w:val="00BA18E4"/>
    <w:pPr>
      <w:spacing w:before="100" w:beforeAutospacing="1" w:after="100" w:afterAutospacing="1"/>
    </w:pPr>
    <w:rPr>
      <w:rFonts w:ascii="Arial" w:eastAsia="Times New Roman" w:hAnsi="Arial" w:cs="Arial"/>
      <w:color w:val="000000"/>
      <w:sz w:val="20"/>
      <w:szCs w:val="20"/>
      <w:lang w:eastAsia="pt-BR"/>
    </w:rPr>
  </w:style>
  <w:style w:type="paragraph" w:customStyle="1" w:styleId="font8">
    <w:name w:val="font8"/>
    <w:basedOn w:val="Normal"/>
    <w:rsid w:val="00BA18E4"/>
    <w:pPr>
      <w:spacing w:before="100" w:beforeAutospacing="1" w:after="100" w:afterAutospacing="1"/>
    </w:pPr>
    <w:rPr>
      <w:rFonts w:ascii="Arial" w:eastAsia="Times New Roman" w:hAnsi="Arial" w:cs="Arial"/>
      <w:color w:val="FF0000"/>
      <w:sz w:val="20"/>
      <w:szCs w:val="20"/>
      <w:lang w:eastAsia="pt-BR"/>
    </w:rPr>
  </w:style>
  <w:style w:type="paragraph" w:customStyle="1" w:styleId="font9">
    <w:name w:val="font9"/>
    <w:basedOn w:val="Normal"/>
    <w:rsid w:val="00BA18E4"/>
    <w:pPr>
      <w:spacing w:before="100" w:beforeAutospacing="1" w:after="100" w:afterAutospacing="1"/>
    </w:pPr>
    <w:rPr>
      <w:rFonts w:ascii="Arial" w:eastAsia="Times New Roman" w:hAnsi="Arial" w:cs="Arial"/>
      <w:b/>
      <w:bCs/>
      <w:color w:val="000000"/>
      <w:sz w:val="20"/>
      <w:szCs w:val="20"/>
      <w:lang w:eastAsia="pt-BR"/>
    </w:rPr>
  </w:style>
  <w:style w:type="paragraph" w:customStyle="1" w:styleId="font10">
    <w:name w:val="font10"/>
    <w:basedOn w:val="Normal"/>
    <w:rsid w:val="00BA18E4"/>
    <w:pPr>
      <w:spacing w:before="100" w:beforeAutospacing="1" w:after="100" w:afterAutospacing="1"/>
    </w:pPr>
    <w:rPr>
      <w:rFonts w:ascii="Arial" w:eastAsia="Times New Roman" w:hAnsi="Arial" w:cs="Arial"/>
      <w:color w:val="000000"/>
      <w:sz w:val="20"/>
      <w:szCs w:val="20"/>
      <w:lang w:eastAsia="pt-BR"/>
    </w:rPr>
  </w:style>
  <w:style w:type="paragraph" w:customStyle="1" w:styleId="font11">
    <w:name w:val="font11"/>
    <w:basedOn w:val="Normal"/>
    <w:rsid w:val="00BA18E4"/>
    <w:pPr>
      <w:spacing w:before="100" w:beforeAutospacing="1" w:after="100" w:afterAutospacing="1"/>
    </w:pPr>
    <w:rPr>
      <w:rFonts w:ascii="Arial" w:eastAsia="Times New Roman" w:hAnsi="Arial" w:cs="Arial"/>
      <w:b/>
      <w:bCs/>
      <w:color w:val="000000"/>
      <w:sz w:val="20"/>
      <w:szCs w:val="20"/>
      <w:u w:val="single"/>
      <w:lang w:eastAsia="pt-BR"/>
    </w:rPr>
  </w:style>
  <w:style w:type="paragraph" w:customStyle="1" w:styleId="font12">
    <w:name w:val="font12"/>
    <w:basedOn w:val="Normal"/>
    <w:rsid w:val="00BA18E4"/>
    <w:pPr>
      <w:spacing w:before="100" w:beforeAutospacing="1" w:after="100" w:afterAutospacing="1"/>
    </w:pPr>
    <w:rPr>
      <w:rFonts w:ascii="Arial" w:eastAsia="Times New Roman" w:hAnsi="Arial" w:cs="Arial"/>
      <w:color w:val="EA4335"/>
      <w:sz w:val="20"/>
      <w:szCs w:val="20"/>
      <w:lang w:eastAsia="pt-BR"/>
    </w:rPr>
  </w:style>
  <w:style w:type="paragraph" w:customStyle="1" w:styleId="font13">
    <w:name w:val="font13"/>
    <w:basedOn w:val="Normal"/>
    <w:rsid w:val="00BA18E4"/>
    <w:pPr>
      <w:spacing w:before="100" w:beforeAutospacing="1" w:after="100" w:afterAutospacing="1"/>
    </w:pPr>
    <w:rPr>
      <w:rFonts w:ascii="Segoe UI" w:eastAsia="Times New Roman" w:hAnsi="Segoe UI" w:cs="Segoe UI"/>
      <w:b/>
      <w:bCs/>
      <w:color w:val="000000"/>
      <w:sz w:val="18"/>
      <w:szCs w:val="18"/>
      <w:lang w:eastAsia="pt-BR"/>
    </w:rPr>
  </w:style>
  <w:style w:type="paragraph" w:customStyle="1" w:styleId="font14">
    <w:name w:val="font14"/>
    <w:basedOn w:val="Normal"/>
    <w:rsid w:val="00BA18E4"/>
    <w:pPr>
      <w:spacing w:before="100" w:beforeAutospacing="1" w:after="100" w:afterAutospacing="1"/>
    </w:pPr>
    <w:rPr>
      <w:rFonts w:ascii="Segoe UI" w:eastAsia="Times New Roman" w:hAnsi="Segoe UI" w:cs="Segoe UI"/>
      <w:color w:val="000000"/>
      <w:sz w:val="18"/>
      <w:szCs w:val="18"/>
      <w:lang w:eastAsia="pt-BR"/>
    </w:rPr>
  </w:style>
  <w:style w:type="paragraph" w:customStyle="1" w:styleId="xl65">
    <w:name w:val="xl65"/>
    <w:basedOn w:val="Normal"/>
    <w:rsid w:val="00BA18E4"/>
    <w:pPr>
      <w:pBdr>
        <w:top w:val="single" w:sz="4" w:space="0" w:color="000000"/>
        <w:left w:val="single" w:sz="4" w:space="0" w:color="000000"/>
        <w:bottom w:val="single" w:sz="4" w:space="0" w:color="000000"/>
        <w:right w:val="single" w:sz="4" w:space="0" w:color="000000"/>
      </w:pBdr>
      <w:shd w:val="clear" w:color="D5A6BD" w:fill="8CB5F9"/>
      <w:spacing w:before="100" w:beforeAutospacing="1" w:after="100" w:afterAutospacing="1"/>
      <w:jc w:val="center"/>
      <w:textAlignment w:val="center"/>
    </w:pPr>
    <w:rPr>
      <w:rFonts w:ascii="Arial" w:eastAsia="Times New Roman" w:hAnsi="Arial" w:cs="Arial"/>
      <w:b/>
      <w:bCs/>
      <w:lang w:eastAsia="pt-BR"/>
    </w:rPr>
  </w:style>
  <w:style w:type="paragraph" w:customStyle="1" w:styleId="xl66">
    <w:name w:val="xl66"/>
    <w:basedOn w:val="Normal"/>
    <w:rsid w:val="00BA18E4"/>
    <w:pPr>
      <w:pBdr>
        <w:top w:val="single" w:sz="4" w:space="0" w:color="000000"/>
        <w:left w:val="single" w:sz="4" w:space="0" w:color="000000"/>
        <w:right w:val="single" w:sz="4" w:space="0" w:color="000000"/>
      </w:pBdr>
      <w:shd w:val="clear" w:color="D5A6BD" w:fill="8CB5F9"/>
      <w:spacing w:before="100" w:beforeAutospacing="1" w:after="100" w:afterAutospacing="1"/>
      <w:jc w:val="center"/>
      <w:textAlignment w:val="center"/>
    </w:pPr>
    <w:rPr>
      <w:rFonts w:ascii="Arial" w:eastAsia="Times New Roman" w:hAnsi="Arial" w:cs="Arial"/>
      <w:b/>
      <w:bCs/>
      <w:color w:val="000000"/>
      <w:lang w:eastAsia="pt-BR"/>
    </w:rPr>
  </w:style>
  <w:style w:type="paragraph" w:customStyle="1" w:styleId="xl67">
    <w:name w:val="xl67"/>
    <w:basedOn w:val="Normal"/>
    <w:rsid w:val="00BA18E4"/>
    <w:pPr>
      <w:pBdr>
        <w:top w:val="single" w:sz="4" w:space="0" w:color="000000"/>
        <w:left w:val="single" w:sz="4" w:space="0" w:color="000000"/>
        <w:bottom w:val="single" w:sz="4" w:space="0" w:color="000000"/>
      </w:pBdr>
      <w:shd w:val="clear" w:color="D5A6BD" w:fill="8CB5F9"/>
      <w:spacing w:before="100" w:beforeAutospacing="1" w:after="100" w:afterAutospacing="1"/>
      <w:textAlignment w:val="center"/>
    </w:pPr>
    <w:rPr>
      <w:rFonts w:ascii="Arial" w:eastAsia="Times New Roman" w:hAnsi="Arial" w:cs="Arial"/>
      <w:b/>
      <w:bCs/>
      <w:color w:val="000000"/>
      <w:lang w:eastAsia="pt-BR"/>
    </w:rPr>
  </w:style>
  <w:style w:type="paragraph" w:customStyle="1" w:styleId="xl68">
    <w:name w:val="xl68"/>
    <w:basedOn w:val="Normal"/>
    <w:rsid w:val="00BA18E4"/>
    <w:pPr>
      <w:pBdr>
        <w:top w:val="single" w:sz="4" w:space="0" w:color="000000"/>
        <w:bottom w:val="single" w:sz="4" w:space="0" w:color="000000"/>
      </w:pBdr>
      <w:shd w:val="clear" w:color="D5A6BD" w:fill="8CB5F9"/>
      <w:spacing w:before="100" w:beforeAutospacing="1" w:after="100" w:afterAutospacing="1"/>
      <w:textAlignment w:val="center"/>
    </w:pPr>
    <w:rPr>
      <w:rFonts w:ascii="Arial" w:eastAsia="Times New Roman" w:hAnsi="Arial" w:cs="Arial"/>
      <w:b/>
      <w:bCs/>
      <w:color w:val="000000"/>
      <w:lang w:eastAsia="pt-BR"/>
    </w:rPr>
  </w:style>
  <w:style w:type="paragraph" w:customStyle="1" w:styleId="xl69">
    <w:name w:val="xl69"/>
    <w:basedOn w:val="Normal"/>
    <w:rsid w:val="00BA18E4"/>
    <w:pPr>
      <w:pBdr>
        <w:top w:val="single" w:sz="4" w:space="0" w:color="000000"/>
        <w:bottom w:val="single" w:sz="4" w:space="0" w:color="000000"/>
        <w:right w:val="single" w:sz="4" w:space="0" w:color="auto"/>
      </w:pBdr>
      <w:shd w:val="clear" w:color="D5A6BD" w:fill="8CB5F9"/>
      <w:spacing w:before="100" w:beforeAutospacing="1" w:after="100" w:afterAutospacing="1"/>
      <w:textAlignment w:val="center"/>
    </w:pPr>
    <w:rPr>
      <w:rFonts w:ascii="Arial" w:eastAsia="Times New Roman" w:hAnsi="Arial" w:cs="Arial"/>
      <w:b/>
      <w:bCs/>
      <w:color w:val="000000"/>
      <w:lang w:eastAsia="pt-BR"/>
    </w:rPr>
  </w:style>
  <w:style w:type="paragraph" w:customStyle="1" w:styleId="xl70">
    <w:name w:val="xl70"/>
    <w:basedOn w:val="Normal"/>
    <w:rsid w:val="00BA18E4"/>
    <w:pPr>
      <w:pBdr>
        <w:top w:val="single" w:sz="4" w:space="0" w:color="000000"/>
        <w:left w:val="single" w:sz="4" w:space="0" w:color="auto"/>
        <w:bottom w:val="single" w:sz="4" w:space="0" w:color="000000"/>
      </w:pBdr>
      <w:shd w:val="clear" w:color="D5A6BD" w:fill="8CB5F9"/>
      <w:spacing w:before="100" w:beforeAutospacing="1" w:after="100" w:afterAutospacing="1"/>
      <w:textAlignment w:val="center"/>
    </w:pPr>
    <w:rPr>
      <w:rFonts w:ascii="Arial" w:eastAsia="Times New Roman" w:hAnsi="Arial" w:cs="Arial"/>
      <w:b/>
      <w:bCs/>
      <w:color w:val="000000"/>
      <w:lang w:eastAsia="pt-BR"/>
    </w:rPr>
  </w:style>
  <w:style w:type="paragraph" w:customStyle="1" w:styleId="xl71">
    <w:name w:val="xl71"/>
    <w:basedOn w:val="Normal"/>
    <w:rsid w:val="00BA18E4"/>
    <w:pPr>
      <w:pBdr>
        <w:top w:val="single" w:sz="4" w:space="0" w:color="000000"/>
        <w:bottom w:val="single" w:sz="4" w:space="0" w:color="000000"/>
        <w:right w:val="single" w:sz="4" w:space="0" w:color="000000"/>
      </w:pBdr>
      <w:shd w:val="clear" w:color="D5A6BD" w:fill="8CB5F9"/>
      <w:spacing w:before="100" w:beforeAutospacing="1" w:after="100" w:afterAutospacing="1"/>
      <w:textAlignment w:val="center"/>
    </w:pPr>
    <w:rPr>
      <w:rFonts w:ascii="Arial" w:eastAsia="Times New Roman" w:hAnsi="Arial" w:cs="Arial"/>
      <w:b/>
      <w:bCs/>
      <w:color w:val="000000"/>
      <w:lang w:eastAsia="pt-BR"/>
    </w:rPr>
  </w:style>
  <w:style w:type="paragraph" w:customStyle="1" w:styleId="xl72">
    <w:name w:val="xl72"/>
    <w:basedOn w:val="Normal"/>
    <w:rsid w:val="00BA18E4"/>
    <w:pPr>
      <w:shd w:val="clear" w:color="D5A6BD" w:fill="8CB5F9"/>
      <w:spacing w:before="100" w:beforeAutospacing="1" w:after="100" w:afterAutospacing="1"/>
      <w:jc w:val="center"/>
      <w:textAlignment w:val="center"/>
    </w:pPr>
    <w:rPr>
      <w:rFonts w:ascii="Arial" w:eastAsia="Times New Roman" w:hAnsi="Arial" w:cs="Arial"/>
      <w:b/>
      <w:bCs/>
      <w:lang w:eastAsia="pt-BR"/>
    </w:rPr>
  </w:style>
  <w:style w:type="paragraph" w:customStyle="1" w:styleId="xl73">
    <w:name w:val="xl73"/>
    <w:basedOn w:val="Normal"/>
    <w:rsid w:val="00BA18E4"/>
    <w:pPr>
      <w:pBdr>
        <w:top w:val="single" w:sz="4" w:space="0" w:color="000000"/>
        <w:left w:val="single" w:sz="4" w:space="0" w:color="000000"/>
        <w:bottom w:val="single" w:sz="4" w:space="0" w:color="000000"/>
        <w:right w:val="single" w:sz="4" w:space="0" w:color="000000"/>
      </w:pBdr>
      <w:shd w:val="clear" w:color="D5A6BD" w:fill="8CB5F9"/>
      <w:spacing w:before="100" w:beforeAutospacing="1" w:after="100" w:afterAutospacing="1"/>
      <w:jc w:val="center"/>
      <w:textAlignment w:val="center"/>
    </w:pPr>
    <w:rPr>
      <w:rFonts w:ascii="Arial" w:eastAsia="Times New Roman" w:hAnsi="Arial" w:cs="Arial"/>
      <w:b/>
      <w:bCs/>
      <w:lang w:eastAsia="pt-BR"/>
    </w:rPr>
  </w:style>
  <w:style w:type="paragraph" w:customStyle="1" w:styleId="xl74">
    <w:name w:val="xl74"/>
    <w:basedOn w:val="Normal"/>
    <w:rsid w:val="00BA18E4"/>
    <w:pPr>
      <w:pBdr>
        <w:left w:val="single" w:sz="4" w:space="0" w:color="000000"/>
        <w:bottom w:val="single" w:sz="4" w:space="0" w:color="000000"/>
        <w:right w:val="single" w:sz="4" w:space="0" w:color="000000"/>
      </w:pBdr>
      <w:shd w:val="clear" w:color="D5A6BD" w:fill="8CB5F9"/>
      <w:spacing w:before="100" w:beforeAutospacing="1" w:after="100" w:afterAutospacing="1"/>
      <w:jc w:val="center"/>
      <w:textAlignment w:val="center"/>
    </w:pPr>
    <w:rPr>
      <w:rFonts w:ascii="Arial" w:eastAsia="Times New Roman" w:hAnsi="Arial" w:cs="Arial"/>
      <w:b/>
      <w:bCs/>
      <w:color w:val="000000"/>
      <w:lang w:eastAsia="pt-BR"/>
    </w:rPr>
  </w:style>
  <w:style w:type="paragraph" w:customStyle="1" w:styleId="xl75">
    <w:name w:val="xl75"/>
    <w:basedOn w:val="Normal"/>
    <w:rsid w:val="00BA18E4"/>
    <w:pPr>
      <w:spacing w:before="100" w:beforeAutospacing="1" w:after="100" w:afterAutospacing="1"/>
      <w:jc w:val="center"/>
      <w:textAlignment w:val="center"/>
    </w:pPr>
    <w:rPr>
      <w:rFonts w:ascii="Arial" w:eastAsia="Times New Roman" w:hAnsi="Arial" w:cs="Arial"/>
      <w:lang w:eastAsia="pt-BR"/>
    </w:rPr>
  </w:style>
  <w:style w:type="paragraph" w:customStyle="1" w:styleId="xl76">
    <w:name w:val="xl76"/>
    <w:basedOn w:val="Normal"/>
    <w:rsid w:val="00BA18E4"/>
    <w:pPr>
      <w:spacing w:before="100" w:beforeAutospacing="1" w:after="100" w:afterAutospacing="1"/>
      <w:jc w:val="center"/>
      <w:textAlignment w:val="center"/>
    </w:pPr>
    <w:rPr>
      <w:rFonts w:ascii="Arial" w:eastAsia="Times New Roman" w:hAnsi="Arial" w:cs="Arial"/>
      <w:b/>
      <w:bCs/>
      <w:lang w:eastAsia="pt-BR"/>
    </w:rPr>
  </w:style>
  <w:style w:type="paragraph" w:customStyle="1" w:styleId="xl77">
    <w:name w:val="xl77"/>
    <w:basedOn w:val="Normal"/>
    <w:rsid w:val="00BA18E4"/>
    <w:pPr>
      <w:spacing w:before="100" w:beforeAutospacing="1" w:after="100" w:afterAutospacing="1"/>
      <w:textAlignment w:val="center"/>
    </w:pPr>
    <w:rPr>
      <w:rFonts w:ascii="Arial" w:eastAsia="Times New Roman" w:hAnsi="Arial" w:cs="Arial"/>
      <w:lang w:eastAsia="pt-BR"/>
    </w:rPr>
  </w:style>
  <w:style w:type="paragraph" w:customStyle="1" w:styleId="xl78">
    <w:name w:val="xl78"/>
    <w:basedOn w:val="Normal"/>
    <w:rsid w:val="00BA18E4"/>
    <w:pPr>
      <w:spacing w:before="100" w:beforeAutospacing="1" w:after="100" w:afterAutospacing="1"/>
      <w:jc w:val="center"/>
      <w:textAlignment w:val="center"/>
    </w:pPr>
    <w:rPr>
      <w:rFonts w:ascii="Arial" w:eastAsia="Times New Roman" w:hAnsi="Arial" w:cs="Arial"/>
      <w:lang w:eastAsia="pt-BR"/>
    </w:rPr>
  </w:style>
  <w:style w:type="paragraph" w:customStyle="1" w:styleId="xl79">
    <w:name w:val="xl79"/>
    <w:basedOn w:val="Normal"/>
    <w:rsid w:val="00BA18E4"/>
    <w:pPr>
      <w:spacing w:before="100" w:beforeAutospacing="1" w:after="100" w:afterAutospacing="1"/>
      <w:jc w:val="center"/>
      <w:textAlignment w:val="center"/>
    </w:pPr>
    <w:rPr>
      <w:rFonts w:ascii="Times" w:eastAsia="Times New Roman" w:hAnsi="Times" w:cs="Times"/>
      <w:lang w:eastAsia="pt-BR"/>
    </w:rPr>
  </w:style>
  <w:style w:type="paragraph" w:customStyle="1" w:styleId="xl80">
    <w:name w:val="xl80"/>
    <w:basedOn w:val="Normal"/>
    <w:rsid w:val="00BA18E4"/>
    <w:pPr>
      <w:spacing w:before="100" w:beforeAutospacing="1" w:after="100" w:afterAutospacing="1"/>
      <w:jc w:val="center"/>
      <w:textAlignment w:val="center"/>
    </w:pPr>
    <w:rPr>
      <w:rFonts w:ascii="Arial" w:eastAsia="Times New Roman" w:hAnsi="Arial" w:cs="Arial"/>
      <w:b/>
      <w:bCs/>
      <w:lang w:eastAsia="pt-BR"/>
    </w:rPr>
  </w:style>
  <w:style w:type="paragraph" w:customStyle="1" w:styleId="xl81">
    <w:name w:val="xl81"/>
    <w:basedOn w:val="Normal"/>
    <w:rsid w:val="00BA18E4"/>
    <w:pPr>
      <w:shd w:val="clear" w:color="000000" w:fill="FF6D01"/>
      <w:spacing w:before="100" w:beforeAutospacing="1" w:after="100" w:afterAutospacing="1"/>
      <w:jc w:val="center"/>
      <w:textAlignment w:val="center"/>
    </w:pPr>
    <w:rPr>
      <w:rFonts w:ascii="Arial" w:eastAsia="Times New Roman" w:hAnsi="Arial" w:cs="Arial"/>
      <w:lang w:eastAsia="pt-BR"/>
    </w:rPr>
  </w:style>
  <w:style w:type="paragraph" w:customStyle="1" w:styleId="xl82">
    <w:name w:val="xl82"/>
    <w:basedOn w:val="Normal"/>
    <w:rsid w:val="00BA18E4"/>
    <w:pPr>
      <w:spacing w:before="100" w:beforeAutospacing="1" w:after="100" w:afterAutospacing="1"/>
      <w:textAlignment w:val="center"/>
    </w:pPr>
    <w:rPr>
      <w:rFonts w:ascii="Arial" w:eastAsia="Times New Roman" w:hAnsi="Arial" w:cs="Arial"/>
      <w:lang w:eastAsia="pt-BR"/>
    </w:rPr>
  </w:style>
  <w:style w:type="paragraph" w:customStyle="1" w:styleId="xl83">
    <w:name w:val="xl83"/>
    <w:basedOn w:val="Normal"/>
    <w:rsid w:val="00BA18E4"/>
    <w:pPr>
      <w:shd w:val="clear" w:color="000000" w:fill="FFFF00"/>
      <w:spacing w:before="100" w:beforeAutospacing="1" w:after="100" w:afterAutospacing="1"/>
      <w:jc w:val="center"/>
      <w:textAlignment w:val="center"/>
    </w:pPr>
    <w:rPr>
      <w:rFonts w:ascii="Arial" w:eastAsia="Times New Roman" w:hAnsi="Arial" w:cs="Arial"/>
      <w:lang w:eastAsia="pt-BR"/>
    </w:rPr>
  </w:style>
  <w:style w:type="paragraph" w:customStyle="1" w:styleId="xl84">
    <w:name w:val="xl84"/>
    <w:basedOn w:val="Normal"/>
    <w:rsid w:val="00BA18E4"/>
    <w:pPr>
      <w:spacing w:before="100" w:beforeAutospacing="1" w:after="100" w:afterAutospacing="1"/>
      <w:textAlignment w:val="center"/>
    </w:pPr>
    <w:rPr>
      <w:rFonts w:ascii="Times New Roman" w:eastAsia="Times New Roman" w:hAnsi="Times New Roman" w:cs="Times New Roman"/>
      <w:lang w:eastAsia="pt-BR"/>
    </w:rPr>
  </w:style>
  <w:style w:type="paragraph" w:customStyle="1" w:styleId="xl85">
    <w:name w:val="xl85"/>
    <w:basedOn w:val="Normal"/>
    <w:rsid w:val="00BA18E4"/>
    <w:pPr>
      <w:spacing w:before="100" w:beforeAutospacing="1" w:after="100" w:afterAutospacing="1"/>
      <w:jc w:val="center"/>
      <w:textAlignment w:val="center"/>
    </w:pPr>
    <w:rPr>
      <w:rFonts w:ascii="Times New Roman" w:eastAsia="Times New Roman" w:hAnsi="Times New Roman" w:cs="Times New Roman"/>
      <w:lang w:eastAsia="pt-BR"/>
    </w:rPr>
  </w:style>
  <w:style w:type="paragraph" w:customStyle="1" w:styleId="xl86">
    <w:name w:val="xl86"/>
    <w:basedOn w:val="Normal"/>
    <w:rsid w:val="00BA18E4"/>
    <w:pPr>
      <w:spacing w:before="100" w:beforeAutospacing="1" w:after="100" w:afterAutospacing="1"/>
      <w:jc w:val="center"/>
      <w:textAlignment w:val="center"/>
    </w:pPr>
    <w:rPr>
      <w:rFonts w:ascii="Arial" w:eastAsia="Times New Roman" w:hAnsi="Arial" w:cs="Arial"/>
      <w:color w:val="000000"/>
      <w:lang w:eastAsia="pt-BR"/>
    </w:rPr>
  </w:style>
  <w:style w:type="paragraph" w:customStyle="1" w:styleId="xl87">
    <w:name w:val="xl87"/>
    <w:basedOn w:val="Normal"/>
    <w:rsid w:val="00BA18E4"/>
    <w:pPr>
      <w:shd w:val="clear" w:color="000000" w:fill="FF6D01"/>
      <w:spacing w:before="100" w:beforeAutospacing="1" w:after="100" w:afterAutospacing="1"/>
      <w:jc w:val="center"/>
      <w:textAlignment w:val="center"/>
    </w:pPr>
    <w:rPr>
      <w:rFonts w:ascii="Arial" w:eastAsia="Times New Roman" w:hAnsi="Arial" w:cs="Arial"/>
      <w:color w:val="000000"/>
      <w:lang w:eastAsia="pt-BR"/>
    </w:rPr>
  </w:style>
  <w:style w:type="paragraph" w:customStyle="1" w:styleId="xl88">
    <w:name w:val="xl88"/>
    <w:basedOn w:val="Normal"/>
    <w:rsid w:val="00BA18E4"/>
    <w:pPr>
      <w:shd w:val="clear" w:color="FFFFFF" w:fill="FFFFFF"/>
      <w:spacing w:before="100" w:beforeAutospacing="1" w:after="100" w:afterAutospacing="1"/>
      <w:textAlignment w:val="center"/>
    </w:pPr>
    <w:rPr>
      <w:rFonts w:ascii="Arial" w:eastAsia="Times New Roman" w:hAnsi="Arial" w:cs="Arial"/>
      <w:lang w:eastAsia="pt-BR"/>
    </w:rPr>
  </w:style>
  <w:style w:type="paragraph" w:customStyle="1" w:styleId="xl89">
    <w:name w:val="xl89"/>
    <w:basedOn w:val="Normal"/>
    <w:rsid w:val="00BA18E4"/>
    <w:pPr>
      <w:shd w:val="clear" w:color="000000" w:fill="FF6D01"/>
      <w:spacing w:before="100" w:beforeAutospacing="1" w:after="100" w:afterAutospacing="1"/>
      <w:jc w:val="center"/>
      <w:textAlignment w:val="center"/>
    </w:pPr>
    <w:rPr>
      <w:rFonts w:ascii="Arial" w:eastAsia="Times New Roman" w:hAnsi="Arial" w:cs="Arial"/>
      <w:lang w:eastAsia="pt-BR"/>
    </w:rPr>
  </w:style>
  <w:style w:type="paragraph" w:customStyle="1" w:styleId="xl90">
    <w:name w:val="xl90"/>
    <w:basedOn w:val="Normal"/>
    <w:rsid w:val="00BA18E4"/>
    <w:pPr>
      <w:spacing w:before="100" w:beforeAutospacing="1" w:after="100" w:afterAutospacing="1"/>
      <w:jc w:val="center"/>
      <w:textAlignment w:val="center"/>
    </w:pPr>
    <w:rPr>
      <w:rFonts w:ascii="Arial" w:eastAsia="Times New Roman" w:hAnsi="Arial" w:cs="Arial"/>
      <w:color w:val="333333"/>
      <w:lang w:eastAsia="pt-BR"/>
    </w:rPr>
  </w:style>
  <w:style w:type="paragraph" w:customStyle="1" w:styleId="xl91">
    <w:name w:val="xl91"/>
    <w:basedOn w:val="Normal"/>
    <w:rsid w:val="00BA18E4"/>
    <w:pPr>
      <w:spacing w:before="100" w:beforeAutospacing="1" w:after="100" w:afterAutospacing="1"/>
      <w:jc w:val="center"/>
      <w:textAlignment w:val="center"/>
    </w:pPr>
    <w:rPr>
      <w:rFonts w:ascii="Arial" w:eastAsia="Times New Roman" w:hAnsi="Arial" w:cs="Arial"/>
      <w:b/>
      <w:bCs/>
      <w:color w:val="000000"/>
      <w:lang w:eastAsia="pt-BR"/>
    </w:rPr>
  </w:style>
  <w:style w:type="paragraph" w:customStyle="1" w:styleId="xl92">
    <w:name w:val="xl92"/>
    <w:basedOn w:val="Normal"/>
    <w:rsid w:val="00BA18E4"/>
    <w:pPr>
      <w:spacing w:before="100" w:beforeAutospacing="1" w:after="100" w:afterAutospacing="1"/>
      <w:textAlignment w:val="center"/>
    </w:pPr>
    <w:rPr>
      <w:rFonts w:ascii="Arial" w:eastAsia="Times New Roman" w:hAnsi="Arial" w:cs="Arial"/>
      <w:lang w:eastAsia="pt-BR"/>
    </w:rPr>
  </w:style>
  <w:style w:type="paragraph" w:customStyle="1" w:styleId="xl93">
    <w:name w:val="xl93"/>
    <w:basedOn w:val="Normal"/>
    <w:rsid w:val="00BA18E4"/>
    <w:pPr>
      <w:shd w:val="clear" w:color="000000" w:fill="FBDAD7"/>
      <w:spacing w:before="100" w:beforeAutospacing="1" w:after="100" w:afterAutospacing="1"/>
      <w:textAlignment w:val="center"/>
    </w:pPr>
    <w:rPr>
      <w:rFonts w:ascii="Times New Roman" w:eastAsia="Times New Roman" w:hAnsi="Times New Roman" w:cs="Times New Roman"/>
      <w:lang w:eastAsia="pt-BR"/>
    </w:rPr>
  </w:style>
  <w:style w:type="character" w:styleId="Refdecomentrio">
    <w:name w:val="annotation reference"/>
    <w:basedOn w:val="Fontepargpadro"/>
    <w:uiPriority w:val="99"/>
    <w:semiHidden/>
    <w:unhideWhenUsed/>
    <w:rsid w:val="00693F4D"/>
    <w:rPr>
      <w:sz w:val="18"/>
      <w:szCs w:val="18"/>
    </w:rPr>
  </w:style>
  <w:style w:type="paragraph" w:styleId="Textodecomentrio">
    <w:name w:val="annotation text"/>
    <w:basedOn w:val="Normal"/>
    <w:link w:val="TextodecomentrioChar"/>
    <w:uiPriority w:val="99"/>
    <w:semiHidden/>
    <w:unhideWhenUsed/>
    <w:rsid w:val="00693F4D"/>
  </w:style>
  <w:style w:type="character" w:customStyle="1" w:styleId="TextodecomentrioChar">
    <w:name w:val="Texto de comentário Char"/>
    <w:basedOn w:val="Fontepargpadro"/>
    <w:link w:val="Textodecomentrio"/>
    <w:uiPriority w:val="99"/>
    <w:semiHidden/>
    <w:rsid w:val="00693F4D"/>
  </w:style>
  <w:style w:type="paragraph" w:styleId="Assuntodocomentrio">
    <w:name w:val="annotation subject"/>
    <w:basedOn w:val="Textodecomentrio"/>
    <w:next w:val="Textodecomentrio"/>
    <w:link w:val="AssuntodocomentrioChar"/>
    <w:uiPriority w:val="99"/>
    <w:semiHidden/>
    <w:unhideWhenUsed/>
    <w:rsid w:val="00693F4D"/>
    <w:rPr>
      <w:b/>
      <w:bCs/>
      <w:sz w:val="20"/>
      <w:szCs w:val="20"/>
    </w:rPr>
  </w:style>
  <w:style w:type="character" w:customStyle="1" w:styleId="AssuntodocomentrioChar">
    <w:name w:val="Assunto do comentário Char"/>
    <w:basedOn w:val="TextodecomentrioChar"/>
    <w:link w:val="Assuntodocomentrio"/>
    <w:uiPriority w:val="99"/>
    <w:semiHidden/>
    <w:rsid w:val="00693F4D"/>
    <w:rPr>
      <w:b/>
      <w:bCs/>
      <w:sz w:val="20"/>
      <w:szCs w:val="20"/>
    </w:rPr>
  </w:style>
  <w:style w:type="paragraph" w:customStyle="1" w:styleId="EndNoteBibliographyTitle">
    <w:name w:val="EndNote Bibliography Title"/>
    <w:basedOn w:val="Normal"/>
    <w:link w:val="EndNoteBibliographyTitleChar"/>
    <w:rsid w:val="00434FEC"/>
    <w:pPr>
      <w:jc w:val="center"/>
    </w:pPr>
    <w:rPr>
      <w:rFonts w:ascii="Calibri" w:hAnsi="Calibri" w:cs="Calibri"/>
      <w:lang w:val="en-US"/>
    </w:rPr>
  </w:style>
  <w:style w:type="character" w:customStyle="1" w:styleId="EndNoteBibliographyTitleChar">
    <w:name w:val="EndNote Bibliography Title Char"/>
    <w:basedOn w:val="Fontepargpadro"/>
    <w:link w:val="EndNoteBibliographyTitle"/>
    <w:rsid w:val="00434FEC"/>
    <w:rPr>
      <w:rFonts w:ascii="Calibri" w:hAnsi="Calibri" w:cs="Calibri"/>
      <w:lang w:val="en-US"/>
    </w:rPr>
  </w:style>
  <w:style w:type="paragraph" w:customStyle="1" w:styleId="EndNoteBibliography">
    <w:name w:val="EndNote Bibliography"/>
    <w:basedOn w:val="Normal"/>
    <w:link w:val="EndNoteBibliographyChar"/>
    <w:rsid w:val="00434FEC"/>
    <w:rPr>
      <w:rFonts w:ascii="Calibri" w:hAnsi="Calibri" w:cs="Calibri"/>
      <w:lang w:val="en-US"/>
    </w:rPr>
  </w:style>
  <w:style w:type="character" w:customStyle="1" w:styleId="EndNoteBibliographyChar">
    <w:name w:val="EndNote Bibliography Char"/>
    <w:basedOn w:val="Fontepargpadro"/>
    <w:link w:val="EndNoteBibliography"/>
    <w:rsid w:val="00434FEC"/>
    <w:rPr>
      <w:rFonts w:ascii="Calibri" w:hAnsi="Calibri" w:cs="Calibri"/>
      <w:lang w:val="en-US"/>
    </w:rPr>
  </w:style>
  <w:style w:type="paragraph" w:customStyle="1" w:styleId="Default">
    <w:name w:val="Default"/>
    <w:rsid w:val="00C53143"/>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810319">
      <w:bodyDiv w:val="1"/>
      <w:marLeft w:val="0"/>
      <w:marRight w:val="0"/>
      <w:marTop w:val="0"/>
      <w:marBottom w:val="0"/>
      <w:divBdr>
        <w:top w:val="none" w:sz="0" w:space="0" w:color="auto"/>
        <w:left w:val="none" w:sz="0" w:space="0" w:color="auto"/>
        <w:bottom w:val="none" w:sz="0" w:space="0" w:color="auto"/>
        <w:right w:val="none" w:sz="0" w:space="0" w:color="auto"/>
      </w:divBdr>
    </w:div>
    <w:div w:id="546339602">
      <w:bodyDiv w:val="1"/>
      <w:marLeft w:val="0"/>
      <w:marRight w:val="0"/>
      <w:marTop w:val="0"/>
      <w:marBottom w:val="0"/>
      <w:divBdr>
        <w:top w:val="none" w:sz="0" w:space="0" w:color="auto"/>
        <w:left w:val="none" w:sz="0" w:space="0" w:color="auto"/>
        <w:bottom w:val="none" w:sz="0" w:space="0" w:color="auto"/>
        <w:right w:val="none" w:sz="0" w:space="0" w:color="auto"/>
      </w:divBdr>
    </w:div>
    <w:div w:id="757484836">
      <w:bodyDiv w:val="1"/>
      <w:marLeft w:val="0"/>
      <w:marRight w:val="0"/>
      <w:marTop w:val="0"/>
      <w:marBottom w:val="0"/>
      <w:divBdr>
        <w:top w:val="none" w:sz="0" w:space="0" w:color="auto"/>
        <w:left w:val="none" w:sz="0" w:space="0" w:color="auto"/>
        <w:bottom w:val="none" w:sz="0" w:space="0" w:color="auto"/>
        <w:right w:val="none" w:sz="0" w:space="0" w:color="auto"/>
      </w:divBdr>
    </w:div>
    <w:div w:id="862203978">
      <w:bodyDiv w:val="1"/>
      <w:marLeft w:val="0"/>
      <w:marRight w:val="0"/>
      <w:marTop w:val="0"/>
      <w:marBottom w:val="0"/>
      <w:divBdr>
        <w:top w:val="none" w:sz="0" w:space="0" w:color="auto"/>
        <w:left w:val="none" w:sz="0" w:space="0" w:color="auto"/>
        <w:bottom w:val="none" w:sz="0" w:space="0" w:color="auto"/>
        <w:right w:val="none" w:sz="0" w:space="0" w:color="auto"/>
      </w:divBdr>
    </w:div>
    <w:div w:id="1242325713">
      <w:bodyDiv w:val="1"/>
      <w:marLeft w:val="0"/>
      <w:marRight w:val="0"/>
      <w:marTop w:val="0"/>
      <w:marBottom w:val="0"/>
      <w:divBdr>
        <w:top w:val="none" w:sz="0" w:space="0" w:color="auto"/>
        <w:left w:val="none" w:sz="0" w:space="0" w:color="auto"/>
        <w:bottom w:val="none" w:sz="0" w:space="0" w:color="auto"/>
        <w:right w:val="none" w:sz="0" w:space="0" w:color="auto"/>
      </w:divBdr>
      <w:divsChild>
        <w:div w:id="1884978809">
          <w:marLeft w:val="0"/>
          <w:marRight w:val="0"/>
          <w:marTop w:val="60"/>
          <w:marBottom w:val="0"/>
          <w:divBdr>
            <w:top w:val="none" w:sz="0" w:space="0" w:color="auto"/>
            <w:left w:val="none" w:sz="0" w:space="0" w:color="auto"/>
            <w:bottom w:val="none" w:sz="0" w:space="0" w:color="auto"/>
            <w:right w:val="none" w:sz="0" w:space="0" w:color="auto"/>
          </w:divBdr>
        </w:div>
        <w:div w:id="826433588">
          <w:marLeft w:val="0"/>
          <w:marRight w:val="0"/>
          <w:marTop w:val="0"/>
          <w:marBottom w:val="0"/>
          <w:divBdr>
            <w:top w:val="none" w:sz="0" w:space="0" w:color="auto"/>
            <w:left w:val="none" w:sz="0" w:space="0" w:color="auto"/>
            <w:bottom w:val="none" w:sz="0" w:space="0" w:color="auto"/>
            <w:right w:val="none" w:sz="0" w:space="0" w:color="auto"/>
          </w:divBdr>
          <w:divsChild>
            <w:div w:id="392849300">
              <w:marLeft w:val="0"/>
              <w:marRight w:val="0"/>
              <w:marTop w:val="0"/>
              <w:marBottom w:val="0"/>
              <w:divBdr>
                <w:top w:val="none" w:sz="0" w:space="0" w:color="auto"/>
                <w:left w:val="none" w:sz="0" w:space="0" w:color="auto"/>
                <w:bottom w:val="none" w:sz="0" w:space="0" w:color="auto"/>
                <w:right w:val="none" w:sz="0" w:space="0" w:color="auto"/>
              </w:divBdr>
              <w:divsChild>
                <w:div w:id="51985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54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78</Pages>
  <Words>38988</Words>
  <Characters>210537</Characters>
  <Application>Microsoft Office Word</Application>
  <DocSecurity>0</DocSecurity>
  <Lines>1754</Lines>
  <Paragraphs>498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Júlia Meller</dc:creator>
  <cp:keywords/>
  <dc:description/>
  <cp:lastModifiedBy>Júlia Meller</cp:lastModifiedBy>
  <cp:revision>3</cp:revision>
  <dcterms:created xsi:type="dcterms:W3CDTF">2021-04-23T05:00:00Z</dcterms:created>
  <dcterms:modified xsi:type="dcterms:W3CDTF">2021-04-27T15:02:00Z</dcterms:modified>
</cp:coreProperties>
</file>