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BE4EF" w14:textId="77777777" w:rsidR="00514E50" w:rsidRDefault="00514E50" w:rsidP="00514E50">
      <w:pPr>
        <w:pStyle w:val="Kop1zwart"/>
        <w:rPr>
          <w:rFonts w:asciiTheme="minorHAnsi" w:hAnsiTheme="minorHAnsi"/>
          <w:lang w:val="en-GB"/>
        </w:rPr>
      </w:pPr>
      <w:r>
        <w:rPr>
          <w:lang w:val="en-GB"/>
        </w:rPr>
        <w:t>APPENDICES</w:t>
      </w:r>
    </w:p>
    <w:p w14:paraId="647A8627" w14:textId="77777777" w:rsidR="00514E50" w:rsidRDefault="00514E50" w:rsidP="00514E50">
      <w:pPr>
        <w:pStyle w:val="Kop2zwart"/>
      </w:pPr>
      <w:r>
        <w:t xml:space="preserve">Appendix A: Search strings </w:t>
      </w:r>
    </w:p>
    <w:p w14:paraId="4B79847F" w14:textId="77777777" w:rsidR="00514E50" w:rsidRDefault="00514E50" w:rsidP="00514E50">
      <w:pPr>
        <w:pStyle w:val="Kop3zwart"/>
      </w:pPr>
      <w:r>
        <w:rPr>
          <w:i w:val="0"/>
          <w:iCs w:val="0"/>
        </w:rPr>
        <w:t>Pubmed</w:t>
      </w:r>
    </w:p>
    <w:p w14:paraId="0FDCDF6C" w14:textId="77777777" w:rsidR="00514E50" w:rsidRDefault="00514E50" w:rsidP="00514E50">
      <w:pPr>
        <w:rPr>
          <w:rFonts w:cstheme="minorHAnsi"/>
          <w:i/>
          <w:iCs/>
        </w:rPr>
      </w:pPr>
      <w:r>
        <w:rPr>
          <w:rFonts w:cstheme="minorHAnsi"/>
          <w:i/>
          <w:iCs/>
        </w:rPr>
        <w:t>((“Depression” OR “Depressive disorder” OR Depressive disorder, major” OR Depressive OR “Unipolar” OR “Affective” OR “MDD” OR “Depressed”) AND (“Driver performance” OR “Driving performance” OR “Car driving” OR “Driving simulator” OR “SDLP” OR “Standard deviation of lateral position” OR “Travelling-speed” OR “Car-following behav*” OR “Following distance” OR “THW” OR “Time-headway” OR “Speed variance” OR “Speed variation” OR “Lateral position”) AND (“Antidepressants” OR “Anti-depressants” OR “SSRI” OR “SNRI” OR “Selective serotonin reuptake inhibitors” OR “Tricyclic” OR “Tricyclic antidepressants” OR “MAOI” OR “Monoamine oxidase inhibitors” OR “Benzodiazepines”))</w:t>
      </w:r>
    </w:p>
    <w:p w14:paraId="2773D933" w14:textId="77777777" w:rsidR="00514E50" w:rsidRDefault="00514E50" w:rsidP="00514E50">
      <w:pPr>
        <w:pStyle w:val="Kop3zwart"/>
      </w:pPr>
      <w:r>
        <w:rPr>
          <w:i w:val="0"/>
          <w:iCs w:val="0"/>
        </w:rPr>
        <w:t>Embase</w:t>
      </w:r>
    </w:p>
    <w:p w14:paraId="22603E63" w14:textId="77777777" w:rsidR="00514E50" w:rsidRDefault="00514E50" w:rsidP="00514E50">
      <w:pPr>
        <w:rPr>
          <w:rFonts w:cstheme="minorHAnsi"/>
        </w:rPr>
      </w:pPr>
      <w:r>
        <w:rPr>
          <w:rFonts w:cstheme="minorHAnsi"/>
        </w:rPr>
        <w:t xml:space="preserve">#1 </w:t>
      </w:r>
      <w:r>
        <w:rPr>
          <w:rFonts w:cstheme="minorHAnsi"/>
        </w:rPr>
        <w:br/>
        <w:t xml:space="preserve">(‘driv* performance’: ti, ab, kw OR  ‘car driving’: ti, ab, kw OR ‘driving simulator’: ti, ab, kw OR ‘sdlp’: ti, ab, kw OR ‘travelling speed’: ti, ab, kw OR ‘car-following behav*’: ti, ab, kw OR ‘following distance’: ti, ab, kw OR ‘thw’: ti, ab, kw OR ‘time headway’: ti, ab, kw OR ‘standard deviation of lateral position’: ti, ab, kw OR ‘speed variance’: ti, ab, kw OR ‘speed variation’: ti, ab, kw AND [2022]/py) </w:t>
      </w:r>
      <w:r>
        <w:rPr>
          <w:rFonts w:cstheme="minorHAnsi"/>
        </w:rPr>
        <w:br/>
      </w:r>
    </w:p>
    <w:p w14:paraId="61463308" w14:textId="77777777" w:rsidR="00514E50" w:rsidRDefault="00514E50" w:rsidP="00514E50">
      <w:pPr>
        <w:rPr>
          <w:rFonts w:cstheme="minorHAnsi"/>
        </w:rPr>
      </w:pPr>
      <w:r>
        <w:rPr>
          <w:rFonts w:cstheme="minorHAnsi"/>
        </w:rPr>
        <w:t>#2</w:t>
      </w:r>
      <w:r>
        <w:rPr>
          <w:rFonts w:cstheme="minorHAnsi"/>
        </w:rPr>
        <w:br/>
        <w:t xml:space="preserve">(‘antidepressants’: ti, ab, kw OR  ‘anti depressants’: ti, ab, kw OR ‘ssri’: ti, ab, kw OR ‘snri’: ti, ab, kw OR ‘selective serotonin reuptake inhibitors’: ti, ab, kw OR ‘tricyclic’: ti, ab, kw OR ‘tricyclic antidepressants’: ti, ab, kw OR ‘MAOI’: ti, ab, kw OR ‘monoamine oxidase inhibitors’: ti, ab, kw OR ‘benzodiazepine’: ti, ab, kw)  </w:t>
      </w:r>
    </w:p>
    <w:p w14:paraId="5D20964B" w14:textId="77777777" w:rsidR="00514E50" w:rsidRDefault="00514E50" w:rsidP="00514E50">
      <w:pPr>
        <w:rPr>
          <w:rFonts w:cstheme="minorHAnsi"/>
        </w:rPr>
      </w:pPr>
    </w:p>
    <w:p w14:paraId="463293A9" w14:textId="77777777" w:rsidR="00514E50" w:rsidRDefault="00514E50" w:rsidP="00514E50">
      <w:pPr>
        <w:rPr>
          <w:rFonts w:cstheme="minorHAnsi"/>
        </w:rPr>
      </w:pPr>
      <w:r>
        <w:rPr>
          <w:rFonts w:cstheme="minorHAnsi"/>
        </w:rPr>
        <w:t>#3</w:t>
      </w:r>
    </w:p>
    <w:p w14:paraId="1D57A120" w14:textId="77777777" w:rsidR="00514E50" w:rsidRDefault="00514E50" w:rsidP="00514E50">
      <w:pPr>
        <w:rPr>
          <w:rFonts w:cstheme="minorHAnsi"/>
        </w:rPr>
      </w:pPr>
      <w:r>
        <w:rPr>
          <w:rFonts w:cstheme="minorHAnsi"/>
        </w:rPr>
        <w:t xml:space="preserve">(‘depress*’: ti, ab, kw OR  ‘depression’: ti, ab, kw OR ‘depressive disorder’: ti, ab, kw OR ‘depressive disorder, major’: ti, ab, kw OR ‘major depressive disorder’: ti, ab, kw OR ‘depressive’: ti, ab, kw OR ‘unipolar’: ti, ab, kw OR ‘affective’: ti, ab, kw OR ‘mdd’: ti, ab, kw OR ‘depressed’: ti, ab, kw)  </w:t>
      </w:r>
    </w:p>
    <w:p w14:paraId="45CCFD3A" w14:textId="77777777" w:rsidR="00514E50" w:rsidRDefault="00514E50" w:rsidP="00514E50">
      <w:pPr>
        <w:rPr>
          <w:rFonts w:cstheme="minorHAnsi"/>
        </w:rPr>
      </w:pPr>
      <w:r>
        <w:rPr>
          <w:rFonts w:cstheme="minorHAnsi"/>
          <w:b/>
          <w:bCs/>
        </w:rPr>
        <w:t>Search combinations:</w:t>
      </w:r>
      <w:r>
        <w:rPr>
          <w:rFonts w:cstheme="minorHAnsi"/>
        </w:rPr>
        <w:t xml:space="preserve"> 1 and 2;  1 and 3;  1,2 and 3.</w:t>
      </w:r>
    </w:p>
    <w:p w14:paraId="641B612D" w14:textId="77777777" w:rsidR="00514E50" w:rsidRDefault="00514E50" w:rsidP="00514E50">
      <w:pPr>
        <w:rPr>
          <w:rFonts w:cstheme="minorHAnsi"/>
        </w:rPr>
      </w:pPr>
    </w:p>
    <w:p w14:paraId="096BE3A7" w14:textId="77777777" w:rsidR="00514E50" w:rsidRDefault="00514E50" w:rsidP="00514E50">
      <w:pPr>
        <w:pStyle w:val="Kop3zwart"/>
        <w:rPr>
          <w:i w:val="0"/>
          <w:iCs w:val="0"/>
        </w:rPr>
      </w:pPr>
      <w:r>
        <w:rPr>
          <w:i w:val="0"/>
          <w:iCs w:val="0"/>
        </w:rPr>
        <w:t>PsychINFO</w:t>
      </w:r>
    </w:p>
    <w:p w14:paraId="0B092B27" w14:textId="77777777" w:rsidR="00514E50" w:rsidRDefault="00514E50" w:rsidP="00514E50">
      <w:pPr>
        <w:rPr>
          <w:rFonts w:cstheme="minorHAnsi"/>
        </w:rPr>
      </w:pPr>
      <w:r>
        <w:rPr>
          <w:rFonts w:cstheme="minorHAnsi"/>
        </w:rPr>
        <w:t>#1</w:t>
      </w:r>
    </w:p>
    <w:p w14:paraId="79C93475" w14:textId="77777777" w:rsidR="00514E50" w:rsidRDefault="00514E50" w:rsidP="00514E50">
      <w:pPr>
        <w:rPr>
          <w:rFonts w:cstheme="minorHAnsi"/>
        </w:rPr>
      </w:pPr>
      <w:r>
        <w:rPr>
          <w:rFonts w:cstheme="minorHAnsi"/>
        </w:rPr>
        <w:t xml:space="preserve">driv* performance OR  car driving OR driving simulator OR sdlp OR travelling speed OR car-following behav* OR following distance OR thw OR time headway OR standard deviation of lateral position OR speed variance OR speed variation (2012 – 2022) </w:t>
      </w:r>
    </w:p>
    <w:p w14:paraId="36EE5CAC" w14:textId="77777777" w:rsidR="00514E50" w:rsidRDefault="00514E50" w:rsidP="00514E50">
      <w:pPr>
        <w:rPr>
          <w:rFonts w:cstheme="minorHAnsi"/>
        </w:rPr>
      </w:pPr>
      <w:r>
        <w:rPr>
          <w:rFonts w:cstheme="minorHAnsi"/>
        </w:rPr>
        <w:lastRenderedPageBreak/>
        <w:t>#2</w:t>
      </w:r>
    </w:p>
    <w:p w14:paraId="7166092C" w14:textId="77777777" w:rsidR="00514E50" w:rsidRDefault="00514E50" w:rsidP="00514E50">
      <w:pPr>
        <w:rPr>
          <w:rFonts w:cstheme="minorHAnsi"/>
        </w:rPr>
      </w:pPr>
      <w:r>
        <w:rPr>
          <w:rFonts w:cstheme="minorHAnsi"/>
        </w:rPr>
        <w:t xml:space="preserve">antidepressants OR  anti depressants OR ssri OR snri OR selective serotonin reuptake inhibitors OR tricyclic OR tricyclic antidepressants OR MAOI OR monoamine oxidase inhibitors OR benzodiazepine (2012 – 2022) </w:t>
      </w:r>
    </w:p>
    <w:p w14:paraId="727AE341" w14:textId="77777777" w:rsidR="00514E50" w:rsidRDefault="00514E50" w:rsidP="00514E50">
      <w:pPr>
        <w:rPr>
          <w:rFonts w:cstheme="minorHAnsi"/>
        </w:rPr>
      </w:pPr>
    </w:p>
    <w:p w14:paraId="6F6D21A2" w14:textId="77777777" w:rsidR="00514E50" w:rsidRDefault="00514E50" w:rsidP="00514E50">
      <w:pPr>
        <w:rPr>
          <w:rFonts w:cstheme="minorHAnsi"/>
        </w:rPr>
      </w:pPr>
      <w:r>
        <w:rPr>
          <w:rFonts w:cstheme="minorHAnsi"/>
        </w:rPr>
        <w:t>#3</w:t>
      </w:r>
    </w:p>
    <w:p w14:paraId="48B028C8" w14:textId="77777777" w:rsidR="00514E50" w:rsidRDefault="00514E50" w:rsidP="00514E50">
      <w:pPr>
        <w:rPr>
          <w:rFonts w:cstheme="minorHAnsi"/>
        </w:rPr>
      </w:pPr>
      <w:r>
        <w:rPr>
          <w:rFonts w:cstheme="minorHAnsi"/>
        </w:rPr>
        <w:t xml:space="preserve">depress* OR depression OR depressive disorder OR depressive disorder, major OR major depressive disorder OR depressive OR unipolar OR affective OR mdd OR depressed (2012 – 2022)  </w:t>
      </w:r>
    </w:p>
    <w:p w14:paraId="29194DE9" w14:textId="77777777" w:rsidR="00514E50" w:rsidRDefault="00514E50" w:rsidP="00514E50">
      <w:pPr>
        <w:rPr>
          <w:rFonts w:cstheme="minorHAnsi"/>
        </w:rPr>
      </w:pPr>
      <w:r>
        <w:rPr>
          <w:rFonts w:cstheme="minorHAnsi"/>
          <w:b/>
          <w:bCs/>
        </w:rPr>
        <w:br/>
        <w:t>Search combinations:</w:t>
      </w:r>
      <w:r>
        <w:rPr>
          <w:rFonts w:cstheme="minorHAnsi"/>
        </w:rPr>
        <w:t xml:space="preserve"> 1 and 2;  1 and 3;  1,2 and 3.</w:t>
      </w:r>
    </w:p>
    <w:p w14:paraId="4ACEA189" w14:textId="77777777" w:rsidR="00514E50" w:rsidRDefault="00514E50" w:rsidP="00514E50">
      <w:pPr>
        <w:spacing w:after="0"/>
        <w:rPr>
          <w:rFonts w:cstheme="minorHAnsi"/>
        </w:rPr>
        <w:sectPr w:rsidR="00514E50">
          <w:pgSz w:w="11906" w:h="16838"/>
          <w:pgMar w:top="1417" w:right="1417" w:bottom="1417" w:left="1417" w:header="708" w:footer="708" w:gutter="0"/>
          <w:lnNumType w:countBy="1" w:restart="continuous"/>
          <w:cols w:space="720"/>
        </w:sectPr>
      </w:pPr>
    </w:p>
    <w:p w14:paraId="7417DFF4" w14:textId="77777777" w:rsidR="00514E50" w:rsidRDefault="00514E50" w:rsidP="00514E50">
      <w:pPr>
        <w:pStyle w:val="Kop2zwart"/>
        <w:rPr>
          <w:rFonts w:cstheme="minorBidi"/>
        </w:rPr>
      </w:pPr>
      <w:r>
        <w:lastRenderedPageBreak/>
        <w:t>Appendix B: Risk of bias assessment</w:t>
      </w:r>
    </w:p>
    <w:tbl>
      <w:tblPr>
        <w:tblpPr w:leftFromText="141" w:rightFromText="141" w:bottomFromText="160" w:vertAnchor="page" w:horzAnchor="margin" w:tblpXSpec="center" w:tblpY="3068"/>
        <w:tblW w:w="15064" w:type="dxa"/>
        <w:tblCellMar>
          <w:left w:w="70" w:type="dxa"/>
          <w:right w:w="70" w:type="dxa"/>
        </w:tblCellMar>
        <w:tblLook w:val="04A0" w:firstRow="1" w:lastRow="0" w:firstColumn="1" w:lastColumn="0" w:noHBand="0" w:noVBand="1"/>
      </w:tblPr>
      <w:tblGrid>
        <w:gridCol w:w="1247"/>
        <w:gridCol w:w="1341"/>
        <w:gridCol w:w="1550"/>
        <w:gridCol w:w="1341"/>
        <w:gridCol w:w="1341"/>
        <w:gridCol w:w="1389"/>
        <w:gridCol w:w="1389"/>
        <w:gridCol w:w="1341"/>
        <w:gridCol w:w="1443"/>
        <w:gridCol w:w="1341"/>
        <w:gridCol w:w="1341"/>
      </w:tblGrid>
      <w:tr w:rsidR="00514E50" w14:paraId="610F68A3" w14:textId="77777777" w:rsidTr="00514E50">
        <w:trPr>
          <w:trHeight w:val="384"/>
        </w:trPr>
        <w:tc>
          <w:tcPr>
            <w:tcW w:w="1247" w:type="dxa"/>
            <w:tcBorders>
              <w:top w:val="single" w:sz="4" w:space="0" w:color="auto"/>
              <w:left w:val="single" w:sz="4" w:space="0" w:color="auto"/>
              <w:bottom w:val="single" w:sz="4" w:space="0" w:color="auto"/>
              <w:right w:val="single" w:sz="4" w:space="0" w:color="auto"/>
            </w:tcBorders>
            <w:vAlign w:val="center"/>
            <w:hideMark/>
          </w:tcPr>
          <w:p w14:paraId="18976A9A" w14:textId="77777777" w:rsidR="00514E50" w:rsidRDefault="00514E50" w:rsidP="00514E50">
            <w:pPr>
              <w:spacing w:after="0" w:line="240" w:lineRule="auto"/>
              <w:rPr>
                <w:rFonts w:ascii="Calibri" w:eastAsia="Times New Roman" w:hAnsi="Calibri" w:cs="Calibri"/>
                <w:b/>
                <w:bCs/>
                <w:color w:val="000000"/>
                <w:lang w:eastAsia="nl-NL"/>
              </w:rPr>
            </w:pPr>
            <w:r>
              <w:rPr>
                <w:rFonts w:ascii="Calibri" w:eastAsia="Times New Roman" w:hAnsi="Calibri" w:cs="Calibri"/>
                <w:b/>
                <w:bCs/>
                <w:color w:val="000000"/>
                <w:lang w:eastAsia="nl-NL"/>
              </w:rPr>
              <w:t>Study</w:t>
            </w:r>
          </w:p>
        </w:tc>
        <w:tc>
          <w:tcPr>
            <w:tcW w:w="1341" w:type="dxa"/>
            <w:tcBorders>
              <w:top w:val="single" w:sz="4" w:space="0" w:color="auto"/>
              <w:left w:val="nil"/>
              <w:bottom w:val="single" w:sz="4" w:space="0" w:color="auto"/>
              <w:right w:val="single" w:sz="4" w:space="0" w:color="auto"/>
            </w:tcBorders>
            <w:vAlign w:val="center"/>
            <w:hideMark/>
          </w:tcPr>
          <w:p w14:paraId="03E15A6F" w14:textId="77777777" w:rsidR="00514E50" w:rsidRDefault="00514E50" w:rsidP="00514E50">
            <w:pPr>
              <w:spacing w:after="0"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ROB tool</w:t>
            </w:r>
          </w:p>
        </w:tc>
        <w:tc>
          <w:tcPr>
            <w:tcW w:w="1550" w:type="dxa"/>
            <w:tcBorders>
              <w:top w:val="single" w:sz="4" w:space="0" w:color="auto"/>
              <w:left w:val="nil"/>
              <w:bottom w:val="single" w:sz="4" w:space="0" w:color="auto"/>
              <w:right w:val="single" w:sz="4" w:space="0" w:color="auto"/>
            </w:tcBorders>
            <w:vAlign w:val="center"/>
            <w:hideMark/>
          </w:tcPr>
          <w:p w14:paraId="7757088C" w14:textId="77777777" w:rsidR="00514E50" w:rsidRDefault="00514E50" w:rsidP="00514E50">
            <w:pPr>
              <w:spacing w:after="0"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Randomisation process</w:t>
            </w:r>
          </w:p>
        </w:tc>
        <w:tc>
          <w:tcPr>
            <w:tcW w:w="1341" w:type="dxa"/>
            <w:tcBorders>
              <w:top w:val="single" w:sz="4" w:space="0" w:color="auto"/>
              <w:left w:val="nil"/>
              <w:bottom w:val="single" w:sz="4" w:space="0" w:color="auto"/>
              <w:right w:val="single" w:sz="4" w:space="0" w:color="auto"/>
            </w:tcBorders>
            <w:vAlign w:val="center"/>
            <w:hideMark/>
          </w:tcPr>
          <w:p w14:paraId="60EFD3D9" w14:textId="77777777" w:rsidR="00514E50" w:rsidRDefault="00514E50" w:rsidP="00514E50">
            <w:pPr>
              <w:spacing w:after="0"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Bias due to confounding</w:t>
            </w:r>
          </w:p>
        </w:tc>
        <w:tc>
          <w:tcPr>
            <w:tcW w:w="1341" w:type="dxa"/>
            <w:tcBorders>
              <w:top w:val="single" w:sz="4" w:space="0" w:color="auto"/>
              <w:left w:val="nil"/>
              <w:bottom w:val="single" w:sz="4" w:space="0" w:color="auto"/>
              <w:right w:val="single" w:sz="4" w:space="0" w:color="auto"/>
            </w:tcBorders>
            <w:vAlign w:val="center"/>
            <w:hideMark/>
          </w:tcPr>
          <w:p w14:paraId="6B9F28BC" w14:textId="77777777" w:rsidR="00514E50" w:rsidRDefault="00514E50" w:rsidP="00514E50">
            <w:pPr>
              <w:spacing w:after="0"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Bias in selection of participants into the study</w:t>
            </w:r>
          </w:p>
        </w:tc>
        <w:tc>
          <w:tcPr>
            <w:tcW w:w="1389" w:type="dxa"/>
            <w:tcBorders>
              <w:top w:val="single" w:sz="4" w:space="0" w:color="auto"/>
              <w:left w:val="nil"/>
              <w:bottom w:val="single" w:sz="4" w:space="0" w:color="auto"/>
              <w:right w:val="single" w:sz="4" w:space="0" w:color="auto"/>
            </w:tcBorders>
            <w:vAlign w:val="center"/>
            <w:hideMark/>
          </w:tcPr>
          <w:p w14:paraId="53EAACA1" w14:textId="77777777" w:rsidR="00514E50" w:rsidRDefault="00514E50" w:rsidP="00514E50">
            <w:pPr>
              <w:spacing w:after="0"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Bias in classification of interventions</w:t>
            </w:r>
          </w:p>
        </w:tc>
        <w:tc>
          <w:tcPr>
            <w:tcW w:w="1389" w:type="dxa"/>
            <w:tcBorders>
              <w:top w:val="single" w:sz="4" w:space="0" w:color="auto"/>
              <w:left w:val="nil"/>
              <w:bottom w:val="single" w:sz="4" w:space="0" w:color="auto"/>
              <w:right w:val="single" w:sz="4" w:space="0" w:color="auto"/>
            </w:tcBorders>
            <w:vAlign w:val="center"/>
            <w:hideMark/>
          </w:tcPr>
          <w:p w14:paraId="6CED91E6" w14:textId="77777777" w:rsidR="00514E50" w:rsidRDefault="00514E50" w:rsidP="00514E50">
            <w:pPr>
              <w:spacing w:after="0"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Bias due to deviations from intended interventions</w:t>
            </w:r>
          </w:p>
        </w:tc>
        <w:tc>
          <w:tcPr>
            <w:tcW w:w="1341" w:type="dxa"/>
            <w:tcBorders>
              <w:top w:val="single" w:sz="4" w:space="0" w:color="auto"/>
              <w:left w:val="nil"/>
              <w:bottom w:val="single" w:sz="4" w:space="0" w:color="auto"/>
              <w:right w:val="single" w:sz="4" w:space="0" w:color="auto"/>
            </w:tcBorders>
            <w:vAlign w:val="center"/>
            <w:hideMark/>
          </w:tcPr>
          <w:p w14:paraId="71031698" w14:textId="77777777" w:rsidR="00514E50" w:rsidRDefault="00514E50" w:rsidP="00514E50">
            <w:pPr>
              <w:spacing w:after="0"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Bias due to missing data</w:t>
            </w:r>
          </w:p>
        </w:tc>
        <w:tc>
          <w:tcPr>
            <w:tcW w:w="1443" w:type="dxa"/>
            <w:tcBorders>
              <w:top w:val="single" w:sz="4" w:space="0" w:color="auto"/>
              <w:left w:val="nil"/>
              <w:bottom w:val="single" w:sz="4" w:space="0" w:color="auto"/>
              <w:right w:val="single" w:sz="4" w:space="0" w:color="auto"/>
            </w:tcBorders>
            <w:vAlign w:val="center"/>
            <w:hideMark/>
          </w:tcPr>
          <w:p w14:paraId="1E86B0BE" w14:textId="77777777" w:rsidR="00514E50" w:rsidRDefault="00514E50" w:rsidP="00514E50">
            <w:pPr>
              <w:spacing w:after="0"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Bias in measurement of outcomes</w:t>
            </w:r>
          </w:p>
        </w:tc>
        <w:tc>
          <w:tcPr>
            <w:tcW w:w="1341" w:type="dxa"/>
            <w:tcBorders>
              <w:top w:val="single" w:sz="4" w:space="0" w:color="auto"/>
              <w:left w:val="nil"/>
              <w:bottom w:val="single" w:sz="4" w:space="0" w:color="auto"/>
              <w:right w:val="single" w:sz="4" w:space="0" w:color="auto"/>
            </w:tcBorders>
            <w:vAlign w:val="center"/>
            <w:hideMark/>
          </w:tcPr>
          <w:p w14:paraId="303735AD" w14:textId="77777777" w:rsidR="00514E50" w:rsidRDefault="00514E50" w:rsidP="00514E50">
            <w:pPr>
              <w:spacing w:after="0"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Bias in selection of the reported result</w:t>
            </w:r>
          </w:p>
        </w:tc>
        <w:tc>
          <w:tcPr>
            <w:tcW w:w="1341" w:type="dxa"/>
            <w:tcBorders>
              <w:top w:val="single" w:sz="4" w:space="0" w:color="auto"/>
              <w:left w:val="nil"/>
              <w:bottom w:val="single" w:sz="4" w:space="0" w:color="auto"/>
              <w:right w:val="single" w:sz="4" w:space="0" w:color="auto"/>
            </w:tcBorders>
            <w:vAlign w:val="center"/>
            <w:hideMark/>
          </w:tcPr>
          <w:p w14:paraId="511300B8" w14:textId="77777777" w:rsidR="00514E50" w:rsidRDefault="00514E50" w:rsidP="00514E50">
            <w:pPr>
              <w:spacing w:after="0"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Overall Bias</w:t>
            </w:r>
          </w:p>
        </w:tc>
      </w:tr>
      <w:tr w:rsidR="00514E50" w14:paraId="1429282A" w14:textId="77777777" w:rsidTr="00514E50">
        <w:trPr>
          <w:trHeight w:val="95"/>
        </w:trPr>
        <w:tc>
          <w:tcPr>
            <w:tcW w:w="1247" w:type="dxa"/>
            <w:tcBorders>
              <w:top w:val="nil"/>
              <w:left w:val="single" w:sz="4" w:space="0" w:color="auto"/>
              <w:bottom w:val="single" w:sz="4" w:space="0" w:color="auto"/>
              <w:right w:val="single" w:sz="4" w:space="0" w:color="auto"/>
            </w:tcBorders>
            <w:vAlign w:val="center"/>
            <w:hideMark/>
          </w:tcPr>
          <w:p w14:paraId="272E0E3B" w14:textId="77777777" w:rsidR="00514E50" w:rsidRDefault="00514E50" w:rsidP="00514E50">
            <w:pPr>
              <w:spacing w:after="0" w:line="240" w:lineRule="auto"/>
              <w:rPr>
                <w:rFonts w:ascii="Calibri" w:eastAsia="Times New Roman" w:hAnsi="Calibri" w:cs="Calibri"/>
                <w:b/>
                <w:bCs/>
                <w:color w:val="000000"/>
                <w:lang w:eastAsia="nl-NL"/>
              </w:rPr>
            </w:pPr>
            <w:r>
              <w:rPr>
                <w:rFonts w:ascii="Calibri" w:eastAsia="Times New Roman" w:hAnsi="Calibri" w:cs="Calibri"/>
                <w:b/>
                <w:bCs/>
                <w:color w:val="000000"/>
                <w:lang w:eastAsia="nl-NL"/>
              </w:rPr>
              <w:t>Brunnauer et al., 2008</w:t>
            </w:r>
          </w:p>
        </w:tc>
        <w:tc>
          <w:tcPr>
            <w:tcW w:w="1341" w:type="dxa"/>
            <w:tcBorders>
              <w:top w:val="nil"/>
              <w:left w:val="nil"/>
              <w:bottom w:val="single" w:sz="4" w:space="0" w:color="auto"/>
              <w:right w:val="single" w:sz="4" w:space="0" w:color="auto"/>
            </w:tcBorders>
            <w:noWrap/>
            <w:vAlign w:val="center"/>
            <w:hideMark/>
          </w:tcPr>
          <w:p w14:paraId="2CE4BF2F"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ROB-2</w:t>
            </w:r>
          </w:p>
        </w:tc>
        <w:tc>
          <w:tcPr>
            <w:tcW w:w="1550" w:type="dxa"/>
            <w:tcBorders>
              <w:top w:val="nil"/>
              <w:left w:val="nil"/>
              <w:bottom w:val="single" w:sz="4" w:space="0" w:color="auto"/>
              <w:right w:val="single" w:sz="4" w:space="0" w:color="auto"/>
            </w:tcBorders>
            <w:noWrap/>
            <w:vAlign w:val="center"/>
            <w:hideMark/>
          </w:tcPr>
          <w:p w14:paraId="5E872811"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021904A6"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 </w:t>
            </w:r>
          </w:p>
        </w:tc>
        <w:tc>
          <w:tcPr>
            <w:tcW w:w="1341" w:type="dxa"/>
            <w:tcBorders>
              <w:top w:val="nil"/>
              <w:left w:val="nil"/>
              <w:bottom w:val="single" w:sz="4" w:space="0" w:color="auto"/>
              <w:right w:val="single" w:sz="4" w:space="0" w:color="auto"/>
            </w:tcBorders>
            <w:noWrap/>
            <w:vAlign w:val="center"/>
            <w:hideMark/>
          </w:tcPr>
          <w:p w14:paraId="14D3FA12"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 </w:t>
            </w:r>
          </w:p>
        </w:tc>
        <w:tc>
          <w:tcPr>
            <w:tcW w:w="1389" w:type="dxa"/>
            <w:tcBorders>
              <w:top w:val="nil"/>
              <w:left w:val="nil"/>
              <w:bottom w:val="single" w:sz="4" w:space="0" w:color="auto"/>
              <w:right w:val="single" w:sz="4" w:space="0" w:color="auto"/>
            </w:tcBorders>
            <w:noWrap/>
            <w:vAlign w:val="center"/>
            <w:hideMark/>
          </w:tcPr>
          <w:p w14:paraId="232D4D00"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 </w:t>
            </w:r>
          </w:p>
        </w:tc>
        <w:tc>
          <w:tcPr>
            <w:tcW w:w="1389" w:type="dxa"/>
            <w:tcBorders>
              <w:top w:val="nil"/>
              <w:left w:val="nil"/>
              <w:bottom w:val="single" w:sz="4" w:space="0" w:color="auto"/>
              <w:right w:val="single" w:sz="4" w:space="0" w:color="auto"/>
            </w:tcBorders>
            <w:noWrap/>
            <w:vAlign w:val="center"/>
            <w:hideMark/>
          </w:tcPr>
          <w:p w14:paraId="1BEFB5EB"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5622C5B2"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443" w:type="dxa"/>
            <w:tcBorders>
              <w:top w:val="nil"/>
              <w:left w:val="nil"/>
              <w:bottom w:val="single" w:sz="4" w:space="0" w:color="auto"/>
              <w:right w:val="single" w:sz="4" w:space="0" w:color="auto"/>
            </w:tcBorders>
            <w:noWrap/>
            <w:vAlign w:val="center"/>
            <w:hideMark/>
          </w:tcPr>
          <w:p w14:paraId="0F0728E4"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20B86389"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5CCF34CB"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r>
      <w:tr w:rsidR="00514E50" w14:paraId="4F462318" w14:textId="77777777" w:rsidTr="00514E50">
        <w:trPr>
          <w:trHeight w:val="95"/>
        </w:trPr>
        <w:tc>
          <w:tcPr>
            <w:tcW w:w="1247" w:type="dxa"/>
            <w:tcBorders>
              <w:top w:val="nil"/>
              <w:left w:val="single" w:sz="4" w:space="0" w:color="auto"/>
              <w:bottom w:val="single" w:sz="4" w:space="0" w:color="auto"/>
              <w:right w:val="single" w:sz="4" w:space="0" w:color="auto"/>
            </w:tcBorders>
            <w:vAlign w:val="center"/>
            <w:hideMark/>
          </w:tcPr>
          <w:p w14:paraId="09F693A0" w14:textId="77777777" w:rsidR="00514E50" w:rsidRDefault="00514E50" w:rsidP="00514E50">
            <w:pPr>
              <w:spacing w:after="0" w:line="240" w:lineRule="auto"/>
              <w:rPr>
                <w:rFonts w:ascii="Calibri" w:eastAsia="Times New Roman" w:hAnsi="Calibri" w:cs="Calibri"/>
                <w:b/>
                <w:bCs/>
                <w:color w:val="000000"/>
                <w:lang w:eastAsia="nl-NL"/>
              </w:rPr>
            </w:pPr>
            <w:r>
              <w:rPr>
                <w:rFonts w:ascii="Calibri" w:eastAsia="Times New Roman" w:hAnsi="Calibri" w:cs="Calibri"/>
                <w:b/>
                <w:bCs/>
                <w:color w:val="000000"/>
                <w:lang w:eastAsia="nl-NL"/>
              </w:rPr>
              <w:t>Brunnauer et al., 2015</w:t>
            </w:r>
          </w:p>
        </w:tc>
        <w:tc>
          <w:tcPr>
            <w:tcW w:w="1341" w:type="dxa"/>
            <w:tcBorders>
              <w:top w:val="nil"/>
              <w:left w:val="nil"/>
              <w:bottom w:val="single" w:sz="4" w:space="0" w:color="auto"/>
              <w:right w:val="single" w:sz="4" w:space="0" w:color="auto"/>
            </w:tcBorders>
            <w:noWrap/>
            <w:vAlign w:val="center"/>
            <w:hideMark/>
          </w:tcPr>
          <w:p w14:paraId="538A15B9"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ROB-2</w:t>
            </w:r>
          </w:p>
        </w:tc>
        <w:tc>
          <w:tcPr>
            <w:tcW w:w="1550" w:type="dxa"/>
            <w:tcBorders>
              <w:top w:val="nil"/>
              <w:left w:val="nil"/>
              <w:bottom w:val="single" w:sz="4" w:space="0" w:color="auto"/>
              <w:right w:val="single" w:sz="4" w:space="0" w:color="auto"/>
            </w:tcBorders>
            <w:noWrap/>
            <w:vAlign w:val="center"/>
            <w:hideMark/>
          </w:tcPr>
          <w:p w14:paraId="737047AD"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357AA026"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 </w:t>
            </w:r>
          </w:p>
        </w:tc>
        <w:tc>
          <w:tcPr>
            <w:tcW w:w="1341" w:type="dxa"/>
            <w:tcBorders>
              <w:top w:val="nil"/>
              <w:left w:val="nil"/>
              <w:bottom w:val="single" w:sz="4" w:space="0" w:color="auto"/>
              <w:right w:val="single" w:sz="4" w:space="0" w:color="auto"/>
            </w:tcBorders>
            <w:noWrap/>
            <w:vAlign w:val="center"/>
            <w:hideMark/>
          </w:tcPr>
          <w:p w14:paraId="3C5EA5A6"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 </w:t>
            </w:r>
          </w:p>
        </w:tc>
        <w:tc>
          <w:tcPr>
            <w:tcW w:w="1389" w:type="dxa"/>
            <w:tcBorders>
              <w:top w:val="nil"/>
              <w:left w:val="nil"/>
              <w:bottom w:val="single" w:sz="4" w:space="0" w:color="auto"/>
              <w:right w:val="single" w:sz="4" w:space="0" w:color="auto"/>
            </w:tcBorders>
            <w:noWrap/>
            <w:vAlign w:val="center"/>
            <w:hideMark/>
          </w:tcPr>
          <w:p w14:paraId="1605B4F6"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 </w:t>
            </w:r>
          </w:p>
        </w:tc>
        <w:tc>
          <w:tcPr>
            <w:tcW w:w="1389" w:type="dxa"/>
            <w:tcBorders>
              <w:top w:val="nil"/>
              <w:left w:val="nil"/>
              <w:bottom w:val="single" w:sz="4" w:space="0" w:color="auto"/>
              <w:right w:val="single" w:sz="4" w:space="0" w:color="auto"/>
            </w:tcBorders>
            <w:noWrap/>
            <w:vAlign w:val="center"/>
            <w:hideMark/>
          </w:tcPr>
          <w:p w14:paraId="73FC0B2B"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27456D9A"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443" w:type="dxa"/>
            <w:tcBorders>
              <w:top w:val="nil"/>
              <w:left w:val="nil"/>
              <w:bottom w:val="single" w:sz="4" w:space="0" w:color="auto"/>
              <w:right w:val="single" w:sz="4" w:space="0" w:color="auto"/>
            </w:tcBorders>
            <w:noWrap/>
            <w:vAlign w:val="center"/>
            <w:hideMark/>
          </w:tcPr>
          <w:p w14:paraId="2D8A85E3"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363F203F"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2EC4CF01"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r>
      <w:tr w:rsidR="00514E50" w14:paraId="62B5F48B" w14:textId="77777777" w:rsidTr="00514E50">
        <w:trPr>
          <w:trHeight w:val="95"/>
        </w:trPr>
        <w:tc>
          <w:tcPr>
            <w:tcW w:w="1247" w:type="dxa"/>
            <w:tcBorders>
              <w:top w:val="nil"/>
              <w:left w:val="single" w:sz="4" w:space="0" w:color="auto"/>
              <w:bottom w:val="single" w:sz="4" w:space="0" w:color="auto"/>
              <w:right w:val="single" w:sz="4" w:space="0" w:color="auto"/>
            </w:tcBorders>
            <w:vAlign w:val="center"/>
            <w:hideMark/>
          </w:tcPr>
          <w:p w14:paraId="50BD1F5E" w14:textId="77777777" w:rsidR="00514E50" w:rsidRDefault="00514E50" w:rsidP="00514E50">
            <w:pPr>
              <w:spacing w:after="0" w:line="240" w:lineRule="auto"/>
              <w:rPr>
                <w:rFonts w:ascii="Calibri" w:eastAsia="Times New Roman" w:hAnsi="Calibri" w:cs="Calibri"/>
                <w:b/>
                <w:bCs/>
                <w:color w:val="000000"/>
                <w:lang w:eastAsia="nl-NL"/>
              </w:rPr>
            </w:pPr>
            <w:r>
              <w:rPr>
                <w:rFonts w:ascii="Calibri" w:eastAsia="Times New Roman" w:hAnsi="Calibri" w:cs="Calibri"/>
                <w:b/>
                <w:bCs/>
                <w:color w:val="000000"/>
                <w:lang w:eastAsia="nl-NL"/>
              </w:rPr>
              <w:t>Shen et al., 2009</w:t>
            </w:r>
          </w:p>
        </w:tc>
        <w:tc>
          <w:tcPr>
            <w:tcW w:w="1341" w:type="dxa"/>
            <w:tcBorders>
              <w:top w:val="nil"/>
              <w:left w:val="nil"/>
              <w:bottom w:val="single" w:sz="4" w:space="0" w:color="auto"/>
              <w:right w:val="single" w:sz="4" w:space="0" w:color="auto"/>
            </w:tcBorders>
            <w:noWrap/>
            <w:vAlign w:val="center"/>
            <w:hideMark/>
          </w:tcPr>
          <w:p w14:paraId="02693637"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ROB-2</w:t>
            </w:r>
          </w:p>
        </w:tc>
        <w:tc>
          <w:tcPr>
            <w:tcW w:w="1550" w:type="dxa"/>
            <w:tcBorders>
              <w:top w:val="nil"/>
              <w:left w:val="nil"/>
              <w:bottom w:val="single" w:sz="4" w:space="0" w:color="auto"/>
              <w:right w:val="single" w:sz="4" w:space="0" w:color="auto"/>
            </w:tcBorders>
            <w:noWrap/>
            <w:vAlign w:val="center"/>
            <w:hideMark/>
          </w:tcPr>
          <w:p w14:paraId="19518006"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66A927D1"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 </w:t>
            </w:r>
          </w:p>
        </w:tc>
        <w:tc>
          <w:tcPr>
            <w:tcW w:w="1341" w:type="dxa"/>
            <w:tcBorders>
              <w:top w:val="nil"/>
              <w:left w:val="nil"/>
              <w:bottom w:val="single" w:sz="4" w:space="0" w:color="auto"/>
              <w:right w:val="single" w:sz="4" w:space="0" w:color="auto"/>
            </w:tcBorders>
            <w:noWrap/>
            <w:vAlign w:val="center"/>
            <w:hideMark/>
          </w:tcPr>
          <w:p w14:paraId="02697244"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 </w:t>
            </w:r>
          </w:p>
        </w:tc>
        <w:tc>
          <w:tcPr>
            <w:tcW w:w="1389" w:type="dxa"/>
            <w:tcBorders>
              <w:top w:val="nil"/>
              <w:left w:val="nil"/>
              <w:bottom w:val="single" w:sz="4" w:space="0" w:color="auto"/>
              <w:right w:val="single" w:sz="4" w:space="0" w:color="auto"/>
            </w:tcBorders>
            <w:noWrap/>
            <w:vAlign w:val="center"/>
            <w:hideMark/>
          </w:tcPr>
          <w:p w14:paraId="22515F6A"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 </w:t>
            </w:r>
          </w:p>
        </w:tc>
        <w:tc>
          <w:tcPr>
            <w:tcW w:w="1389" w:type="dxa"/>
            <w:tcBorders>
              <w:top w:val="nil"/>
              <w:left w:val="nil"/>
              <w:bottom w:val="single" w:sz="4" w:space="0" w:color="auto"/>
              <w:right w:val="single" w:sz="4" w:space="0" w:color="auto"/>
            </w:tcBorders>
            <w:noWrap/>
            <w:vAlign w:val="center"/>
            <w:hideMark/>
          </w:tcPr>
          <w:p w14:paraId="26C62EA4"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1BF81ED9"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443" w:type="dxa"/>
            <w:tcBorders>
              <w:top w:val="nil"/>
              <w:left w:val="nil"/>
              <w:bottom w:val="single" w:sz="4" w:space="0" w:color="auto"/>
              <w:right w:val="single" w:sz="4" w:space="0" w:color="auto"/>
            </w:tcBorders>
            <w:noWrap/>
            <w:vAlign w:val="center"/>
            <w:hideMark/>
          </w:tcPr>
          <w:p w14:paraId="18C4396F"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3ADC1F8E"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29B36853"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r>
      <w:tr w:rsidR="00514E50" w14:paraId="2533AB24" w14:textId="77777777" w:rsidTr="00514E50">
        <w:trPr>
          <w:trHeight w:val="95"/>
        </w:trPr>
        <w:tc>
          <w:tcPr>
            <w:tcW w:w="1247" w:type="dxa"/>
            <w:tcBorders>
              <w:top w:val="nil"/>
              <w:left w:val="single" w:sz="4" w:space="0" w:color="auto"/>
              <w:bottom w:val="single" w:sz="4" w:space="0" w:color="auto"/>
              <w:right w:val="single" w:sz="4" w:space="0" w:color="auto"/>
            </w:tcBorders>
            <w:vAlign w:val="center"/>
            <w:hideMark/>
          </w:tcPr>
          <w:p w14:paraId="797361C4" w14:textId="77777777" w:rsidR="00514E50" w:rsidRDefault="00514E50" w:rsidP="00514E50">
            <w:pPr>
              <w:spacing w:after="0" w:line="240" w:lineRule="auto"/>
              <w:rPr>
                <w:rFonts w:ascii="Calibri" w:eastAsia="Times New Roman" w:hAnsi="Calibri" w:cs="Calibri"/>
                <w:b/>
                <w:bCs/>
                <w:color w:val="000000"/>
                <w:lang w:eastAsia="nl-NL"/>
              </w:rPr>
            </w:pPr>
            <w:r>
              <w:rPr>
                <w:rFonts w:ascii="Calibri" w:eastAsia="Times New Roman" w:hAnsi="Calibri" w:cs="Calibri"/>
                <w:b/>
                <w:bCs/>
                <w:color w:val="000000"/>
                <w:lang w:eastAsia="nl-NL"/>
              </w:rPr>
              <w:t>Bulmash et al., 2006</w:t>
            </w:r>
          </w:p>
        </w:tc>
        <w:tc>
          <w:tcPr>
            <w:tcW w:w="1341" w:type="dxa"/>
            <w:tcBorders>
              <w:top w:val="nil"/>
              <w:left w:val="nil"/>
              <w:bottom w:val="single" w:sz="4" w:space="0" w:color="auto"/>
              <w:right w:val="single" w:sz="4" w:space="0" w:color="auto"/>
            </w:tcBorders>
            <w:noWrap/>
            <w:vAlign w:val="center"/>
            <w:hideMark/>
          </w:tcPr>
          <w:p w14:paraId="5A7AA446"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Robins-I</w:t>
            </w:r>
          </w:p>
        </w:tc>
        <w:tc>
          <w:tcPr>
            <w:tcW w:w="1550" w:type="dxa"/>
            <w:tcBorders>
              <w:top w:val="nil"/>
              <w:left w:val="nil"/>
              <w:bottom w:val="single" w:sz="4" w:space="0" w:color="auto"/>
              <w:right w:val="single" w:sz="4" w:space="0" w:color="auto"/>
            </w:tcBorders>
            <w:noWrap/>
            <w:vAlign w:val="center"/>
            <w:hideMark/>
          </w:tcPr>
          <w:p w14:paraId="2DFCE5E0"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 </w:t>
            </w:r>
          </w:p>
        </w:tc>
        <w:tc>
          <w:tcPr>
            <w:tcW w:w="1341" w:type="dxa"/>
            <w:tcBorders>
              <w:top w:val="nil"/>
              <w:left w:val="nil"/>
              <w:bottom w:val="single" w:sz="4" w:space="0" w:color="auto"/>
              <w:right w:val="single" w:sz="4" w:space="0" w:color="auto"/>
            </w:tcBorders>
            <w:noWrap/>
            <w:vAlign w:val="center"/>
            <w:hideMark/>
          </w:tcPr>
          <w:p w14:paraId="5A0B910C"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Serious</w:t>
            </w:r>
          </w:p>
        </w:tc>
        <w:tc>
          <w:tcPr>
            <w:tcW w:w="1341" w:type="dxa"/>
            <w:tcBorders>
              <w:top w:val="nil"/>
              <w:left w:val="nil"/>
              <w:bottom w:val="single" w:sz="4" w:space="0" w:color="auto"/>
              <w:right w:val="single" w:sz="4" w:space="0" w:color="auto"/>
            </w:tcBorders>
            <w:noWrap/>
            <w:vAlign w:val="center"/>
            <w:hideMark/>
          </w:tcPr>
          <w:p w14:paraId="08C86EED"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89" w:type="dxa"/>
            <w:tcBorders>
              <w:top w:val="nil"/>
              <w:left w:val="nil"/>
              <w:bottom w:val="single" w:sz="4" w:space="0" w:color="auto"/>
              <w:right w:val="single" w:sz="4" w:space="0" w:color="auto"/>
            </w:tcBorders>
            <w:noWrap/>
            <w:vAlign w:val="center"/>
            <w:hideMark/>
          </w:tcPr>
          <w:p w14:paraId="0C542D5A"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89" w:type="dxa"/>
            <w:tcBorders>
              <w:top w:val="nil"/>
              <w:left w:val="nil"/>
              <w:bottom w:val="single" w:sz="4" w:space="0" w:color="auto"/>
              <w:right w:val="single" w:sz="4" w:space="0" w:color="auto"/>
            </w:tcBorders>
            <w:noWrap/>
            <w:vAlign w:val="center"/>
            <w:hideMark/>
          </w:tcPr>
          <w:p w14:paraId="145C9277"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3E6B9E9F"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443" w:type="dxa"/>
            <w:tcBorders>
              <w:top w:val="nil"/>
              <w:left w:val="nil"/>
              <w:bottom w:val="single" w:sz="4" w:space="0" w:color="auto"/>
              <w:right w:val="single" w:sz="4" w:space="0" w:color="auto"/>
            </w:tcBorders>
            <w:noWrap/>
            <w:vAlign w:val="center"/>
            <w:hideMark/>
          </w:tcPr>
          <w:p w14:paraId="41B106DD"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3F61229A"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0C795161"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Serious</w:t>
            </w:r>
          </w:p>
        </w:tc>
      </w:tr>
      <w:tr w:rsidR="00514E50" w14:paraId="693E052C" w14:textId="77777777" w:rsidTr="00514E50">
        <w:trPr>
          <w:trHeight w:val="95"/>
        </w:trPr>
        <w:tc>
          <w:tcPr>
            <w:tcW w:w="1247" w:type="dxa"/>
            <w:tcBorders>
              <w:top w:val="nil"/>
              <w:left w:val="single" w:sz="4" w:space="0" w:color="auto"/>
              <w:bottom w:val="single" w:sz="4" w:space="0" w:color="auto"/>
              <w:right w:val="single" w:sz="4" w:space="0" w:color="auto"/>
            </w:tcBorders>
            <w:vAlign w:val="center"/>
            <w:hideMark/>
          </w:tcPr>
          <w:p w14:paraId="4A3940B2" w14:textId="77777777" w:rsidR="00514E50" w:rsidRDefault="00514E50" w:rsidP="00514E50">
            <w:pPr>
              <w:spacing w:after="0" w:line="240" w:lineRule="auto"/>
              <w:rPr>
                <w:rFonts w:ascii="Calibri" w:eastAsia="Times New Roman" w:hAnsi="Calibri" w:cs="Calibri"/>
                <w:b/>
                <w:bCs/>
                <w:color w:val="000000"/>
                <w:lang w:eastAsia="nl-NL"/>
              </w:rPr>
            </w:pPr>
            <w:r>
              <w:rPr>
                <w:rFonts w:ascii="Calibri" w:eastAsia="Times New Roman" w:hAnsi="Calibri" w:cs="Calibri"/>
                <w:b/>
                <w:bCs/>
                <w:color w:val="000000"/>
                <w:lang w:eastAsia="nl-NL"/>
              </w:rPr>
              <w:t>Miyata et al., 2018</w:t>
            </w:r>
          </w:p>
        </w:tc>
        <w:tc>
          <w:tcPr>
            <w:tcW w:w="1341" w:type="dxa"/>
            <w:tcBorders>
              <w:top w:val="nil"/>
              <w:left w:val="nil"/>
              <w:bottom w:val="single" w:sz="4" w:space="0" w:color="auto"/>
              <w:right w:val="single" w:sz="4" w:space="0" w:color="auto"/>
            </w:tcBorders>
            <w:noWrap/>
            <w:vAlign w:val="center"/>
            <w:hideMark/>
          </w:tcPr>
          <w:p w14:paraId="1173C47C"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Robins-I</w:t>
            </w:r>
          </w:p>
        </w:tc>
        <w:tc>
          <w:tcPr>
            <w:tcW w:w="1550" w:type="dxa"/>
            <w:tcBorders>
              <w:top w:val="nil"/>
              <w:left w:val="nil"/>
              <w:bottom w:val="single" w:sz="4" w:space="0" w:color="auto"/>
              <w:right w:val="single" w:sz="4" w:space="0" w:color="auto"/>
            </w:tcBorders>
            <w:noWrap/>
            <w:vAlign w:val="center"/>
            <w:hideMark/>
          </w:tcPr>
          <w:p w14:paraId="21457807"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 </w:t>
            </w:r>
          </w:p>
        </w:tc>
        <w:tc>
          <w:tcPr>
            <w:tcW w:w="1341" w:type="dxa"/>
            <w:tcBorders>
              <w:top w:val="nil"/>
              <w:left w:val="nil"/>
              <w:bottom w:val="single" w:sz="4" w:space="0" w:color="auto"/>
              <w:right w:val="single" w:sz="4" w:space="0" w:color="auto"/>
            </w:tcBorders>
            <w:noWrap/>
            <w:vAlign w:val="center"/>
            <w:hideMark/>
          </w:tcPr>
          <w:p w14:paraId="011A7A1E"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6FCB6EA4"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89" w:type="dxa"/>
            <w:tcBorders>
              <w:top w:val="nil"/>
              <w:left w:val="nil"/>
              <w:bottom w:val="single" w:sz="4" w:space="0" w:color="auto"/>
              <w:right w:val="single" w:sz="4" w:space="0" w:color="auto"/>
            </w:tcBorders>
            <w:noWrap/>
            <w:vAlign w:val="center"/>
            <w:hideMark/>
          </w:tcPr>
          <w:p w14:paraId="6A608E0D"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89" w:type="dxa"/>
            <w:tcBorders>
              <w:top w:val="nil"/>
              <w:left w:val="nil"/>
              <w:bottom w:val="single" w:sz="4" w:space="0" w:color="auto"/>
              <w:right w:val="single" w:sz="4" w:space="0" w:color="auto"/>
            </w:tcBorders>
            <w:noWrap/>
            <w:vAlign w:val="center"/>
            <w:hideMark/>
          </w:tcPr>
          <w:p w14:paraId="15367380"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64F9A2C1"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443" w:type="dxa"/>
            <w:tcBorders>
              <w:top w:val="nil"/>
              <w:left w:val="nil"/>
              <w:bottom w:val="single" w:sz="4" w:space="0" w:color="auto"/>
              <w:right w:val="single" w:sz="4" w:space="0" w:color="auto"/>
            </w:tcBorders>
            <w:noWrap/>
            <w:vAlign w:val="center"/>
            <w:hideMark/>
          </w:tcPr>
          <w:p w14:paraId="57E5BB3A"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234C763D"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4760D7A7"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r>
      <w:tr w:rsidR="00514E50" w14:paraId="712C6E2D" w14:textId="77777777" w:rsidTr="00514E50">
        <w:trPr>
          <w:trHeight w:val="95"/>
        </w:trPr>
        <w:tc>
          <w:tcPr>
            <w:tcW w:w="1247" w:type="dxa"/>
            <w:tcBorders>
              <w:top w:val="nil"/>
              <w:left w:val="single" w:sz="4" w:space="0" w:color="auto"/>
              <w:bottom w:val="single" w:sz="4" w:space="0" w:color="auto"/>
              <w:right w:val="single" w:sz="4" w:space="0" w:color="auto"/>
            </w:tcBorders>
            <w:vAlign w:val="center"/>
            <w:hideMark/>
          </w:tcPr>
          <w:p w14:paraId="0B594B38" w14:textId="77777777" w:rsidR="00514E50" w:rsidRDefault="00514E50" w:rsidP="00514E50">
            <w:pPr>
              <w:spacing w:after="0" w:line="240" w:lineRule="auto"/>
              <w:rPr>
                <w:rFonts w:ascii="Calibri" w:eastAsia="Times New Roman" w:hAnsi="Calibri" w:cs="Calibri"/>
                <w:b/>
                <w:bCs/>
                <w:color w:val="000000"/>
                <w:lang w:eastAsia="nl-NL"/>
              </w:rPr>
            </w:pPr>
            <w:r>
              <w:rPr>
                <w:rFonts w:ascii="Calibri" w:eastAsia="Times New Roman" w:hAnsi="Calibri" w:cs="Calibri"/>
                <w:b/>
                <w:bCs/>
                <w:color w:val="000000"/>
                <w:lang w:eastAsia="nl-NL"/>
              </w:rPr>
              <w:t>Sluiszen et al., 2017</w:t>
            </w:r>
          </w:p>
        </w:tc>
        <w:tc>
          <w:tcPr>
            <w:tcW w:w="1341" w:type="dxa"/>
            <w:tcBorders>
              <w:top w:val="nil"/>
              <w:left w:val="nil"/>
              <w:bottom w:val="single" w:sz="4" w:space="0" w:color="auto"/>
              <w:right w:val="single" w:sz="4" w:space="0" w:color="auto"/>
            </w:tcBorders>
            <w:noWrap/>
            <w:vAlign w:val="center"/>
            <w:hideMark/>
          </w:tcPr>
          <w:p w14:paraId="7BA75BD6"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Robins-I</w:t>
            </w:r>
          </w:p>
        </w:tc>
        <w:tc>
          <w:tcPr>
            <w:tcW w:w="1550" w:type="dxa"/>
            <w:tcBorders>
              <w:top w:val="nil"/>
              <w:left w:val="nil"/>
              <w:bottom w:val="single" w:sz="4" w:space="0" w:color="auto"/>
              <w:right w:val="single" w:sz="4" w:space="0" w:color="auto"/>
            </w:tcBorders>
            <w:noWrap/>
            <w:vAlign w:val="center"/>
            <w:hideMark/>
          </w:tcPr>
          <w:p w14:paraId="5E7B1F4B"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 </w:t>
            </w:r>
          </w:p>
        </w:tc>
        <w:tc>
          <w:tcPr>
            <w:tcW w:w="1341" w:type="dxa"/>
            <w:tcBorders>
              <w:top w:val="nil"/>
              <w:left w:val="nil"/>
              <w:bottom w:val="single" w:sz="4" w:space="0" w:color="auto"/>
              <w:right w:val="single" w:sz="4" w:space="0" w:color="auto"/>
            </w:tcBorders>
            <w:noWrap/>
            <w:vAlign w:val="center"/>
            <w:hideMark/>
          </w:tcPr>
          <w:p w14:paraId="346C7882"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Serious</w:t>
            </w:r>
          </w:p>
        </w:tc>
        <w:tc>
          <w:tcPr>
            <w:tcW w:w="1341" w:type="dxa"/>
            <w:tcBorders>
              <w:top w:val="nil"/>
              <w:left w:val="nil"/>
              <w:bottom w:val="single" w:sz="4" w:space="0" w:color="auto"/>
              <w:right w:val="single" w:sz="4" w:space="0" w:color="auto"/>
            </w:tcBorders>
            <w:noWrap/>
            <w:vAlign w:val="center"/>
            <w:hideMark/>
          </w:tcPr>
          <w:p w14:paraId="4057DB28"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89" w:type="dxa"/>
            <w:tcBorders>
              <w:top w:val="nil"/>
              <w:left w:val="nil"/>
              <w:bottom w:val="single" w:sz="4" w:space="0" w:color="auto"/>
              <w:right w:val="single" w:sz="4" w:space="0" w:color="auto"/>
            </w:tcBorders>
            <w:noWrap/>
            <w:vAlign w:val="center"/>
            <w:hideMark/>
          </w:tcPr>
          <w:p w14:paraId="057F75C3"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89" w:type="dxa"/>
            <w:tcBorders>
              <w:top w:val="nil"/>
              <w:left w:val="nil"/>
              <w:bottom w:val="single" w:sz="4" w:space="0" w:color="auto"/>
              <w:right w:val="single" w:sz="4" w:space="0" w:color="auto"/>
            </w:tcBorders>
            <w:noWrap/>
            <w:vAlign w:val="center"/>
            <w:hideMark/>
          </w:tcPr>
          <w:p w14:paraId="05D5605B"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65DE4478"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443" w:type="dxa"/>
            <w:tcBorders>
              <w:top w:val="nil"/>
              <w:left w:val="nil"/>
              <w:bottom w:val="single" w:sz="4" w:space="0" w:color="auto"/>
              <w:right w:val="single" w:sz="4" w:space="0" w:color="auto"/>
            </w:tcBorders>
            <w:noWrap/>
            <w:vAlign w:val="center"/>
            <w:hideMark/>
          </w:tcPr>
          <w:p w14:paraId="1AF59F64"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5BF0731A"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327C99FE"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Serious</w:t>
            </w:r>
          </w:p>
        </w:tc>
      </w:tr>
      <w:tr w:rsidR="00514E50" w14:paraId="05FED0C6" w14:textId="77777777" w:rsidTr="00514E50">
        <w:trPr>
          <w:trHeight w:val="95"/>
        </w:trPr>
        <w:tc>
          <w:tcPr>
            <w:tcW w:w="1247" w:type="dxa"/>
            <w:tcBorders>
              <w:top w:val="nil"/>
              <w:left w:val="single" w:sz="4" w:space="0" w:color="auto"/>
              <w:bottom w:val="single" w:sz="4" w:space="0" w:color="auto"/>
              <w:right w:val="single" w:sz="4" w:space="0" w:color="auto"/>
            </w:tcBorders>
            <w:vAlign w:val="center"/>
            <w:hideMark/>
          </w:tcPr>
          <w:p w14:paraId="508BAA6F" w14:textId="77777777" w:rsidR="00514E50" w:rsidRDefault="00514E50" w:rsidP="00514E50">
            <w:pPr>
              <w:spacing w:after="0" w:line="240" w:lineRule="auto"/>
              <w:rPr>
                <w:rFonts w:ascii="Calibri" w:eastAsia="Times New Roman" w:hAnsi="Calibri" w:cs="Calibri"/>
                <w:b/>
                <w:bCs/>
                <w:color w:val="000000"/>
                <w:lang w:eastAsia="nl-NL"/>
              </w:rPr>
            </w:pPr>
            <w:r>
              <w:rPr>
                <w:rFonts w:ascii="Calibri" w:eastAsia="Times New Roman" w:hAnsi="Calibri" w:cs="Calibri"/>
                <w:b/>
                <w:bCs/>
                <w:color w:val="000000"/>
                <w:lang w:eastAsia="nl-NL"/>
              </w:rPr>
              <w:t>Tsoutsi et al., 2019</w:t>
            </w:r>
          </w:p>
        </w:tc>
        <w:tc>
          <w:tcPr>
            <w:tcW w:w="1341" w:type="dxa"/>
            <w:tcBorders>
              <w:top w:val="nil"/>
              <w:left w:val="nil"/>
              <w:bottom w:val="single" w:sz="4" w:space="0" w:color="auto"/>
              <w:right w:val="single" w:sz="4" w:space="0" w:color="auto"/>
            </w:tcBorders>
            <w:noWrap/>
            <w:vAlign w:val="center"/>
            <w:hideMark/>
          </w:tcPr>
          <w:p w14:paraId="1916485B"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Robins-I</w:t>
            </w:r>
          </w:p>
        </w:tc>
        <w:tc>
          <w:tcPr>
            <w:tcW w:w="1550" w:type="dxa"/>
            <w:tcBorders>
              <w:top w:val="nil"/>
              <w:left w:val="nil"/>
              <w:bottom w:val="single" w:sz="4" w:space="0" w:color="auto"/>
              <w:right w:val="single" w:sz="4" w:space="0" w:color="auto"/>
            </w:tcBorders>
            <w:noWrap/>
            <w:vAlign w:val="center"/>
            <w:hideMark/>
          </w:tcPr>
          <w:p w14:paraId="06E29158"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 </w:t>
            </w:r>
          </w:p>
        </w:tc>
        <w:tc>
          <w:tcPr>
            <w:tcW w:w="1341" w:type="dxa"/>
            <w:tcBorders>
              <w:top w:val="nil"/>
              <w:left w:val="nil"/>
              <w:bottom w:val="single" w:sz="4" w:space="0" w:color="auto"/>
              <w:right w:val="single" w:sz="4" w:space="0" w:color="auto"/>
            </w:tcBorders>
            <w:noWrap/>
            <w:vAlign w:val="center"/>
            <w:hideMark/>
          </w:tcPr>
          <w:p w14:paraId="3CEE9EFB"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2955DE00"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89" w:type="dxa"/>
            <w:tcBorders>
              <w:top w:val="nil"/>
              <w:left w:val="nil"/>
              <w:bottom w:val="single" w:sz="4" w:space="0" w:color="auto"/>
              <w:right w:val="single" w:sz="4" w:space="0" w:color="auto"/>
            </w:tcBorders>
            <w:noWrap/>
            <w:vAlign w:val="center"/>
            <w:hideMark/>
          </w:tcPr>
          <w:p w14:paraId="5E325F2B"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89" w:type="dxa"/>
            <w:tcBorders>
              <w:top w:val="nil"/>
              <w:left w:val="nil"/>
              <w:bottom w:val="single" w:sz="4" w:space="0" w:color="auto"/>
              <w:right w:val="single" w:sz="4" w:space="0" w:color="auto"/>
            </w:tcBorders>
            <w:noWrap/>
            <w:vAlign w:val="center"/>
            <w:hideMark/>
          </w:tcPr>
          <w:p w14:paraId="4D79E52A"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58594F5A"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443" w:type="dxa"/>
            <w:tcBorders>
              <w:top w:val="nil"/>
              <w:left w:val="nil"/>
              <w:bottom w:val="single" w:sz="4" w:space="0" w:color="auto"/>
              <w:right w:val="single" w:sz="4" w:space="0" w:color="auto"/>
            </w:tcBorders>
            <w:noWrap/>
            <w:vAlign w:val="center"/>
            <w:hideMark/>
          </w:tcPr>
          <w:p w14:paraId="75461A64"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1D6F6158"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54F63FEA"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r>
      <w:tr w:rsidR="00514E50" w14:paraId="46032E72" w14:textId="77777777" w:rsidTr="00514E50">
        <w:trPr>
          <w:trHeight w:val="95"/>
        </w:trPr>
        <w:tc>
          <w:tcPr>
            <w:tcW w:w="1247" w:type="dxa"/>
            <w:tcBorders>
              <w:top w:val="nil"/>
              <w:left w:val="single" w:sz="4" w:space="0" w:color="auto"/>
              <w:bottom w:val="single" w:sz="4" w:space="0" w:color="auto"/>
              <w:right w:val="single" w:sz="4" w:space="0" w:color="auto"/>
            </w:tcBorders>
            <w:vAlign w:val="center"/>
            <w:hideMark/>
          </w:tcPr>
          <w:p w14:paraId="1B9BEA76" w14:textId="77777777" w:rsidR="00514E50" w:rsidRDefault="00514E50" w:rsidP="00514E50">
            <w:pPr>
              <w:spacing w:after="0" w:line="240" w:lineRule="auto"/>
              <w:rPr>
                <w:rFonts w:ascii="Calibri" w:eastAsia="Times New Roman" w:hAnsi="Calibri" w:cs="Calibri"/>
                <w:b/>
                <w:bCs/>
                <w:color w:val="000000"/>
                <w:lang w:eastAsia="nl-NL"/>
              </w:rPr>
            </w:pPr>
            <w:r>
              <w:rPr>
                <w:rFonts w:ascii="Calibri" w:eastAsia="Times New Roman" w:hAnsi="Calibri" w:cs="Calibri"/>
                <w:b/>
                <w:bCs/>
                <w:color w:val="000000"/>
                <w:lang w:eastAsia="nl-NL"/>
              </w:rPr>
              <w:t>Wingen et al., 2006</w:t>
            </w:r>
          </w:p>
        </w:tc>
        <w:tc>
          <w:tcPr>
            <w:tcW w:w="1341" w:type="dxa"/>
            <w:tcBorders>
              <w:top w:val="nil"/>
              <w:left w:val="nil"/>
              <w:bottom w:val="single" w:sz="4" w:space="0" w:color="auto"/>
              <w:right w:val="single" w:sz="4" w:space="0" w:color="auto"/>
            </w:tcBorders>
            <w:noWrap/>
            <w:vAlign w:val="center"/>
            <w:hideMark/>
          </w:tcPr>
          <w:p w14:paraId="477E82FD"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Robins-I</w:t>
            </w:r>
          </w:p>
        </w:tc>
        <w:tc>
          <w:tcPr>
            <w:tcW w:w="1550" w:type="dxa"/>
            <w:tcBorders>
              <w:top w:val="nil"/>
              <w:left w:val="nil"/>
              <w:bottom w:val="single" w:sz="4" w:space="0" w:color="auto"/>
              <w:right w:val="single" w:sz="4" w:space="0" w:color="auto"/>
            </w:tcBorders>
            <w:noWrap/>
            <w:vAlign w:val="center"/>
            <w:hideMark/>
          </w:tcPr>
          <w:p w14:paraId="5B7400BF"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 </w:t>
            </w:r>
          </w:p>
        </w:tc>
        <w:tc>
          <w:tcPr>
            <w:tcW w:w="1341" w:type="dxa"/>
            <w:tcBorders>
              <w:top w:val="nil"/>
              <w:left w:val="nil"/>
              <w:bottom w:val="single" w:sz="4" w:space="0" w:color="auto"/>
              <w:right w:val="single" w:sz="4" w:space="0" w:color="auto"/>
            </w:tcBorders>
            <w:noWrap/>
            <w:vAlign w:val="center"/>
            <w:hideMark/>
          </w:tcPr>
          <w:p w14:paraId="0C4D7B41"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137E1441"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89" w:type="dxa"/>
            <w:tcBorders>
              <w:top w:val="nil"/>
              <w:left w:val="nil"/>
              <w:bottom w:val="single" w:sz="4" w:space="0" w:color="auto"/>
              <w:right w:val="single" w:sz="4" w:space="0" w:color="auto"/>
            </w:tcBorders>
            <w:noWrap/>
            <w:vAlign w:val="center"/>
            <w:hideMark/>
          </w:tcPr>
          <w:p w14:paraId="66DBB875"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89" w:type="dxa"/>
            <w:tcBorders>
              <w:top w:val="nil"/>
              <w:left w:val="nil"/>
              <w:bottom w:val="single" w:sz="4" w:space="0" w:color="auto"/>
              <w:right w:val="single" w:sz="4" w:space="0" w:color="auto"/>
            </w:tcBorders>
            <w:noWrap/>
            <w:vAlign w:val="center"/>
            <w:hideMark/>
          </w:tcPr>
          <w:p w14:paraId="16405F36"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3E915403"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443" w:type="dxa"/>
            <w:tcBorders>
              <w:top w:val="nil"/>
              <w:left w:val="nil"/>
              <w:bottom w:val="single" w:sz="4" w:space="0" w:color="auto"/>
              <w:right w:val="single" w:sz="4" w:space="0" w:color="auto"/>
            </w:tcBorders>
            <w:noWrap/>
            <w:vAlign w:val="center"/>
            <w:hideMark/>
          </w:tcPr>
          <w:p w14:paraId="6850D62C"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00354316"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c>
          <w:tcPr>
            <w:tcW w:w="1341" w:type="dxa"/>
            <w:tcBorders>
              <w:top w:val="nil"/>
              <w:left w:val="nil"/>
              <w:bottom w:val="single" w:sz="4" w:space="0" w:color="auto"/>
              <w:right w:val="single" w:sz="4" w:space="0" w:color="auto"/>
            </w:tcBorders>
            <w:noWrap/>
            <w:vAlign w:val="center"/>
            <w:hideMark/>
          </w:tcPr>
          <w:p w14:paraId="165B4217" w14:textId="77777777" w:rsidR="00514E50" w:rsidRDefault="00514E50" w:rsidP="00514E50">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Low</w:t>
            </w:r>
          </w:p>
        </w:tc>
      </w:tr>
    </w:tbl>
    <w:p w14:paraId="52F79604" w14:textId="77777777" w:rsidR="00514E50" w:rsidRDefault="00514E50" w:rsidP="00514E50">
      <w:r>
        <w:rPr>
          <w:b/>
          <w:bCs/>
        </w:rPr>
        <w:t>Table 2.</w:t>
      </w:r>
      <w:r>
        <w:t xml:space="preserve"> Risk of bias assessment.</w:t>
      </w:r>
    </w:p>
    <w:p w14:paraId="5A5C7646" w14:textId="77777777" w:rsidR="00514E50" w:rsidRDefault="00514E50" w:rsidP="00514E50">
      <w:pPr>
        <w:pStyle w:val="Kop2zwart"/>
        <w:rPr>
          <w:rFonts w:cstheme="minorBidi"/>
        </w:rPr>
      </w:pPr>
    </w:p>
    <w:p w14:paraId="28324DB2" w14:textId="77777777" w:rsidR="00514E50" w:rsidRDefault="00514E50" w:rsidP="00514E50">
      <w:pPr>
        <w:pStyle w:val="Kop2zwart"/>
      </w:pPr>
    </w:p>
    <w:p w14:paraId="268D2B26" w14:textId="77777777" w:rsidR="00AD1398" w:rsidRDefault="00AD1398"/>
    <w:sectPr w:rsidR="00AD1398" w:rsidSect="00514E5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E50"/>
    <w:rsid w:val="00514E50"/>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0AD5F"/>
  <w15:chartTrackingRefBased/>
  <w15:docId w15:val="{3918398F-0B54-44FC-92B6-05EC72E0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E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op1zwartChar">
    <w:name w:val="Kop 1 zwart Char"/>
    <w:basedOn w:val="DefaultParagraphFont"/>
    <w:link w:val="Kop1zwart"/>
    <w:locked/>
    <w:rsid w:val="00514E50"/>
    <w:rPr>
      <w:rFonts w:asciiTheme="majorHAnsi" w:eastAsiaTheme="majorEastAsia" w:hAnsiTheme="majorHAnsi" w:cstheme="majorBidi"/>
      <w:b/>
      <w:bCs/>
      <w:color w:val="2F5496" w:themeColor="accent1" w:themeShade="BF"/>
      <w:sz w:val="32"/>
      <w:szCs w:val="32"/>
    </w:rPr>
  </w:style>
  <w:style w:type="paragraph" w:customStyle="1" w:styleId="Kop1zwart">
    <w:name w:val="Kop 1 zwart"/>
    <w:basedOn w:val="Heading1"/>
    <w:link w:val="Kop1zwartChar"/>
    <w:qFormat/>
    <w:rsid w:val="00514E50"/>
    <w:pPr>
      <w:spacing w:line="480" w:lineRule="auto"/>
    </w:pPr>
    <w:rPr>
      <w:b/>
      <w:bCs/>
    </w:rPr>
  </w:style>
  <w:style w:type="character" w:customStyle="1" w:styleId="Kop2zwartChar">
    <w:name w:val="Kop 2 zwart Char"/>
    <w:basedOn w:val="DefaultParagraphFont"/>
    <w:link w:val="Kop2zwart"/>
    <w:locked/>
    <w:rsid w:val="00514E50"/>
    <w:rPr>
      <w:rFonts w:asciiTheme="majorHAnsi" w:hAnsiTheme="majorHAnsi" w:cs="Calibri Light"/>
      <w:b/>
      <w:lang w:val="en-GB"/>
    </w:rPr>
  </w:style>
  <w:style w:type="paragraph" w:customStyle="1" w:styleId="Kop2zwart">
    <w:name w:val="Kop 2 zwart"/>
    <w:basedOn w:val="Normal"/>
    <w:link w:val="Kop2zwartChar"/>
    <w:qFormat/>
    <w:rsid w:val="00514E50"/>
    <w:pPr>
      <w:spacing w:line="480" w:lineRule="auto"/>
    </w:pPr>
    <w:rPr>
      <w:rFonts w:asciiTheme="majorHAnsi" w:hAnsiTheme="majorHAnsi" w:cs="Calibri Light"/>
      <w:b/>
      <w:lang w:val="en-GB"/>
    </w:rPr>
  </w:style>
  <w:style w:type="character" w:customStyle="1" w:styleId="Kop3zwartChar">
    <w:name w:val="Kop 3 zwart Char"/>
    <w:basedOn w:val="DefaultParagraphFont"/>
    <w:link w:val="Kop3zwart"/>
    <w:locked/>
    <w:rsid w:val="00514E50"/>
    <w:rPr>
      <w:rFonts w:asciiTheme="majorHAnsi" w:hAnsiTheme="majorHAnsi" w:cstheme="majorHAnsi"/>
      <w:i/>
      <w:iCs/>
    </w:rPr>
  </w:style>
  <w:style w:type="paragraph" w:customStyle="1" w:styleId="Kop3zwart">
    <w:name w:val="Kop 3 zwart"/>
    <w:basedOn w:val="Normal"/>
    <w:link w:val="Kop3zwartChar"/>
    <w:qFormat/>
    <w:rsid w:val="00514E50"/>
    <w:pPr>
      <w:spacing w:line="480" w:lineRule="auto"/>
    </w:pPr>
    <w:rPr>
      <w:rFonts w:asciiTheme="majorHAnsi" w:hAnsiTheme="majorHAnsi" w:cstheme="majorHAnsi"/>
      <w:i/>
      <w:iCs/>
    </w:rPr>
  </w:style>
  <w:style w:type="character" w:customStyle="1" w:styleId="Heading1Char">
    <w:name w:val="Heading 1 Char"/>
    <w:basedOn w:val="DefaultParagraphFont"/>
    <w:link w:val="Heading1"/>
    <w:uiPriority w:val="9"/>
    <w:rsid w:val="00514E50"/>
    <w:rPr>
      <w:rFonts w:asciiTheme="majorHAnsi" w:eastAsiaTheme="majorEastAsia" w:hAnsiTheme="majorHAnsi" w:cstheme="majorBidi"/>
      <w:color w:val="2F5496" w:themeColor="accent1" w:themeShade="BF"/>
      <w:sz w:val="32"/>
      <w:szCs w:val="32"/>
    </w:rPr>
  </w:style>
  <w:style w:type="character" w:styleId="LineNumber">
    <w:name w:val="line number"/>
    <w:basedOn w:val="DefaultParagraphFont"/>
    <w:uiPriority w:val="99"/>
    <w:semiHidden/>
    <w:unhideWhenUsed/>
    <w:rsid w:val="00514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4518707">
      <w:bodyDiv w:val="1"/>
      <w:marLeft w:val="0"/>
      <w:marRight w:val="0"/>
      <w:marTop w:val="0"/>
      <w:marBottom w:val="0"/>
      <w:divBdr>
        <w:top w:val="none" w:sz="0" w:space="0" w:color="auto"/>
        <w:left w:val="none" w:sz="0" w:space="0" w:color="auto"/>
        <w:bottom w:val="none" w:sz="0" w:space="0" w:color="auto"/>
        <w:right w:val="none" w:sz="0" w:space="0" w:color="auto"/>
      </w:divBdr>
    </w:div>
    <w:div w:id="128184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517</Words>
  <Characters>2948</Characters>
  <Application>Microsoft Office Word</Application>
  <DocSecurity>0</DocSecurity>
  <Lines>24</Lines>
  <Paragraphs>6</Paragraphs>
  <ScaleCrop>false</ScaleCrop>
  <Company>Springer Nature</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2023-10-17T09:11:00Z</dcterms:created>
  <dcterms:modified xsi:type="dcterms:W3CDTF">2023-10-17T09:12:00Z</dcterms:modified>
</cp:coreProperties>
</file>