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93E290" w14:textId="4B13D561" w:rsidR="00DC0FD1" w:rsidRPr="003F6A48" w:rsidRDefault="006372E6">
      <w:pPr>
        <w:rPr>
          <w:b/>
          <w:lang w:val="en-US"/>
        </w:rPr>
      </w:pPr>
      <w:r w:rsidRPr="003F6A48">
        <w:rPr>
          <w:b/>
          <w:lang w:val="en-US"/>
        </w:rPr>
        <w:t xml:space="preserve">Supplementary </w:t>
      </w:r>
      <w:r w:rsidR="00B85AAF" w:rsidRPr="003F6A48">
        <w:rPr>
          <w:b/>
          <w:lang w:val="en-US"/>
        </w:rPr>
        <w:t>F</w:t>
      </w:r>
      <w:r w:rsidRPr="003F6A48">
        <w:rPr>
          <w:b/>
          <w:lang w:val="en-US"/>
        </w:rPr>
        <w:t>igure 1A</w:t>
      </w:r>
      <w:r>
        <w:rPr>
          <w:b/>
          <w:noProof/>
          <w:lang w:eastAsia="nl-NL"/>
        </w:rPr>
        <w:drawing>
          <wp:inline distT="0" distB="0" distL="0" distR="0" wp14:anchorId="2926F8BA" wp14:editId="5720CF29">
            <wp:extent cx="5391150" cy="3759305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ellcycle_distr_fig3A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120" cy="3763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788AC" w14:textId="52EDC6C6" w:rsidR="006372E6" w:rsidRPr="003F6A48" w:rsidRDefault="006372E6">
      <w:pPr>
        <w:rPr>
          <w:b/>
          <w:lang w:val="en-US"/>
        </w:rPr>
      </w:pPr>
      <w:r w:rsidRPr="003F6A48">
        <w:rPr>
          <w:b/>
          <w:lang w:val="en-US"/>
        </w:rPr>
        <w:t xml:space="preserve">Supplementary </w:t>
      </w:r>
      <w:r w:rsidR="00B85AAF">
        <w:rPr>
          <w:b/>
          <w:lang w:val="en-US"/>
        </w:rPr>
        <w:t>F</w:t>
      </w:r>
      <w:r w:rsidRPr="003F6A48">
        <w:rPr>
          <w:b/>
          <w:lang w:val="en-US"/>
        </w:rPr>
        <w:t>igure 1B</w:t>
      </w:r>
    </w:p>
    <w:p w14:paraId="70F330EF" w14:textId="77777777" w:rsidR="006372E6" w:rsidRDefault="006372E6">
      <w:pPr>
        <w:rPr>
          <w:b/>
          <w:sz w:val="20"/>
          <w:szCs w:val="20"/>
          <w:lang w:val="en-US"/>
        </w:rPr>
      </w:pPr>
      <w:r>
        <w:rPr>
          <w:b/>
          <w:noProof/>
          <w:sz w:val="20"/>
          <w:szCs w:val="20"/>
          <w:lang w:eastAsia="nl-NL"/>
        </w:rPr>
        <w:drawing>
          <wp:inline distT="0" distB="0" distL="0" distR="0" wp14:anchorId="20B83EB3" wp14:editId="574A1498">
            <wp:extent cx="4943475" cy="3447137"/>
            <wp:effectExtent l="0" t="0" r="0" b="127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ellcycle_Mitosis_fig3B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1908" cy="3453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923CE" w14:textId="77777777" w:rsidR="006372E6" w:rsidRDefault="006372E6">
      <w:pPr>
        <w:rPr>
          <w:b/>
          <w:sz w:val="20"/>
          <w:szCs w:val="20"/>
          <w:lang w:val="en-US"/>
        </w:rPr>
      </w:pPr>
    </w:p>
    <w:p w14:paraId="3FCF6DBA" w14:textId="77777777" w:rsidR="006372E6" w:rsidRDefault="006372E6">
      <w:pPr>
        <w:rPr>
          <w:b/>
          <w:sz w:val="20"/>
          <w:szCs w:val="20"/>
          <w:lang w:val="en-US"/>
        </w:rPr>
      </w:pPr>
    </w:p>
    <w:p w14:paraId="13B154E3" w14:textId="77777777" w:rsidR="006372E6" w:rsidRDefault="006372E6">
      <w:pPr>
        <w:rPr>
          <w:b/>
          <w:sz w:val="20"/>
          <w:szCs w:val="20"/>
          <w:lang w:val="en-US"/>
        </w:rPr>
      </w:pPr>
    </w:p>
    <w:p w14:paraId="1512338D" w14:textId="06EF8049" w:rsidR="00DA16D6" w:rsidRDefault="006372E6">
      <w:pPr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lastRenderedPageBreak/>
        <w:t xml:space="preserve">Supplementary </w:t>
      </w:r>
      <w:r w:rsidR="00B85AAF">
        <w:rPr>
          <w:b/>
          <w:sz w:val="20"/>
          <w:szCs w:val="20"/>
          <w:lang w:val="en-US"/>
        </w:rPr>
        <w:t>F</w:t>
      </w:r>
      <w:r w:rsidRPr="00565C46">
        <w:rPr>
          <w:b/>
          <w:sz w:val="20"/>
          <w:szCs w:val="20"/>
          <w:lang w:val="en-US"/>
        </w:rPr>
        <w:t xml:space="preserve">igure </w:t>
      </w:r>
      <w:r>
        <w:rPr>
          <w:b/>
          <w:sz w:val="20"/>
          <w:szCs w:val="20"/>
          <w:lang w:val="en-US"/>
        </w:rPr>
        <w:t>1</w:t>
      </w:r>
      <w:r w:rsidRPr="00565C46">
        <w:rPr>
          <w:b/>
          <w:sz w:val="20"/>
          <w:szCs w:val="20"/>
          <w:lang w:val="en-US"/>
        </w:rPr>
        <w:t>:</w:t>
      </w:r>
      <w:r w:rsidRPr="00565C46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Cell cycle distribution analysis after cisplatin exposure. Both cell lines were exposed for 4 hours with </w:t>
      </w:r>
      <w:r w:rsidRPr="00E42E32">
        <w:rPr>
          <w:sz w:val="20"/>
          <w:szCs w:val="20"/>
          <w:lang w:val="en-US"/>
        </w:rPr>
        <w:t>low dose (0.04 µM) cisplatin which correlates on our recovery experiment with the IC1.7 value of both VU-SCC-1131 and VU-SCC-OE, and high dose (0.2 µM) which correlates with the IC14.7 of VU-SCC-1131 and the IC7.0 of VU-SCC-OE</w:t>
      </w:r>
      <w:r>
        <w:rPr>
          <w:sz w:val="20"/>
          <w:szCs w:val="20"/>
          <w:lang w:val="en-US"/>
        </w:rPr>
        <w:t>. Cell cycle distribution was assessed directly after exposure and after 72h and 96h of repair time.</w:t>
      </w:r>
      <w:r w:rsidRPr="00E42E32">
        <w:rPr>
          <w:sz w:val="20"/>
          <w:szCs w:val="20"/>
          <w:lang w:val="en-US"/>
        </w:rPr>
        <w:t xml:space="preserve"> </w:t>
      </w:r>
      <w:r w:rsidRPr="00565C46">
        <w:rPr>
          <w:sz w:val="20"/>
          <w:szCs w:val="20"/>
          <w:lang w:val="en-US"/>
        </w:rPr>
        <w:t xml:space="preserve">A) </w:t>
      </w:r>
      <w:r>
        <w:rPr>
          <w:sz w:val="20"/>
          <w:szCs w:val="20"/>
          <w:lang w:val="en-US"/>
        </w:rPr>
        <w:t xml:space="preserve">Cell cycle distribution shows a higher proportion of cells in G1-phase after long repair time in VU-SCC-1131, VU-SCC-OE does not show alterations in cell cycle distribution. </w:t>
      </w:r>
      <w:r w:rsidRPr="00565C46">
        <w:rPr>
          <w:sz w:val="20"/>
          <w:szCs w:val="20"/>
          <w:lang w:val="en-US"/>
        </w:rPr>
        <w:t xml:space="preserve">B) </w:t>
      </w:r>
      <w:r>
        <w:rPr>
          <w:sz w:val="20"/>
          <w:szCs w:val="20"/>
          <w:lang w:val="en-US"/>
        </w:rPr>
        <w:t>M-phase analysis shows an increased proportion of cells in M-phase after 72 and 96h of repair in VU-SCC-OE, this effect is only seen after high dose exposure in VU-SCC-1131</w:t>
      </w:r>
    </w:p>
    <w:p w14:paraId="76506CB4" w14:textId="77777777" w:rsidR="00DA16D6" w:rsidRDefault="00DA16D6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409C98AC" w14:textId="64670460" w:rsidR="00DA16D6" w:rsidRDefault="00DA16D6">
      <w:pPr>
        <w:rPr>
          <w:b/>
          <w:lang w:val="en-US"/>
        </w:rPr>
      </w:pPr>
    </w:p>
    <w:p w14:paraId="5299DBFE" w14:textId="6BEDF28C" w:rsidR="00DA16D6" w:rsidRDefault="00DA16D6">
      <w:pPr>
        <w:rPr>
          <w:b/>
          <w:lang w:val="en-US"/>
        </w:rPr>
      </w:pPr>
      <w:r>
        <w:rPr>
          <w:b/>
          <w:lang w:val="en-US"/>
        </w:rPr>
        <w:t xml:space="preserve">Supplementary </w:t>
      </w:r>
      <w:r w:rsidR="00B85AAF">
        <w:rPr>
          <w:b/>
          <w:lang w:val="en-US"/>
        </w:rPr>
        <w:t xml:space="preserve">Figure </w:t>
      </w:r>
      <w:r>
        <w:rPr>
          <w:b/>
          <w:lang w:val="en-US"/>
        </w:rPr>
        <w:t>2</w:t>
      </w:r>
      <w:bookmarkStart w:id="0" w:name="_GoBack"/>
      <w:bookmarkEnd w:id="0"/>
      <w:r w:rsidR="00D1066F">
        <w:rPr>
          <w:b/>
          <w:noProof/>
          <w:lang w:eastAsia="nl-NL"/>
        </w:rPr>
        <w:drawing>
          <wp:inline distT="0" distB="0" distL="0" distR="0" wp14:anchorId="22E91805" wp14:editId="634B46DD">
            <wp:extent cx="5105400" cy="3557235"/>
            <wp:effectExtent l="0" t="0" r="0" b="5715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uptake_gDNA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9622" cy="3560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9937C" w14:textId="227EC7FE" w:rsidR="00806994" w:rsidRDefault="00D1066F" w:rsidP="00D1066F">
      <w:pPr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Supplementary f</w:t>
      </w:r>
      <w:r w:rsidRPr="00565C46">
        <w:rPr>
          <w:b/>
          <w:sz w:val="20"/>
          <w:szCs w:val="20"/>
          <w:lang w:val="en-US"/>
        </w:rPr>
        <w:t xml:space="preserve">igure </w:t>
      </w:r>
      <w:r>
        <w:rPr>
          <w:b/>
          <w:sz w:val="20"/>
          <w:szCs w:val="20"/>
          <w:lang w:val="en-US"/>
        </w:rPr>
        <w:t>2</w:t>
      </w:r>
      <w:r w:rsidRPr="00565C46">
        <w:rPr>
          <w:b/>
          <w:sz w:val="20"/>
          <w:szCs w:val="20"/>
          <w:lang w:val="en-US"/>
        </w:rPr>
        <w:t>:</w:t>
      </w:r>
      <w:r w:rsidRPr="00565C46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Shows the uptake and retention of Pt-195m cisplatin in the genomic DNA after 4 and 24 hours exposure of 5 </w:t>
      </w:r>
      <w:r>
        <w:rPr>
          <w:rFonts w:cstheme="minorHAnsi"/>
          <w:sz w:val="20"/>
          <w:szCs w:val="20"/>
          <w:lang w:val="en-US"/>
        </w:rPr>
        <w:t>µ</w:t>
      </w:r>
      <w:r>
        <w:rPr>
          <w:sz w:val="20"/>
          <w:szCs w:val="20"/>
          <w:lang w:val="en-US"/>
        </w:rPr>
        <w:t xml:space="preserve">M of 20 </w:t>
      </w:r>
      <w:r>
        <w:rPr>
          <w:rFonts w:cstheme="minorHAnsi"/>
          <w:sz w:val="20"/>
          <w:szCs w:val="20"/>
          <w:lang w:val="en-US"/>
        </w:rPr>
        <w:t>µ</w:t>
      </w:r>
      <w:r>
        <w:rPr>
          <w:sz w:val="20"/>
          <w:szCs w:val="20"/>
          <w:lang w:val="en-US"/>
        </w:rPr>
        <w:t xml:space="preserve">M Pt-195m cisplatin solution. </w:t>
      </w:r>
    </w:p>
    <w:p w14:paraId="65BBF1AF" w14:textId="77777777" w:rsidR="00806994" w:rsidRDefault="00806994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7633A74E" w14:textId="5973B84F" w:rsidR="00806994" w:rsidRDefault="00806994" w:rsidP="00806994">
      <w:pPr>
        <w:rPr>
          <w:b/>
          <w:lang w:val="en-US"/>
        </w:rPr>
      </w:pPr>
      <w:r>
        <w:rPr>
          <w:b/>
          <w:lang w:val="en-US"/>
        </w:rPr>
        <w:lastRenderedPageBreak/>
        <w:t xml:space="preserve">Supplementary </w:t>
      </w:r>
      <w:r w:rsidR="00B85AAF">
        <w:rPr>
          <w:b/>
          <w:lang w:val="en-US"/>
        </w:rPr>
        <w:t xml:space="preserve">Figure </w:t>
      </w:r>
      <w:r>
        <w:rPr>
          <w:b/>
          <w:lang w:val="en-US"/>
        </w:rPr>
        <w:t>3</w:t>
      </w:r>
    </w:p>
    <w:p w14:paraId="36A64848" w14:textId="77777777" w:rsidR="0088490A" w:rsidRDefault="0088490A">
      <w:pPr>
        <w:rPr>
          <w:b/>
          <w:lang w:val="en-US"/>
        </w:rPr>
      </w:pPr>
      <w:r>
        <w:rPr>
          <w:noProof/>
          <w:lang w:eastAsia="nl-NL"/>
        </w:rPr>
        <w:drawing>
          <wp:anchor distT="0" distB="0" distL="114300" distR="114300" simplePos="0" relativeHeight="251659264" behindDoc="0" locked="0" layoutInCell="1" allowOverlap="1" wp14:anchorId="59EA7E53" wp14:editId="13FD2187">
            <wp:simplePos x="0" y="0"/>
            <wp:positionH relativeFrom="margin">
              <wp:align>left</wp:align>
            </wp:positionH>
            <wp:positionV relativeFrom="paragraph">
              <wp:posOffset>8255</wp:posOffset>
            </wp:positionV>
            <wp:extent cx="4320000" cy="3132857"/>
            <wp:effectExtent l="0" t="0" r="4445" b="0"/>
            <wp:wrapNone/>
            <wp:docPr id="6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1328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2FD031" w14:textId="77777777" w:rsidR="0088490A" w:rsidRDefault="0088490A">
      <w:pPr>
        <w:rPr>
          <w:b/>
          <w:lang w:val="en-US"/>
        </w:rPr>
      </w:pPr>
    </w:p>
    <w:p w14:paraId="5952C011" w14:textId="77777777" w:rsidR="0088490A" w:rsidRDefault="0088490A">
      <w:pPr>
        <w:rPr>
          <w:b/>
          <w:lang w:val="en-US"/>
        </w:rPr>
      </w:pPr>
    </w:p>
    <w:p w14:paraId="569F24F7" w14:textId="77777777" w:rsidR="0088490A" w:rsidRDefault="0088490A">
      <w:pPr>
        <w:rPr>
          <w:b/>
          <w:lang w:val="en-US"/>
        </w:rPr>
      </w:pPr>
    </w:p>
    <w:p w14:paraId="3259FAF0" w14:textId="77777777" w:rsidR="0088490A" w:rsidRDefault="0088490A">
      <w:pPr>
        <w:rPr>
          <w:b/>
          <w:lang w:val="en-US"/>
        </w:rPr>
      </w:pPr>
    </w:p>
    <w:p w14:paraId="40FC8F8C" w14:textId="77777777" w:rsidR="0088490A" w:rsidRDefault="0088490A">
      <w:pPr>
        <w:rPr>
          <w:b/>
          <w:lang w:val="en-US"/>
        </w:rPr>
      </w:pPr>
    </w:p>
    <w:p w14:paraId="341BB6D7" w14:textId="77777777" w:rsidR="0088490A" w:rsidRDefault="0088490A">
      <w:pPr>
        <w:rPr>
          <w:b/>
          <w:lang w:val="en-US"/>
        </w:rPr>
      </w:pPr>
    </w:p>
    <w:p w14:paraId="26422CCD" w14:textId="77777777" w:rsidR="0088490A" w:rsidRDefault="0088490A">
      <w:pPr>
        <w:rPr>
          <w:b/>
          <w:lang w:val="en-US"/>
        </w:rPr>
      </w:pPr>
    </w:p>
    <w:p w14:paraId="53BD6E04" w14:textId="77777777" w:rsidR="0088490A" w:rsidRDefault="0088490A">
      <w:pPr>
        <w:rPr>
          <w:b/>
          <w:lang w:val="en-US"/>
        </w:rPr>
      </w:pPr>
    </w:p>
    <w:p w14:paraId="25327C7A" w14:textId="77777777" w:rsidR="0088490A" w:rsidRDefault="0088490A">
      <w:pPr>
        <w:rPr>
          <w:b/>
          <w:lang w:val="en-US"/>
        </w:rPr>
      </w:pPr>
    </w:p>
    <w:p w14:paraId="1CDE12D0" w14:textId="77777777" w:rsidR="0088490A" w:rsidRDefault="0088490A">
      <w:pPr>
        <w:rPr>
          <w:b/>
          <w:lang w:val="en-US"/>
        </w:rPr>
      </w:pPr>
      <w:r>
        <w:rPr>
          <w:noProof/>
          <w:lang w:eastAsia="nl-NL"/>
        </w:rPr>
        <w:drawing>
          <wp:anchor distT="0" distB="0" distL="114300" distR="114300" simplePos="0" relativeHeight="251660288" behindDoc="0" locked="0" layoutInCell="1" allowOverlap="1" wp14:anchorId="70FBF6AE" wp14:editId="0D336BB9">
            <wp:simplePos x="0" y="0"/>
            <wp:positionH relativeFrom="margin">
              <wp:posOffset>74295</wp:posOffset>
            </wp:positionH>
            <wp:positionV relativeFrom="paragraph">
              <wp:posOffset>15875</wp:posOffset>
            </wp:positionV>
            <wp:extent cx="4320000" cy="3132857"/>
            <wp:effectExtent l="0" t="0" r="4445" b="0"/>
            <wp:wrapNone/>
            <wp:docPr id="7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1328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847BC6" w14:textId="77777777" w:rsidR="0088490A" w:rsidRDefault="0088490A">
      <w:pPr>
        <w:rPr>
          <w:b/>
          <w:lang w:val="en-US"/>
        </w:rPr>
      </w:pPr>
    </w:p>
    <w:p w14:paraId="0B8D15FA" w14:textId="77777777" w:rsidR="0088490A" w:rsidRDefault="0088490A">
      <w:pPr>
        <w:rPr>
          <w:b/>
          <w:lang w:val="en-US"/>
        </w:rPr>
      </w:pPr>
    </w:p>
    <w:p w14:paraId="3E90D064" w14:textId="77777777" w:rsidR="0088490A" w:rsidRDefault="0088490A">
      <w:pPr>
        <w:rPr>
          <w:b/>
          <w:lang w:val="en-US"/>
        </w:rPr>
      </w:pPr>
    </w:p>
    <w:p w14:paraId="54976B7C" w14:textId="77777777" w:rsidR="0088490A" w:rsidRDefault="0088490A">
      <w:pPr>
        <w:rPr>
          <w:b/>
          <w:lang w:val="en-US"/>
        </w:rPr>
      </w:pPr>
    </w:p>
    <w:p w14:paraId="5003681C" w14:textId="77777777" w:rsidR="0088490A" w:rsidRDefault="0088490A">
      <w:pPr>
        <w:rPr>
          <w:b/>
          <w:lang w:val="en-US"/>
        </w:rPr>
      </w:pPr>
    </w:p>
    <w:p w14:paraId="2DBDE1E0" w14:textId="77777777" w:rsidR="0088490A" w:rsidRDefault="0088490A">
      <w:pPr>
        <w:rPr>
          <w:b/>
          <w:lang w:val="en-US"/>
        </w:rPr>
      </w:pPr>
    </w:p>
    <w:p w14:paraId="688F10D6" w14:textId="77777777" w:rsidR="0088490A" w:rsidRDefault="0088490A">
      <w:pPr>
        <w:rPr>
          <w:b/>
          <w:lang w:val="en-US"/>
        </w:rPr>
      </w:pPr>
    </w:p>
    <w:p w14:paraId="5385C000" w14:textId="77777777" w:rsidR="0088490A" w:rsidRDefault="0088490A">
      <w:pPr>
        <w:rPr>
          <w:b/>
          <w:lang w:val="en-US"/>
        </w:rPr>
      </w:pPr>
    </w:p>
    <w:p w14:paraId="4D23AD2C" w14:textId="77777777" w:rsidR="0088490A" w:rsidRDefault="0088490A">
      <w:pPr>
        <w:rPr>
          <w:b/>
          <w:lang w:val="en-US"/>
        </w:rPr>
      </w:pPr>
    </w:p>
    <w:p w14:paraId="6CB73D69" w14:textId="77777777" w:rsidR="0088490A" w:rsidRDefault="0088490A">
      <w:pPr>
        <w:rPr>
          <w:b/>
          <w:lang w:val="en-US"/>
        </w:rPr>
      </w:pPr>
    </w:p>
    <w:p w14:paraId="4CBBC979" w14:textId="47729427" w:rsidR="00427365" w:rsidRDefault="0088490A">
      <w:pPr>
        <w:rPr>
          <w:sz w:val="20"/>
          <w:lang w:val="en-US"/>
        </w:rPr>
      </w:pPr>
      <w:r>
        <w:rPr>
          <w:b/>
          <w:sz w:val="20"/>
          <w:lang w:val="en-US"/>
        </w:rPr>
        <w:t xml:space="preserve">Supplementary </w:t>
      </w:r>
      <w:r w:rsidR="00B85AAF">
        <w:rPr>
          <w:b/>
          <w:sz w:val="20"/>
          <w:lang w:val="en-US"/>
        </w:rPr>
        <w:t xml:space="preserve">Figure </w:t>
      </w:r>
      <w:r>
        <w:rPr>
          <w:b/>
          <w:sz w:val="20"/>
          <w:lang w:val="en-US"/>
        </w:rPr>
        <w:t xml:space="preserve">3: </w:t>
      </w:r>
      <w:r w:rsidRPr="0088490A">
        <w:rPr>
          <w:sz w:val="20"/>
          <w:lang w:val="en-US"/>
        </w:rPr>
        <w:t>Biodistribution of Pt-195m cisplatin in VU-SCC-1131 xenograft–bearing adult female nude mice (n = 3/time point) at 1,6 and 24 hours after intravenous injection. Differences between IV and IP administration. Radiotracer uptake in % injected dose/g was determined by γ-counting.</w:t>
      </w:r>
    </w:p>
    <w:p w14:paraId="5B2D0930" w14:textId="77777777" w:rsidR="00427365" w:rsidRDefault="00427365">
      <w:pPr>
        <w:rPr>
          <w:sz w:val="20"/>
          <w:lang w:val="en-US"/>
        </w:rPr>
      </w:pPr>
      <w:r>
        <w:rPr>
          <w:sz w:val="20"/>
          <w:lang w:val="en-US"/>
        </w:rPr>
        <w:br w:type="page"/>
      </w:r>
    </w:p>
    <w:p w14:paraId="69C6554B" w14:textId="11AA73C3" w:rsidR="0088490A" w:rsidRPr="00427365" w:rsidRDefault="00427365">
      <w:pPr>
        <w:rPr>
          <w:b/>
          <w:lang w:val="en-US"/>
        </w:rPr>
      </w:pPr>
      <w:r w:rsidRPr="00427365">
        <w:rPr>
          <w:b/>
          <w:lang w:val="en-US"/>
        </w:rPr>
        <w:lastRenderedPageBreak/>
        <w:t xml:space="preserve">Supplementary </w:t>
      </w:r>
      <w:r w:rsidR="00B85AAF">
        <w:rPr>
          <w:b/>
          <w:lang w:val="en-US"/>
        </w:rPr>
        <w:t>F</w:t>
      </w:r>
      <w:r w:rsidR="00B85AAF" w:rsidRPr="00427365">
        <w:rPr>
          <w:b/>
          <w:lang w:val="en-US"/>
        </w:rPr>
        <w:t xml:space="preserve">igure </w:t>
      </w:r>
      <w:r w:rsidRPr="00427365">
        <w:rPr>
          <w:b/>
          <w:lang w:val="en-US"/>
        </w:rPr>
        <w:t>4</w:t>
      </w:r>
    </w:p>
    <w:p w14:paraId="78C31CCC" w14:textId="77777777" w:rsidR="00427365" w:rsidRPr="0088490A" w:rsidRDefault="00427365">
      <w:pPr>
        <w:rPr>
          <w:sz w:val="20"/>
          <w:lang w:val="en-US"/>
        </w:rPr>
      </w:pPr>
      <w:r>
        <w:rPr>
          <w:noProof/>
          <w:lang w:eastAsia="nl-NL"/>
        </w:rPr>
        <w:drawing>
          <wp:inline distT="0" distB="0" distL="0" distR="0" wp14:anchorId="08B84B16" wp14:editId="21254B48">
            <wp:extent cx="5760720" cy="3671570"/>
            <wp:effectExtent l="0" t="0" r="0" b="5080"/>
            <wp:docPr id="8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7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4B64B" w14:textId="5327C047" w:rsidR="0088490A" w:rsidRPr="00427365" w:rsidRDefault="00427365">
      <w:pPr>
        <w:rPr>
          <w:sz w:val="20"/>
          <w:lang w:val="en-US"/>
        </w:rPr>
      </w:pPr>
      <w:r>
        <w:rPr>
          <w:b/>
          <w:sz w:val="20"/>
          <w:lang w:val="en-US"/>
        </w:rPr>
        <w:t xml:space="preserve">Supplementary </w:t>
      </w:r>
      <w:r w:rsidR="00B85AAF">
        <w:rPr>
          <w:b/>
          <w:sz w:val="20"/>
          <w:lang w:val="en-US"/>
        </w:rPr>
        <w:t>F</w:t>
      </w:r>
      <w:r>
        <w:rPr>
          <w:b/>
          <w:sz w:val="20"/>
          <w:lang w:val="en-US"/>
        </w:rPr>
        <w:t xml:space="preserve">igure 4: </w:t>
      </w:r>
      <w:r w:rsidRPr="00427365">
        <w:rPr>
          <w:sz w:val="20"/>
          <w:lang w:val="en-US"/>
        </w:rPr>
        <w:t>Biodistribution of Pt-195m cisplatin in VU-SCC-1131 xenograft–bearing adult female nude mice (n = 3/time point) at 1,6 and 24 hours after intravenous injection. Differences between IV and IP administration in tumor uptake. Radiotracer uptake in % injected dose/g was determined by γ-counting.</w:t>
      </w:r>
    </w:p>
    <w:p w14:paraId="31424293" w14:textId="77777777" w:rsidR="0088490A" w:rsidRDefault="0088490A">
      <w:pPr>
        <w:rPr>
          <w:b/>
          <w:lang w:val="en-US"/>
        </w:rPr>
      </w:pPr>
    </w:p>
    <w:p w14:paraId="5600C776" w14:textId="77777777" w:rsidR="0088490A" w:rsidRDefault="0088490A">
      <w:pPr>
        <w:rPr>
          <w:b/>
          <w:lang w:val="en-US"/>
        </w:rPr>
      </w:pPr>
    </w:p>
    <w:p w14:paraId="76F0CD56" w14:textId="77777777" w:rsidR="0088490A" w:rsidRDefault="0088490A">
      <w:pPr>
        <w:rPr>
          <w:b/>
          <w:lang w:val="en-US"/>
        </w:rPr>
      </w:pPr>
    </w:p>
    <w:p w14:paraId="0F02436C" w14:textId="77777777" w:rsidR="0088490A" w:rsidRDefault="0088490A">
      <w:pPr>
        <w:rPr>
          <w:b/>
          <w:lang w:val="en-US"/>
        </w:rPr>
      </w:pPr>
    </w:p>
    <w:p w14:paraId="64E13E5B" w14:textId="77777777" w:rsidR="0088490A" w:rsidRDefault="0088490A">
      <w:pPr>
        <w:rPr>
          <w:b/>
          <w:lang w:val="en-US"/>
        </w:rPr>
      </w:pPr>
    </w:p>
    <w:p w14:paraId="302204C6" w14:textId="77777777" w:rsidR="0088490A" w:rsidRDefault="0088490A">
      <w:pPr>
        <w:rPr>
          <w:b/>
          <w:lang w:val="en-US"/>
        </w:rPr>
      </w:pPr>
    </w:p>
    <w:p w14:paraId="241DDFFF" w14:textId="77777777" w:rsidR="00DA16D6" w:rsidRPr="006372E6" w:rsidRDefault="00DA16D6">
      <w:pPr>
        <w:rPr>
          <w:b/>
          <w:lang w:val="en-US"/>
        </w:rPr>
      </w:pPr>
    </w:p>
    <w:sectPr w:rsidR="00DA16D6" w:rsidRPr="006372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2E6"/>
    <w:rsid w:val="003F6A48"/>
    <w:rsid w:val="00427365"/>
    <w:rsid w:val="00524A46"/>
    <w:rsid w:val="006372E6"/>
    <w:rsid w:val="00806994"/>
    <w:rsid w:val="00842022"/>
    <w:rsid w:val="0088490A"/>
    <w:rsid w:val="00984ED9"/>
    <w:rsid w:val="00A634DA"/>
    <w:rsid w:val="00B85AAF"/>
    <w:rsid w:val="00D1066F"/>
    <w:rsid w:val="00DA16D6"/>
    <w:rsid w:val="00DC0FD1"/>
    <w:rsid w:val="00DE4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26644"/>
  <w15:chartTrackingRefBased/>
  <w15:docId w15:val="{71DC5EB6-E7B0-49B4-B553-07BE9AD81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6372E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6372E6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6372E6"/>
    <w:rPr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6372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372E6"/>
    <w:rPr>
      <w:rFonts w:ascii="Segoe UI" w:hAnsi="Segoe UI" w:cs="Segoe UI"/>
      <w:sz w:val="18"/>
      <w:szCs w:val="18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524A4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524A4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6F10F735</Template>
  <TotalTime>0</TotalTime>
  <Pages>5</Pages>
  <Words>270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VUmc</Company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Roest, R.H. de (Reinout)</dc:creator>
  <cp:keywords/>
  <dc:description/>
  <cp:lastModifiedBy>Roest, R.H. de (Reinout)</cp:lastModifiedBy>
  <cp:revision>2</cp:revision>
  <dcterms:created xsi:type="dcterms:W3CDTF">2023-03-28T10:45:00Z</dcterms:created>
  <dcterms:modified xsi:type="dcterms:W3CDTF">2023-03-28T10:45:00Z</dcterms:modified>
</cp:coreProperties>
</file>