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51CD6" w14:textId="77777777" w:rsidR="00DA2303" w:rsidRDefault="00DA2303" w:rsidP="00DA2303">
      <w:pPr>
        <w:spacing w:line="360" w:lineRule="auto"/>
        <w:jc w:val="both"/>
        <w:rPr>
          <w:rFonts w:eastAsia="Times New Roman"/>
          <w:b/>
          <w:bCs/>
          <w:lang w:val="en-US"/>
        </w:rPr>
      </w:pPr>
      <w:r w:rsidRPr="002F26F3">
        <w:rPr>
          <w:rFonts w:eastAsia="Times New Roman"/>
          <w:b/>
          <w:bCs/>
          <w:lang w:val="en-US"/>
        </w:rPr>
        <w:t>Supplementary material</w:t>
      </w:r>
    </w:p>
    <w:p w14:paraId="2CE00C32" w14:textId="77777777" w:rsidR="00DA2303" w:rsidRDefault="00DA2303" w:rsidP="00DA2303">
      <w:pPr>
        <w:spacing w:line="360" w:lineRule="auto"/>
        <w:jc w:val="both"/>
        <w:rPr>
          <w:rFonts w:eastAsia="Times New Roman"/>
          <w:b/>
          <w:bCs/>
          <w:lang w:val="en-US"/>
        </w:rPr>
      </w:pPr>
    </w:p>
    <w:p w14:paraId="2A409476" w14:textId="1F04BC44" w:rsidR="00DA2303" w:rsidRDefault="007D2FBE" w:rsidP="00DA2303">
      <w:pPr>
        <w:spacing w:line="360" w:lineRule="auto"/>
        <w:jc w:val="both"/>
        <w:rPr>
          <w:rFonts w:eastAsia="Times New Roman"/>
          <w:b/>
          <w:bCs/>
          <w:lang w:val="en-US"/>
        </w:rPr>
      </w:pPr>
      <w:r>
        <w:rPr>
          <w:rFonts w:eastAsia="Times New Roman"/>
          <w:b/>
          <w:bCs/>
          <w:noProof/>
          <w:lang w:val="en-US"/>
        </w:rPr>
        <w:drawing>
          <wp:inline distT="0" distB="0" distL="0" distR="0" wp14:anchorId="13B74BAE" wp14:editId="00CADF30">
            <wp:extent cx="5733415" cy="7219950"/>
            <wp:effectExtent l="0" t="0" r="635" b="0"/>
            <wp:docPr id="2" name="Imagem 2"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Diagrama&#10;&#10;Descrição gerada automaticamente"/>
                    <pic:cNvPicPr/>
                  </pic:nvPicPr>
                  <pic:blipFill>
                    <a:blip r:embed="rId6">
                      <a:extLst>
                        <a:ext uri="{28A0092B-C50C-407E-A947-70E740481C1C}">
                          <a14:useLocalDpi xmlns:a14="http://schemas.microsoft.com/office/drawing/2010/main" val="0"/>
                        </a:ext>
                      </a:extLst>
                    </a:blip>
                    <a:stretch>
                      <a:fillRect/>
                    </a:stretch>
                  </pic:blipFill>
                  <pic:spPr>
                    <a:xfrm>
                      <a:off x="0" y="0"/>
                      <a:ext cx="5733415" cy="7219950"/>
                    </a:xfrm>
                    <a:prstGeom prst="rect">
                      <a:avLst/>
                    </a:prstGeom>
                  </pic:spPr>
                </pic:pic>
              </a:graphicData>
            </a:graphic>
          </wp:inline>
        </w:drawing>
      </w:r>
    </w:p>
    <w:p w14:paraId="0A8C327C" w14:textId="77777777" w:rsidR="00DA2303" w:rsidRDefault="00DA2303" w:rsidP="00DA2303">
      <w:pPr>
        <w:jc w:val="both"/>
        <w:rPr>
          <w:sz w:val="20"/>
          <w:szCs w:val="20"/>
          <w:lang w:val="en-US"/>
        </w:rPr>
      </w:pPr>
      <w:r w:rsidRPr="007263C7">
        <w:rPr>
          <w:b/>
          <w:sz w:val="20"/>
          <w:szCs w:val="20"/>
          <w:lang w:val="en-US"/>
        </w:rPr>
        <w:t>Figure S1. Validation of the ER stress meta-signature.</w:t>
      </w:r>
      <w:r w:rsidRPr="00721583">
        <w:rPr>
          <w:bCs/>
          <w:sz w:val="20"/>
          <w:szCs w:val="20"/>
          <w:lang w:val="en-US"/>
        </w:rPr>
        <w:t xml:space="preserve"> Volcano plots showing the differential expression of the 37 signature genes in four GEO studies</w:t>
      </w:r>
      <w:r>
        <w:rPr>
          <w:sz w:val="20"/>
          <w:szCs w:val="20"/>
          <w:lang w:val="en-US"/>
        </w:rPr>
        <w:t xml:space="preserve"> that treated different brain tumor cell lines with </w:t>
      </w:r>
      <w:proofErr w:type="spellStart"/>
      <w:r>
        <w:rPr>
          <w:sz w:val="20"/>
          <w:szCs w:val="20"/>
          <w:lang w:val="en-US"/>
        </w:rPr>
        <w:t>thapsigargin</w:t>
      </w:r>
      <w:proofErr w:type="spellEnd"/>
      <w:r>
        <w:rPr>
          <w:sz w:val="20"/>
          <w:szCs w:val="20"/>
          <w:lang w:val="en-US"/>
        </w:rPr>
        <w:t xml:space="preserve"> (A), tunicamycin (B) or </w:t>
      </w:r>
      <w:proofErr w:type="spellStart"/>
      <w:r>
        <w:rPr>
          <w:sz w:val="20"/>
          <w:szCs w:val="20"/>
          <w:lang w:val="en-US"/>
        </w:rPr>
        <w:t>erstressin</w:t>
      </w:r>
      <w:proofErr w:type="spellEnd"/>
      <w:r>
        <w:rPr>
          <w:sz w:val="20"/>
          <w:szCs w:val="20"/>
          <w:lang w:val="en-US"/>
        </w:rPr>
        <w:t xml:space="preserve"> (C). Gene names are indicated. Dots in red indicate genes with significant difference in expression (p&lt;0.05).</w:t>
      </w:r>
    </w:p>
    <w:p w14:paraId="3F797AB1" w14:textId="77777777" w:rsidR="00DA2303" w:rsidRDefault="00DA2303" w:rsidP="00DA2303">
      <w:pPr>
        <w:jc w:val="both"/>
        <w:rPr>
          <w:sz w:val="20"/>
          <w:szCs w:val="20"/>
          <w:lang w:val="en-US"/>
        </w:rPr>
      </w:pPr>
    </w:p>
    <w:p w14:paraId="3264A242" w14:textId="77777777" w:rsidR="00DA2303" w:rsidRDefault="00DA2303" w:rsidP="00DA2303">
      <w:pPr>
        <w:jc w:val="both"/>
        <w:rPr>
          <w:sz w:val="20"/>
          <w:szCs w:val="20"/>
          <w:lang w:val="en-US"/>
        </w:rPr>
      </w:pPr>
    </w:p>
    <w:p w14:paraId="59B17C2A" w14:textId="533BA5EB" w:rsidR="00DA2303" w:rsidRPr="00721583" w:rsidRDefault="00F6544D" w:rsidP="00DA2303">
      <w:pPr>
        <w:jc w:val="both"/>
        <w:rPr>
          <w:rFonts w:eastAsia="Times New Roman"/>
          <w:lang w:val="en-US"/>
        </w:rPr>
      </w:pPr>
      <w:r>
        <w:rPr>
          <w:rFonts w:eastAsia="Times New Roman"/>
          <w:noProof/>
          <w:lang w:val="en-US"/>
        </w:rPr>
        <w:lastRenderedPageBreak/>
        <w:drawing>
          <wp:inline distT="0" distB="0" distL="0" distR="0" wp14:anchorId="3259080E" wp14:editId="16B0AB92">
            <wp:extent cx="5733415" cy="5003165"/>
            <wp:effectExtent l="0" t="0" r="635" b="6985"/>
            <wp:docPr id="3" name="Imagem 3" descr="Gráfic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Gráfico, Diagrama&#10;&#10;Descrição gerada automaticamente"/>
                    <pic:cNvPicPr/>
                  </pic:nvPicPr>
                  <pic:blipFill>
                    <a:blip r:embed="rId7">
                      <a:extLst>
                        <a:ext uri="{28A0092B-C50C-407E-A947-70E740481C1C}">
                          <a14:useLocalDpi xmlns:a14="http://schemas.microsoft.com/office/drawing/2010/main" val="0"/>
                        </a:ext>
                      </a:extLst>
                    </a:blip>
                    <a:stretch>
                      <a:fillRect/>
                    </a:stretch>
                  </pic:blipFill>
                  <pic:spPr>
                    <a:xfrm>
                      <a:off x="0" y="0"/>
                      <a:ext cx="5733415" cy="5003165"/>
                    </a:xfrm>
                    <a:prstGeom prst="rect">
                      <a:avLst/>
                    </a:prstGeom>
                  </pic:spPr>
                </pic:pic>
              </a:graphicData>
            </a:graphic>
          </wp:inline>
        </w:drawing>
      </w:r>
    </w:p>
    <w:p w14:paraId="08F54E53" w14:textId="280594D6" w:rsidR="00DA2303" w:rsidRPr="008049C4" w:rsidRDefault="00DA2303" w:rsidP="00DA2303">
      <w:pPr>
        <w:jc w:val="both"/>
        <w:rPr>
          <w:rFonts w:eastAsia="Times New Roman"/>
          <w:b/>
          <w:bCs/>
          <w:lang w:val="en-US"/>
        </w:rPr>
      </w:pPr>
      <w:r w:rsidRPr="002F26F3">
        <w:rPr>
          <w:b/>
          <w:sz w:val="20"/>
          <w:szCs w:val="20"/>
          <w:lang w:val="en-US"/>
        </w:rPr>
        <w:t>Figure S</w:t>
      </w:r>
      <w:r>
        <w:rPr>
          <w:b/>
          <w:sz w:val="20"/>
          <w:szCs w:val="20"/>
          <w:lang w:val="en-US"/>
        </w:rPr>
        <w:t>2</w:t>
      </w:r>
      <w:r w:rsidRPr="002F26F3">
        <w:rPr>
          <w:b/>
          <w:sz w:val="20"/>
          <w:szCs w:val="20"/>
          <w:lang w:val="en-US"/>
        </w:rPr>
        <w:t xml:space="preserve">. </w:t>
      </w:r>
      <w:r w:rsidRPr="00DD497F">
        <w:rPr>
          <w:b/>
          <w:bCs/>
          <w:sz w:val="20"/>
          <w:szCs w:val="20"/>
          <w:lang w:val="en-US"/>
        </w:rPr>
        <w:t>ER stress expression comparison between tumor and macrophages populations.</w:t>
      </w:r>
      <w:r w:rsidRPr="002F26F3">
        <w:rPr>
          <w:sz w:val="20"/>
          <w:szCs w:val="20"/>
          <w:lang w:val="en-US"/>
        </w:rPr>
        <w:t xml:space="preserve"> (A) Ridge plots of ER stress signature expression of each patient, divided into tumor and macrophage populations.</w:t>
      </w:r>
      <w:r w:rsidR="00441408">
        <w:rPr>
          <w:sz w:val="20"/>
          <w:szCs w:val="20"/>
          <w:lang w:val="en-US"/>
        </w:rPr>
        <w:t xml:space="preserve"> (B) Correlation between the average ER stress signature expression in macrophages and in tumor cells. E</w:t>
      </w:r>
      <w:r w:rsidR="00441408" w:rsidRPr="00441408">
        <w:rPr>
          <w:sz w:val="20"/>
          <w:szCs w:val="20"/>
          <w:lang w:val="en-US"/>
        </w:rPr>
        <w:t xml:space="preserve">ach dot represents one of the 9 glioblastomas from </w:t>
      </w:r>
      <w:proofErr w:type="spellStart"/>
      <w:r w:rsidR="00441408" w:rsidRPr="00441408">
        <w:rPr>
          <w:sz w:val="20"/>
          <w:szCs w:val="20"/>
          <w:lang w:val="en-US"/>
        </w:rPr>
        <w:t>scRNA</w:t>
      </w:r>
      <w:proofErr w:type="spellEnd"/>
      <w:r w:rsidR="00441408" w:rsidRPr="00441408">
        <w:rPr>
          <w:sz w:val="20"/>
          <w:szCs w:val="20"/>
          <w:lang w:val="en-US"/>
        </w:rPr>
        <w:t>-seq data. Samples’ IDs are indicated. Pearson's correlation coefficient (r) and p-value (p) are shown.</w:t>
      </w:r>
      <w:r w:rsidR="00441408">
        <w:rPr>
          <w:sz w:val="20"/>
          <w:szCs w:val="20"/>
          <w:lang w:val="en-US"/>
        </w:rPr>
        <w:t xml:space="preserve"> </w:t>
      </w:r>
      <w:r w:rsidRPr="002F26F3">
        <w:rPr>
          <w:sz w:val="20"/>
          <w:szCs w:val="20"/>
          <w:lang w:val="en-US"/>
        </w:rPr>
        <w:t>(</w:t>
      </w:r>
      <w:r w:rsidR="00DD20B4">
        <w:rPr>
          <w:sz w:val="20"/>
          <w:szCs w:val="20"/>
          <w:lang w:val="en-US"/>
        </w:rPr>
        <w:t>C</w:t>
      </w:r>
      <w:r w:rsidRPr="002F26F3">
        <w:rPr>
          <w:sz w:val="20"/>
          <w:szCs w:val="20"/>
          <w:lang w:val="en-US"/>
        </w:rPr>
        <w:t>-</w:t>
      </w:r>
      <w:r w:rsidR="00DD20B4">
        <w:rPr>
          <w:sz w:val="20"/>
          <w:szCs w:val="20"/>
          <w:lang w:val="en-US"/>
        </w:rPr>
        <w:t>E</w:t>
      </w:r>
      <w:r w:rsidRPr="002F26F3">
        <w:rPr>
          <w:sz w:val="20"/>
          <w:szCs w:val="20"/>
          <w:lang w:val="en-US"/>
        </w:rPr>
        <w:t>) Feature and ridge plots depicting expression of ER stress gene signature in tumor and macrophage populations of three patients: 105 has low expression in both populations (</w:t>
      </w:r>
      <w:r w:rsidR="00362FEB">
        <w:rPr>
          <w:sz w:val="20"/>
          <w:szCs w:val="20"/>
          <w:lang w:val="en-US"/>
        </w:rPr>
        <w:t>C</w:t>
      </w:r>
      <w:r w:rsidRPr="002F26F3">
        <w:rPr>
          <w:sz w:val="20"/>
          <w:szCs w:val="20"/>
          <w:lang w:val="en-US"/>
        </w:rPr>
        <w:t xml:space="preserve">), 115 has high expression and mainly in </w:t>
      </w:r>
      <w:r w:rsidR="00016E98">
        <w:rPr>
          <w:sz w:val="20"/>
          <w:szCs w:val="20"/>
          <w:lang w:val="en-US"/>
        </w:rPr>
        <w:t>tumor cells</w:t>
      </w:r>
      <w:r w:rsidRPr="002F26F3">
        <w:rPr>
          <w:sz w:val="20"/>
          <w:szCs w:val="20"/>
          <w:lang w:val="en-US"/>
        </w:rPr>
        <w:t xml:space="preserve"> (</w:t>
      </w:r>
      <w:r w:rsidR="00362FEB">
        <w:rPr>
          <w:sz w:val="20"/>
          <w:szCs w:val="20"/>
          <w:lang w:val="en-US"/>
        </w:rPr>
        <w:t>D</w:t>
      </w:r>
      <w:r w:rsidRPr="002F26F3">
        <w:rPr>
          <w:sz w:val="20"/>
          <w:szCs w:val="20"/>
          <w:lang w:val="en-US"/>
        </w:rPr>
        <w:t xml:space="preserve">), and 125 also has high expression but mainly in </w:t>
      </w:r>
      <w:r w:rsidR="00016E98">
        <w:rPr>
          <w:sz w:val="20"/>
          <w:szCs w:val="20"/>
          <w:lang w:val="en-US"/>
        </w:rPr>
        <w:t>macrophages</w:t>
      </w:r>
      <w:r w:rsidRPr="002F26F3">
        <w:rPr>
          <w:sz w:val="20"/>
          <w:szCs w:val="20"/>
          <w:lang w:val="en-US"/>
        </w:rPr>
        <w:t xml:space="preserve"> (</w:t>
      </w:r>
      <w:r w:rsidR="00362FEB">
        <w:rPr>
          <w:sz w:val="20"/>
          <w:szCs w:val="20"/>
          <w:lang w:val="en-US"/>
        </w:rPr>
        <w:t>E</w:t>
      </w:r>
      <w:r w:rsidRPr="002F26F3">
        <w:rPr>
          <w:sz w:val="20"/>
          <w:szCs w:val="20"/>
          <w:lang w:val="en-US"/>
        </w:rPr>
        <w:t>). Average signature expression is shown for the two populations of each patient.</w:t>
      </w:r>
    </w:p>
    <w:p w14:paraId="0183DFDE" w14:textId="371D7B96" w:rsidR="00DA2303" w:rsidRDefault="007D2FBE" w:rsidP="00DA2303">
      <w:pPr>
        <w:jc w:val="both"/>
        <w:rPr>
          <w:b/>
          <w:sz w:val="20"/>
          <w:szCs w:val="20"/>
          <w:lang w:val="en-US"/>
        </w:rPr>
      </w:pPr>
      <w:r>
        <w:rPr>
          <w:b/>
          <w:noProof/>
          <w:sz w:val="20"/>
          <w:szCs w:val="20"/>
          <w:lang w:val="en-US"/>
        </w:rPr>
        <w:lastRenderedPageBreak/>
        <w:drawing>
          <wp:anchor distT="0" distB="0" distL="114300" distR="114300" simplePos="0" relativeHeight="251659264" behindDoc="0" locked="0" layoutInCell="1" allowOverlap="1" wp14:anchorId="011B0057" wp14:editId="69658DE4">
            <wp:simplePos x="0" y="0"/>
            <wp:positionH relativeFrom="margin">
              <wp:align>center</wp:align>
            </wp:positionH>
            <wp:positionV relativeFrom="paragraph">
              <wp:posOffset>0</wp:posOffset>
            </wp:positionV>
            <wp:extent cx="5494020" cy="8860790"/>
            <wp:effectExtent l="0" t="0" r="0" b="0"/>
            <wp:wrapTopAndBottom/>
            <wp:docPr id="5" name="Imagem 5"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Interface gráfica do usuário, Aplicativo&#10;&#10;Descrição gerada automaticamente"/>
                    <pic:cNvPicPr/>
                  </pic:nvPicPr>
                  <pic:blipFill>
                    <a:blip r:embed="rId8">
                      <a:extLst>
                        <a:ext uri="{28A0092B-C50C-407E-A947-70E740481C1C}">
                          <a14:useLocalDpi xmlns:a14="http://schemas.microsoft.com/office/drawing/2010/main" val="0"/>
                        </a:ext>
                      </a:extLst>
                    </a:blip>
                    <a:stretch>
                      <a:fillRect/>
                    </a:stretch>
                  </pic:blipFill>
                  <pic:spPr>
                    <a:xfrm>
                      <a:off x="0" y="0"/>
                      <a:ext cx="5494020" cy="8860790"/>
                    </a:xfrm>
                    <a:prstGeom prst="rect">
                      <a:avLst/>
                    </a:prstGeom>
                  </pic:spPr>
                </pic:pic>
              </a:graphicData>
            </a:graphic>
          </wp:anchor>
        </w:drawing>
      </w:r>
    </w:p>
    <w:p w14:paraId="3B2FE82B" w14:textId="77777777" w:rsidR="00DA2303" w:rsidRDefault="00DA2303" w:rsidP="00DA2303">
      <w:pPr>
        <w:jc w:val="both"/>
        <w:rPr>
          <w:sz w:val="20"/>
          <w:szCs w:val="20"/>
          <w:lang w:val="en-US"/>
        </w:rPr>
      </w:pPr>
      <w:r w:rsidRPr="002F26F3">
        <w:rPr>
          <w:b/>
          <w:sz w:val="20"/>
          <w:szCs w:val="20"/>
          <w:lang w:val="en-US"/>
        </w:rPr>
        <w:lastRenderedPageBreak/>
        <w:t>Figure S</w:t>
      </w:r>
      <w:r>
        <w:rPr>
          <w:b/>
          <w:sz w:val="20"/>
          <w:szCs w:val="20"/>
          <w:lang w:val="en-US"/>
        </w:rPr>
        <w:t>3</w:t>
      </w:r>
      <w:r w:rsidRPr="002F26F3">
        <w:rPr>
          <w:b/>
          <w:sz w:val="20"/>
          <w:szCs w:val="20"/>
          <w:lang w:val="en-US"/>
        </w:rPr>
        <w:t xml:space="preserve">. </w:t>
      </w:r>
      <w:bookmarkStart w:id="0" w:name="_Hlk93853927"/>
      <w:r w:rsidRPr="00DD497F">
        <w:rPr>
          <w:b/>
          <w:bCs/>
          <w:sz w:val="20"/>
          <w:szCs w:val="20"/>
          <w:lang w:val="en-US"/>
        </w:rPr>
        <w:t>Differential expression analysis of 25 UPR genes.</w:t>
      </w:r>
      <w:r w:rsidRPr="005624DB">
        <w:rPr>
          <w:sz w:val="20"/>
          <w:szCs w:val="20"/>
          <w:lang w:val="en-US"/>
        </w:rPr>
        <w:t xml:space="preserve"> (A) </w:t>
      </w:r>
      <w:r w:rsidRPr="00A60D7B">
        <w:rPr>
          <w:sz w:val="20"/>
          <w:szCs w:val="20"/>
          <w:lang w:val="en-US"/>
        </w:rPr>
        <w:t xml:space="preserve">Mann-Whitney U test was carried out comparing microarray expression data of 844 normal brain tissue samples and 408 GBM tumor samples obtained from </w:t>
      </w:r>
      <w:bookmarkStart w:id="1" w:name="_Hlk93504042"/>
      <w:r w:rsidRPr="00A60D7B">
        <w:rPr>
          <w:sz w:val="20"/>
          <w:szCs w:val="20"/>
          <w:lang w:val="en-US"/>
        </w:rPr>
        <w:t>GEO Platform GPL570</w:t>
      </w:r>
      <w:bookmarkEnd w:id="1"/>
      <w:r w:rsidRPr="00A60D7B">
        <w:rPr>
          <w:sz w:val="20"/>
          <w:szCs w:val="20"/>
          <w:lang w:val="en-US"/>
        </w:rPr>
        <w:t xml:space="preserve">. </w:t>
      </w:r>
      <w:r>
        <w:rPr>
          <w:sz w:val="20"/>
          <w:szCs w:val="20"/>
          <w:lang w:val="en-US"/>
        </w:rPr>
        <w:t xml:space="preserve">(B) </w:t>
      </w:r>
      <w:r w:rsidRPr="005624DB">
        <w:rPr>
          <w:sz w:val="20"/>
          <w:szCs w:val="20"/>
          <w:lang w:val="en-US"/>
        </w:rPr>
        <w:t xml:space="preserve">Mann-Whitney U test was carried out comparing </w:t>
      </w:r>
      <w:r>
        <w:rPr>
          <w:sz w:val="20"/>
          <w:szCs w:val="20"/>
          <w:lang w:val="en-US"/>
        </w:rPr>
        <w:t>RNA-seq</w:t>
      </w:r>
      <w:r w:rsidRPr="005624DB">
        <w:rPr>
          <w:sz w:val="20"/>
          <w:szCs w:val="20"/>
          <w:lang w:val="en-US"/>
        </w:rPr>
        <w:t xml:space="preserve"> data of </w:t>
      </w:r>
      <w:r>
        <w:rPr>
          <w:sz w:val="20"/>
          <w:szCs w:val="20"/>
          <w:lang w:val="en-US"/>
        </w:rPr>
        <w:t>514</w:t>
      </w:r>
      <w:r w:rsidRPr="005624DB">
        <w:rPr>
          <w:sz w:val="20"/>
          <w:szCs w:val="20"/>
          <w:lang w:val="en-US"/>
        </w:rPr>
        <w:t xml:space="preserve"> </w:t>
      </w:r>
      <w:r>
        <w:rPr>
          <w:sz w:val="20"/>
          <w:szCs w:val="20"/>
          <w:lang w:val="en-US"/>
        </w:rPr>
        <w:t>low-grade glioma</w:t>
      </w:r>
      <w:r w:rsidRPr="005624DB">
        <w:rPr>
          <w:sz w:val="20"/>
          <w:szCs w:val="20"/>
          <w:lang w:val="en-US"/>
        </w:rPr>
        <w:t xml:space="preserve"> </w:t>
      </w:r>
      <w:r>
        <w:rPr>
          <w:sz w:val="20"/>
          <w:szCs w:val="20"/>
          <w:lang w:val="en-US"/>
        </w:rPr>
        <w:t xml:space="preserve">(LGG) </w:t>
      </w:r>
      <w:r w:rsidRPr="005624DB">
        <w:rPr>
          <w:sz w:val="20"/>
          <w:szCs w:val="20"/>
          <w:lang w:val="en-US"/>
        </w:rPr>
        <w:t xml:space="preserve">samples and </w:t>
      </w:r>
      <w:r>
        <w:rPr>
          <w:sz w:val="20"/>
          <w:szCs w:val="20"/>
          <w:lang w:val="en-US"/>
        </w:rPr>
        <w:t>160</w:t>
      </w:r>
      <w:r w:rsidRPr="005624DB">
        <w:rPr>
          <w:sz w:val="20"/>
          <w:szCs w:val="20"/>
          <w:lang w:val="en-US"/>
        </w:rPr>
        <w:t xml:space="preserve"> </w:t>
      </w:r>
      <w:r>
        <w:rPr>
          <w:sz w:val="20"/>
          <w:szCs w:val="20"/>
          <w:lang w:val="en-US"/>
        </w:rPr>
        <w:t xml:space="preserve">glioblastoma </w:t>
      </w:r>
      <w:r w:rsidRPr="005624DB">
        <w:rPr>
          <w:sz w:val="20"/>
          <w:szCs w:val="20"/>
          <w:lang w:val="en-US"/>
        </w:rPr>
        <w:t xml:space="preserve">samples obtained from </w:t>
      </w:r>
      <w:r>
        <w:rPr>
          <w:sz w:val="20"/>
          <w:szCs w:val="20"/>
          <w:lang w:val="en-US"/>
        </w:rPr>
        <w:t>TCGA cohort</w:t>
      </w:r>
      <w:r w:rsidRPr="005624DB">
        <w:rPr>
          <w:sz w:val="20"/>
          <w:szCs w:val="20"/>
          <w:lang w:val="en-US"/>
        </w:rPr>
        <w:t xml:space="preserve">. </w:t>
      </w:r>
      <w:bookmarkEnd w:id="0"/>
      <w:r>
        <w:rPr>
          <w:sz w:val="20"/>
          <w:szCs w:val="20"/>
          <w:lang w:val="en-US"/>
        </w:rPr>
        <w:t>(C) Kruskal Wallis</w:t>
      </w:r>
      <w:r w:rsidRPr="005624DB">
        <w:rPr>
          <w:sz w:val="20"/>
          <w:szCs w:val="20"/>
          <w:lang w:val="en-US"/>
        </w:rPr>
        <w:t xml:space="preserve"> test was carried out comparing </w:t>
      </w:r>
      <w:r>
        <w:rPr>
          <w:sz w:val="20"/>
          <w:szCs w:val="20"/>
          <w:lang w:val="en-US"/>
        </w:rPr>
        <w:t xml:space="preserve">microarray </w:t>
      </w:r>
      <w:r w:rsidRPr="005624DB">
        <w:rPr>
          <w:sz w:val="20"/>
          <w:szCs w:val="20"/>
          <w:lang w:val="en-US"/>
        </w:rPr>
        <w:t xml:space="preserve">data </w:t>
      </w:r>
      <w:r>
        <w:rPr>
          <w:sz w:val="20"/>
          <w:szCs w:val="20"/>
          <w:lang w:val="en-US"/>
        </w:rPr>
        <w:t xml:space="preserve">across grade II, III and IV glioma samples </w:t>
      </w:r>
      <w:r w:rsidRPr="005624DB">
        <w:rPr>
          <w:sz w:val="20"/>
          <w:szCs w:val="20"/>
          <w:lang w:val="en-US"/>
        </w:rPr>
        <w:t xml:space="preserve">obtained from </w:t>
      </w:r>
      <w:r w:rsidRPr="00A21785">
        <w:rPr>
          <w:sz w:val="20"/>
          <w:szCs w:val="20"/>
          <w:lang w:val="en-US"/>
        </w:rPr>
        <w:t>GEO Platform GPL570</w:t>
      </w:r>
      <w:r w:rsidRPr="005624DB">
        <w:rPr>
          <w:sz w:val="20"/>
          <w:szCs w:val="20"/>
          <w:lang w:val="en-US"/>
        </w:rPr>
        <w:t>.</w:t>
      </w:r>
      <w:r>
        <w:rPr>
          <w:sz w:val="20"/>
          <w:szCs w:val="20"/>
          <w:lang w:val="en-US"/>
        </w:rPr>
        <w:t xml:space="preserve"> Dunn’s test was performed for multiple comparisons. Kruskal Wallis</w:t>
      </w:r>
      <w:r w:rsidRPr="002F26F3">
        <w:rPr>
          <w:sz w:val="20"/>
          <w:szCs w:val="20"/>
          <w:lang w:val="en-US"/>
        </w:rPr>
        <w:t xml:space="preserve"> p values are indicated</w:t>
      </w:r>
      <w:r>
        <w:rPr>
          <w:sz w:val="20"/>
          <w:szCs w:val="20"/>
          <w:lang w:val="en-US"/>
        </w:rPr>
        <w:t xml:space="preserve">. </w:t>
      </w:r>
      <w:r w:rsidRPr="005624DB">
        <w:rPr>
          <w:sz w:val="20"/>
          <w:szCs w:val="20"/>
          <w:lang w:val="en-US"/>
        </w:rPr>
        <w:t>Horizontal lines indicate median; box lines indicate first &amp; third quartiles</w:t>
      </w:r>
      <w:r>
        <w:rPr>
          <w:sz w:val="20"/>
          <w:szCs w:val="20"/>
          <w:lang w:val="en-US"/>
        </w:rPr>
        <w:t>.</w:t>
      </w:r>
    </w:p>
    <w:p w14:paraId="37EA8D05" w14:textId="77777777" w:rsidR="00DA2303" w:rsidRDefault="00DA2303" w:rsidP="00DA2303">
      <w:pPr>
        <w:jc w:val="both"/>
        <w:rPr>
          <w:sz w:val="20"/>
          <w:szCs w:val="20"/>
          <w:lang w:val="en-US"/>
        </w:rPr>
      </w:pPr>
      <w:r w:rsidRPr="00A60D7B">
        <w:rPr>
          <w:sz w:val="20"/>
          <w:szCs w:val="20"/>
          <w:lang w:val="en-US"/>
        </w:rPr>
        <w:t xml:space="preserve"> </w:t>
      </w:r>
    </w:p>
    <w:p w14:paraId="3C30BE20" w14:textId="77777777" w:rsidR="00DA2303" w:rsidRDefault="00DA2303" w:rsidP="00DA2303">
      <w:pPr>
        <w:jc w:val="both"/>
        <w:rPr>
          <w:sz w:val="20"/>
          <w:szCs w:val="20"/>
          <w:lang w:val="en-US"/>
        </w:rPr>
      </w:pPr>
    </w:p>
    <w:p w14:paraId="34FAAC24" w14:textId="77777777" w:rsidR="00DA2303" w:rsidRDefault="00DA2303" w:rsidP="00DA2303">
      <w:pPr>
        <w:jc w:val="both"/>
        <w:rPr>
          <w:sz w:val="20"/>
          <w:szCs w:val="20"/>
          <w:lang w:val="en-US"/>
        </w:rPr>
      </w:pPr>
    </w:p>
    <w:p w14:paraId="0FAAA4BE" w14:textId="77777777" w:rsidR="00DA2303" w:rsidRDefault="00DA2303" w:rsidP="00DA2303">
      <w:pPr>
        <w:rPr>
          <w:sz w:val="20"/>
          <w:szCs w:val="20"/>
          <w:lang w:val="en-US"/>
        </w:rPr>
      </w:pPr>
      <w:r>
        <w:rPr>
          <w:sz w:val="20"/>
          <w:szCs w:val="20"/>
          <w:lang w:val="en-US"/>
        </w:rPr>
        <w:br w:type="page"/>
      </w:r>
    </w:p>
    <w:p w14:paraId="207EC153" w14:textId="631A959E" w:rsidR="00DA2303" w:rsidRPr="002F26F3" w:rsidRDefault="007D2FBE" w:rsidP="00DA2303">
      <w:pPr>
        <w:spacing w:line="360" w:lineRule="auto"/>
        <w:jc w:val="both"/>
        <w:rPr>
          <w:b/>
          <w:lang w:val="en-US"/>
        </w:rPr>
      </w:pPr>
      <w:r>
        <w:rPr>
          <w:b/>
          <w:noProof/>
          <w:lang w:val="en-US"/>
        </w:rPr>
        <w:lastRenderedPageBreak/>
        <w:drawing>
          <wp:inline distT="0" distB="0" distL="0" distR="0" wp14:anchorId="0DEAC2EA" wp14:editId="1B6C39B3">
            <wp:extent cx="5733415" cy="3810000"/>
            <wp:effectExtent l="0" t="0" r="635" b="0"/>
            <wp:docPr id="8" name="Imagem 8"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Forma&#10;&#10;Descrição gerada automaticamente com confiança baixa"/>
                    <pic:cNvPicPr/>
                  </pic:nvPicPr>
                  <pic:blipFill>
                    <a:blip r:embed="rId9">
                      <a:extLst>
                        <a:ext uri="{28A0092B-C50C-407E-A947-70E740481C1C}">
                          <a14:useLocalDpi xmlns:a14="http://schemas.microsoft.com/office/drawing/2010/main" val="0"/>
                        </a:ext>
                      </a:extLst>
                    </a:blip>
                    <a:stretch>
                      <a:fillRect/>
                    </a:stretch>
                  </pic:blipFill>
                  <pic:spPr>
                    <a:xfrm>
                      <a:off x="0" y="0"/>
                      <a:ext cx="5733415" cy="3810000"/>
                    </a:xfrm>
                    <a:prstGeom prst="rect">
                      <a:avLst/>
                    </a:prstGeom>
                  </pic:spPr>
                </pic:pic>
              </a:graphicData>
            </a:graphic>
          </wp:inline>
        </w:drawing>
      </w:r>
    </w:p>
    <w:p w14:paraId="39CB5EC0" w14:textId="77777777" w:rsidR="00DA2303" w:rsidRPr="003E04A3" w:rsidRDefault="00DA2303" w:rsidP="00DA2303">
      <w:pPr>
        <w:jc w:val="both"/>
        <w:rPr>
          <w:rFonts w:eastAsia="Times New Roman"/>
          <w:b/>
          <w:bCs/>
          <w:sz w:val="20"/>
          <w:szCs w:val="20"/>
          <w:lang w:val="en-US"/>
        </w:rPr>
      </w:pPr>
      <w:r w:rsidRPr="002F26F3">
        <w:rPr>
          <w:b/>
          <w:sz w:val="20"/>
          <w:szCs w:val="20"/>
          <w:lang w:val="en-US"/>
        </w:rPr>
        <w:t>Figure S</w:t>
      </w:r>
      <w:r>
        <w:rPr>
          <w:b/>
          <w:sz w:val="20"/>
          <w:szCs w:val="20"/>
          <w:lang w:val="en-US"/>
        </w:rPr>
        <w:t>4</w:t>
      </w:r>
      <w:r w:rsidRPr="002F26F3">
        <w:rPr>
          <w:b/>
          <w:sz w:val="20"/>
          <w:szCs w:val="20"/>
          <w:lang w:val="en-US"/>
        </w:rPr>
        <w:t xml:space="preserve">. </w:t>
      </w:r>
      <w:r w:rsidRPr="003E04A3">
        <w:rPr>
          <w:b/>
          <w:bCs/>
          <w:sz w:val="20"/>
          <w:szCs w:val="20"/>
          <w:lang w:val="en-US"/>
        </w:rPr>
        <w:t>Impact of individual UPR genes on patient survival.</w:t>
      </w:r>
      <w:r w:rsidRPr="003E04A3">
        <w:rPr>
          <w:sz w:val="20"/>
          <w:szCs w:val="20"/>
          <w:lang w:val="en-US"/>
        </w:rPr>
        <w:t xml:space="preserve"> (A) Kaplan-Meier plots of the 16 UPR genes that showed no significant impact on survival using microarray data from the TCGA cohort. Log-rank p values are indicated. Cox proportional hazard ratio of genes with no significant impact adjusted only to the clinical variable Sex (in red) and adjusted to Sex and all other genes (in blue) using (B) microarray data and (C) RNA-seq data from TCGA cohorts. </w:t>
      </w:r>
    </w:p>
    <w:p w14:paraId="49FEBE2C" w14:textId="77777777" w:rsidR="00DA2303" w:rsidRPr="003E04A3" w:rsidRDefault="00DA2303" w:rsidP="00DA2303">
      <w:pPr>
        <w:spacing w:line="360" w:lineRule="auto"/>
        <w:jc w:val="both"/>
        <w:rPr>
          <w:rFonts w:eastAsia="Times New Roman"/>
          <w:b/>
          <w:bCs/>
          <w:lang w:val="en-US"/>
        </w:rPr>
      </w:pPr>
    </w:p>
    <w:p w14:paraId="4CD27055" w14:textId="77777777" w:rsidR="00DA2303" w:rsidRPr="003E04A3" w:rsidRDefault="00DA2303" w:rsidP="00DA2303">
      <w:pPr>
        <w:spacing w:line="360" w:lineRule="auto"/>
        <w:jc w:val="both"/>
        <w:rPr>
          <w:rFonts w:eastAsia="Times New Roman"/>
          <w:b/>
          <w:bCs/>
          <w:lang w:val="en-US"/>
        </w:rPr>
      </w:pPr>
    </w:p>
    <w:p w14:paraId="402C3842" w14:textId="77777777" w:rsidR="00DA2303" w:rsidRDefault="00DA2303" w:rsidP="00DA2303">
      <w:pPr>
        <w:spacing w:line="360" w:lineRule="auto"/>
        <w:jc w:val="both"/>
        <w:rPr>
          <w:rFonts w:eastAsia="Times New Roman"/>
          <w:b/>
          <w:bCs/>
          <w:lang w:val="en-US"/>
        </w:rPr>
      </w:pPr>
    </w:p>
    <w:p w14:paraId="7B770B79" w14:textId="77777777" w:rsidR="00DA2303" w:rsidRDefault="00DA2303" w:rsidP="00DA2303">
      <w:pPr>
        <w:spacing w:line="360" w:lineRule="auto"/>
        <w:jc w:val="both"/>
        <w:rPr>
          <w:rFonts w:eastAsia="Times New Roman"/>
          <w:b/>
          <w:bCs/>
          <w:lang w:val="en-US"/>
        </w:rPr>
      </w:pPr>
    </w:p>
    <w:p w14:paraId="21001672" w14:textId="77777777" w:rsidR="00DA2303" w:rsidRDefault="00DA2303" w:rsidP="00DA2303">
      <w:pPr>
        <w:spacing w:line="360" w:lineRule="auto"/>
        <w:jc w:val="both"/>
        <w:rPr>
          <w:rFonts w:eastAsia="Times New Roman"/>
          <w:b/>
          <w:bCs/>
          <w:lang w:val="en-US"/>
        </w:rPr>
      </w:pPr>
    </w:p>
    <w:p w14:paraId="1B69E610" w14:textId="77777777" w:rsidR="00DA2303" w:rsidRDefault="00DA2303" w:rsidP="00DA2303">
      <w:pPr>
        <w:spacing w:line="360" w:lineRule="auto"/>
        <w:jc w:val="both"/>
        <w:rPr>
          <w:rFonts w:eastAsia="Times New Roman"/>
          <w:b/>
          <w:bCs/>
          <w:lang w:val="en-US"/>
        </w:rPr>
      </w:pPr>
    </w:p>
    <w:p w14:paraId="48ABB4B3" w14:textId="77777777" w:rsidR="00DA2303" w:rsidRPr="002F26F3" w:rsidRDefault="00DA2303" w:rsidP="00DA2303">
      <w:pPr>
        <w:spacing w:line="360" w:lineRule="auto"/>
        <w:jc w:val="both"/>
        <w:rPr>
          <w:rFonts w:eastAsia="Times New Roman"/>
          <w:b/>
          <w:bCs/>
          <w:lang w:val="en-US"/>
        </w:rPr>
      </w:pPr>
    </w:p>
    <w:p w14:paraId="7E401C67" w14:textId="77777777" w:rsidR="00DA2303" w:rsidRDefault="00DA2303" w:rsidP="00DA2303">
      <w:pPr>
        <w:jc w:val="both"/>
        <w:rPr>
          <w:b/>
          <w:sz w:val="20"/>
          <w:szCs w:val="20"/>
          <w:lang w:val="en-US"/>
        </w:rPr>
      </w:pPr>
    </w:p>
    <w:p w14:paraId="7C8E9267" w14:textId="7B5B9479" w:rsidR="00DA2303" w:rsidRDefault="00CF6D06" w:rsidP="00DA2303">
      <w:pPr>
        <w:jc w:val="both"/>
        <w:rPr>
          <w:b/>
          <w:sz w:val="20"/>
          <w:szCs w:val="20"/>
          <w:lang w:val="en-US"/>
        </w:rPr>
      </w:pPr>
      <w:r>
        <w:rPr>
          <w:b/>
          <w:noProof/>
          <w:sz w:val="20"/>
          <w:szCs w:val="20"/>
          <w:lang w:val="en-US"/>
        </w:rPr>
        <w:lastRenderedPageBreak/>
        <w:drawing>
          <wp:inline distT="0" distB="0" distL="0" distR="0" wp14:anchorId="035BCF76" wp14:editId="4329C399">
            <wp:extent cx="5733415" cy="4487545"/>
            <wp:effectExtent l="0" t="0" r="635" b="8255"/>
            <wp:docPr id="1" name="Imagem 1" descr="Gráfico, Gráfico de dispersã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Gráfico, Gráfico de dispersão&#10;&#10;Descrição gerada automaticamente"/>
                    <pic:cNvPicPr/>
                  </pic:nvPicPr>
                  <pic:blipFill>
                    <a:blip r:embed="rId10">
                      <a:extLst>
                        <a:ext uri="{28A0092B-C50C-407E-A947-70E740481C1C}">
                          <a14:useLocalDpi xmlns:a14="http://schemas.microsoft.com/office/drawing/2010/main" val="0"/>
                        </a:ext>
                      </a:extLst>
                    </a:blip>
                    <a:stretch>
                      <a:fillRect/>
                    </a:stretch>
                  </pic:blipFill>
                  <pic:spPr>
                    <a:xfrm>
                      <a:off x="0" y="0"/>
                      <a:ext cx="5733415" cy="4487545"/>
                    </a:xfrm>
                    <a:prstGeom prst="rect">
                      <a:avLst/>
                    </a:prstGeom>
                  </pic:spPr>
                </pic:pic>
              </a:graphicData>
            </a:graphic>
          </wp:inline>
        </w:drawing>
      </w:r>
    </w:p>
    <w:p w14:paraId="1A224E1D" w14:textId="461D948D" w:rsidR="00DA2303" w:rsidRPr="0048144E" w:rsidRDefault="00DA2303" w:rsidP="0048144E">
      <w:pPr>
        <w:jc w:val="both"/>
        <w:rPr>
          <w:sz w:val="20"/>
          <w:szCs w:val="20"/>
          <w:lang w:val="en-US"/>
        </w:rPr>
      </w:pPr>
      <w:r w:rsidRPr="002F26F3">
        <w:rPr>
          <w:b/>
          <w:sz w:val="20"/>
          <w:szCs w:val="20"/>
          <w:lang w:val="en-US"/>
        </w:rPr>
        <w:t>Figure</w:t>
      </w:r>
      <w:r>
        <w:rPr>
          <w:b/>
          <w:sz w:val="20"/>
          <w:szCs w:val="20"/>
          <w:lang w:val="en-US"/>
        </w:rPr>
        <w:t xml:space="preserve"> </w:t>
      </w:r>
      <w:r w:rsidRPr="002F26F3">
        <w:rPr>
          <w:b/>
          <w:sz w:val="20"/>
          <w:szCs w:val="20"/>
          <w:lang w:val="en-US"/>
        </w:rPr>
        <w:t>S</w:t>
      </w:r>
      <w:r>
        <w:rPr>
          <w:b/>
          <w:sz w:val="20"/>
          <w:szCs w:val="20"/>
          <w:lang w:val="en-US"/>
        </w:rPr>
        <w:t>5</w:t>
      </w:r>
      <w:r w:rsidRPr="002F26F3">
        <w:rPr>
          <w:b/>
          <w:sz w:val="20"/>
          <w:szCs w:val="20"/>
          <w:lang w:val="en-US"/>
        </w:rPr>
        <w:t xml:space="preserve">. </w:t>
      </w:r>
      <w:r w:rsidR="00B07B73" w:rsidRPr="00DD497F">
        <w:rPr>
          <w:rFonts w:eastAsiaTheme="minorHAnsi"/>
          <w:b/>
          <w:bCs/>
          <w:noProof/>
          <w:sz w:val="20"/>
          <w:szCs w:val="20"/>
          <w:lang w:val="en-US"/>
        </w:rPr>
        <w:t>IRE1 downstream pathways have opposing roles in the presence of immune cells in TME.</w:t>
      </w:r>
      <w:r w:rsidR="00B07B73" w:rsidRPr="00B07B73">
        <w:rPr>
          <w:rFonts w:eastAsiaTheme="minorHAnsi"/>
          <w:noProof/>
          <w:sz w:val="20"/>
          <w:szCs w:val="20"/>
          <w:lang w:val="en-US"/>
        </w:rPr>
        <w:t xml:space="preserve"> </w:t>
      </w:r>
      <w:r w:rsidRPr="00B07B73">
        <w:rPr>
          <w:bCs/>
          <w:sz w:val="20"/>
          <w:szCs w:val="20"/>
          <w:lang w:val="en-US"/>
        </w:rPr>
        <w:t>(A)</w:t>
      </w:r>
      <w:r w:rsidRPr="00B07B73">
        <w:rPr>
          <w:b/>
          <w:sz w:val="20"/>
          <w:szCs w:val="20"/>
          <w:lang w:val="en-US"/>
        </w:rPr>
        <w:t xml:space="preserve"> </w:t>
      </w:r>
      <w:r w:rsidRPr="00B07B73">
        <w:rPr>
          <w:bCs/>
          <w:sz w:val="20"/>
          <w:szCs w:val="20"/>
          <w:lang w:val="en-US"/>
        </w:rPr>
        <w:t xml:space="preserve">Pearson correlation between </w:t>
      </w:r>
      <w:r w:rsidRPr="00B07B73">
        <w:rPr>
          <w:bCs/>
          <w:i/>
          <w:iCs/>
          <w:sz w:val="20"/>
          <w:szCs w:val="20"/>
          <w:lang w:val="en-US"/>
        </w:rPr>
        <w:t>XBP1</w:t>
      </w:r>
      <w:r w:rsidRPr="00B07B73">
        <w:rPr>
          <w:bCs/>
          <w:sz w:val="20"/>
          <w:szCs w:val="20"/>
          <w:lang w:val="en-US"/>
        </w:rPr>
        <w:t xml:space="preserve"> and </w:t>
      </w:r>
      <w:r w:rsidRPr="00B07B73">
        <w:rPr>
          <w:bCs/>
          <w:i/>
          <w:iCs/>
          <w:sz w:val="20"/>
          <w:szCs w:val="20"/>
          <w:lang w:val="en-US"/>
        </w:rPr>
        <w:t>MAPK8</w:t>
      </w:r>
      <w:r w:rsidRPr="00B07B73">
        <w:rPr>
          <w:bCs/>
          <w:sz w:val="20"/>
          <w:szCs w:val="20"/>
          <w:lang w:val="en-US"/>
        </w:rPr>
        <w:t xml:space="preserve"> expression using microarray data from the TCGA cohort. The dotted lines represent the cut-off points used to divide the patients into 4 groups based on their </w:t>
      </w:r>
      <w:r w:rsidRPr="00B07B73">
        <w:rPr>
          <w:bCs/>
          <w:i/>
          <w:iCs/>
          <w:sz w:val="20"/>
          <w:szCs w:val="20"/>
          <w:lang w:val="en-US"/>
        </w:rPr>
        <w:t>MAPK8</w:t>
      </w:r>
      <w:r w:rsidRPr="00B07B73">
        <w:rPr>
          <w:bCs/>
          <w:sz w:val="20"/>
          <w:szCs w:val="20"/>
          <w:lang w:val="en-US"/>
        </w:rPr>
        <w:t xml:space="preserve"> and </w:t>
      </w:r>
      <w:r w:rsidRPr="00B07B73">
        <w:rPr>
          <w:bCs/>
          <w:i/>
          <w:iCs/>
          <w:sz w:val="20"/>
          <w:szCs w:val="20"/>
          <w:lang w:val="en-US"/>
        </w:rPr>
        <w:t>XBP1</w:t>
      </w:r>
      <w:r w:rsidRPr="00B07B73">
        <w:rPr>
          <w:bCs/>
          <w:sz w:val="20"/>
          <w:szCs w:val="20"/>
          <w:lang w:val="en-US"/>
        </w:rPr>
        <w:t xml:space="preserve"> expression: one in the correlation line and a second perpendicular to that line. Pearson's correlation coefficient (r) and p-value (p) are indicated. </w:t>
      </w:r>
      <w:r w:rsidRPr="00B07B73">
        <w:rPr>
          <w:sz w:val="20"/>
          <w:szCs w:val="20"/>
          <w:lang w:val="en-US"/>
        </w:rPr>
        <w:t xml:space="preserve">Expression of immune cell signatures and immune markers in </w:t>
      </w:r>
      <w:r w:rsidRPr="00B07B73">
        <w:rPr>
          <w:i/>
          <w:iCs/>
          <w:sz w:val="20"/>
          <w:szCs w:val="20"/>
          <w:lang w:val="en-US"/>
        </w:rPr>
        <w:t>XBP1</w:t>
      </w:r>
      <w:r w:rsidRPr="00B07B73">
        <w:rPr>
          <w:sz w:val="20"/>
          <w:szCs w:val="20"/>
          <w:lang w:val="en-US"/>
        </w:rPr>
        <w:t xml:space="preserve"> low and </w:t>
      </w:r>
      <w:r w:rsidRPr="00B07B73">
        <w:rPr>
          <w:i/>
          <w:iCs/>
          <w:sz w:val="20"/>
          <w:szCs w:val="20"/>
          <w:lang w:val="en-US"/>
        </w:rPr>
        <w:t>XBP1</w:t>
      </w:r>
      <w:r w:rsidRPr="00B07B73">
        <w:rPr>
          <w:sz w:val="20"/>
          <w:szCs w:val="20"/>
          <w:lang w:val="en-US"/>
        </w:rPr>
        <w:t xml:space="preserve"> high expression groups (B) and in </w:t>
      </w:r>
      <w:r w:rsidRPr="00B07B73">
        <w:rPr>
          <w:i/>
          <w:iCs/>
          <w:sz w:val="20"/>
          <w:szCs w:val="20"/>
          <w:lang w:val="en-US"/>
        </w:rPr>
        <w:t>MAPK8</w:t>
      </w:r>
      <w:r w:rsidRPr="00B07B73">
        <w:rPr>
          <w:sz w:val="20"/>
          <w:szCs w:val="20"/>
          <w:lang w:val="en-US"/>
        </w:rPr>
        <w:t xml:space="preserve"> low and high expression groups (C). Mann-Whitney U test was carried out comparing microarray expression data from the TCGA cohort. (D) Feature plot depicting </w:t>
      </w:r>
      <w:r w:rsidRPr="00B07B73">
        <w:rPr>
          <w:i/>
          <w:iCs/>
          <w:sz w:val="20"/>
          <w:szCs w:val="20"/>
          <w:lang w:val="en-US"/>
        </w:rPr>
        <w:t>XBP1</w:t>
      </w:r>
      <w:r w:rsidRPr="00B07B73">
        <w:rPr>
          <w:sz w:val="20"/>
          <w:szCs w:val="20"/>
          <w:lang w:val="en-US"/>
        </w:rPr>
        <w:t xml:space="preserve"> and </w:t>
      </w:r>
      <w:r w:rsidRPr="00B07B73">
        <w:rPr>
          <w:i/>
          <w:iCs/>
          <w:sz w:val="20"/>
          <w:szCs w:val="20"/>
          <w:lang w:val="en-US"/>
        </w:rPr>
        <w:t>MAPK8</w:t>
      </w:r>
      <w:r w:rsidRPr="00B07B73">
        <w:rPr>
          <w:sz w:val="20"/>
          <w:szCs w:val="20"/>
          <w:lang w:val="en-US"/>
        </w:rPr>
        <w:t xml:space="preserve"> expression in single cells of the 9 glioblastomas from </w:t>
      </w:r>
      <w:proofErr w:type="spellStart"/>
      <w:r w:rsidRPr="00B07B73">
        <w:rPr>
          <w:sz w:val="20"/>
          <w:szCs w:val="20"/>
          <w:lang w:val="en-US"/>
        </w:rPr>
        <w:t>scRNA</w:t>
      </w:r>
      <w:proofErr w:type="spellEnd"/>
      <w:r w:rsidRPr="00B07B73">
        <w:rPr>
          <w:sz w:val="20"/>
          <w:szCs w:val="20"/>
          <w:lang w:val="en-US"/>
        </w:rPr>
        <w:t xml:space="preserve">-seq data. (E) Correlation matrix between percentages of cell types with </w:t>
      </w:r>
      <w:r w:rsidRPr="00B07B73">
        <w:rPr>
          <w:i/>
          <w:iCs/>
          <w:sz w:val="20"/>
          <w:szCs w:val="20"/>
          <w:lang w:val="en-US"/>
        </w:rPr>
        <w:t>XBP1</w:t>
      </w:r>
      <w:r w:rsidRPr="00B07B73">
        <w:rPr>
          <w:sz w:val="20"/>
          <w:szCs w:val="20"/>
          <w:lang w:val="en-US"/>
        </w:rPr>
        <w:t xml:space="preserve"> and</w:t>
      </w:r>
      <w:r w:rsidRPr="002F26F3">
        <w:rPr>
          <w:sz w:val="20"/>
          <w:szCs w:val="20"/>
          <w:lang w:val="en-US"/>
        </w:rPr>
        <w:t xml:space="preserve"> </w:t>
      </w:r>
      <w:r w:rsidRPr="002F26F3">
        <w:rPr>
          <w:i/>
          <w:iCs/>
          <w:sz w:val="20"/>
          <w:szCs w:val="20"/>
          <w:lang w:val="en-US"/>
        </w:rPr>
        <w:t>MAPK8</w:t>
      </w:r>
      <w:r w:rsidRPr="002F26F3">
        <w:rPr>
          <w:sz w:val="20"/>
          <w:szCs w:val="20"/>
          <w:lang w:val="en-US"/>
        </w:rPr>
        <w:t xml:space="preserve"> expression, using </w:t>
      </w:r>
      <w:proofErr w:type="spellStart"/>
      <w:r w:rsidRPr="002F26F3">
        <w:rPr>
          <w:sz w:val="20"/>
          <w:szCs w:val="20"/>
          <w:lang w:val="en-US"/>
        </w:rPr>
        <w:t>scRNA</w:t>
      </w:r>
      <w:proofErr w:type="spellEnd"/>
      <w:r w:rsidRPr="002F26F3">
        <w:rPr>
          <w:sz w:val="20"/>
          <w:szCs w:val="20"/>
          <w:lang w:val="en-US"/>
        </w:rPr>
        <w:t xml:space="preserve">-seq data. The number in each cell represents the value of Pearson's correlation coefficient. Cell color indicates correlation (red, negative correlation; blue, positive correlation). </w:t>
      </w:r>
    </w:p>
    <w:p w14:paraId="311B6EAD" w14:textId="77777777" w:rsidR="00DA2303" w:rsidRPr="002F26F3" w:rsidRDefault="00DA2303" w:rsidP="00DA2303">
      <w:pPr>
        <w:spacing w:line="360" w:lineRule="auto"/>
        <w:jc w:val="both"/>
        <w:rPr>
          <w:b/>
          <w:lang w:val="en-US"/>
        </w:rPr>
      </w:pPr>
    </w:p>
    <w:p w14:paraId="0471A8E9" w14:textId="77777777" w:rsidR="00DA2303" w:rsidRPr="002F26F3" w:rsidRDefault="00DA2303" w:rsidP="00DA2303">
      <w:pPr>
        <w:spacing w:line="360" w:lineRule="auto"/>
        <w:jc w:val="both"/>
        <w:rPr>
          <w:lang w:val="en-US"/>
        </w:rPr>
      </w:pPr>
    </w:p>
    <w:p w14:paraId="17699FC1" w14:textId="77777777" w:rsidR="00DA2303" w:rsidRPr="002F26F3" w:rsidRDefault="00DA2303" w:rsidP="00DA2303">
      <w:pPr>
        <w:spacing w:line="360" w:lineRule="auto"/>
        <w:jc w:val="both"/>
        <w:rPr>
          <w:rFonts w:eastAsia="Times New Roman"/>
          <w:b/>
          <w:bCs/>
          <w:lang w:val="en-US"/>
        </w:rPr>
      </w:pPr>
    </w:p>
    <w:p w14:paraId="4A226FED" w14:textId="77777777" w:rsidR="00DA2303" w:rsidRPr="002F26F3" w:rsidRDefault="00DA2303" w:rsidP="00DA2303">
      <w:pPr>
        <w:spacing w:line="360" w:lineRule="auto"/>
        <w:jc w:val="both"/>
        <w:rPr>
          <w:lang w:val="en-US"/>
        </w:rPr>
      </w:pPr>
    </w:p>
    <w:p w14:paraId="262CB582" w14:textId="77777777" w:rsidR="00DA2303" w:rsidRPr="00213E20" w:rsidRDefault="00DA2303" w:rsidP="00DA2303">
      <w:pPr>
        <w:spacing w:line="360" w:lineRule="auto"/>
        <w:jc w:val="both"/>
        <w:rPr>
          <w:lang w:val="en-US"/>
        </w:rPr>
      </w:pPr>
    </w:p>
    <w:p w14:paraId="4CEBC4FF" w14:textId="77777777" w:rsidR="00000000" w:rsidRPr="00DA2303" w:rsidRDefault="00000000">
      <w:pPr>
        <w:rPr>
          <w:lang w:val="en-US"/>
        </w:rPr>
      </w:pPr>
    </w:p>
    <w:sectPr w:rsidR="00714AAE" w:rsidRPr="00DA2303">
      <w:head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2C34B" w14:textId="77777777" w:rsidR="00BF4C87" w:rsidRDefault="00BF4C87">
      <w:pPr>
        <w:spacing w:line="240" w:lineRule="auto"/>
      </w:pPr>
      <w:r>
        <w:separator/>
      </w:r>
    </w:p>
  </w:endnote>
  <w:endnote w:type="continuationSeparator" w:id="0">
    <w:p w14:paraId="685CD3FA" w14:textId="77777777" w:rsidR="00BF4C87" w:rsidRDefault="00BF4C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A3249" w14:textId="77777777" w:rsidR="00BF4C87" w:rsidRDefault="00BF4C87">
      <w:pPr>
        <w:spacing w:line="240" w:lineRule="auto"/>
      </w:pPr>
      <w:r>
        <w:separator/>
      </w:r>
    </w:p>
  </w:footnote>
  <w:footnote w:type="continuationSeparator" w:id="0">
    <w:p w14:paraId="1BAD6552" w14:textId="77777777" w:rsidR="00BF4C87" w:rsidRDefault="00BF4C8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8D08A" w14:textId="77777777" w:rsidR="00000000" w:rsidRDefault="00000000"/>
  <w:p w14:paraId="6D250A2F" w14:textId="77777777" w:rsidR="00000000" w:rsidRDefault="00000000">
    <w:pP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303"/>
    <w:rsid w:val="00016E98"/>
    <w:rsid w:val="000346D4"/>
    <w:rsid w:val="00055311"/>
    <w:rsid w:val="001144CD"/>
    <w:rsid w:val="00361C8A"/>
    <w:rsid w:val="00362FEB"/>
    <w:rsid w:val="003E04A3"/>
    <w:rsid w:val="00441408"/>
    <w:rsid w:val="0048144E"/>
    <w:rsid w:val="0055079B"/>
    <w:rsid w:val="006D4A8C"/>
    <w:rsid w:val="006F1354"/>
    <w:rsid w:val="007263C7"/>
    <w:rsid w:val="007D2FBE"/>
    <w:rsid w:val="00815062"/>
    <w:rsid w:val="008C1EF4"/>
    <w:rsid w:val="00B07B73"/>
    <w:rsid w:val="00BC557B"/>
    <w:rsid w:val="00BF4C87"/>
    <w:rsid w:val="00CF6D06"/>
    <w:rsid w:val="00DA2303"/>
    <w:rsid w:val="00DD20B4"/>
    <w:rsid w:val="00DD497F"/>
    <w:rsid w:val="00DD4994"/>
    <w:rsid w:val="00E0376D"/>
    <w:rsid w:val="00F654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6157E"/>
  <w14:defaultImageDpi w14:val="32767"/>
  <w15:chartTrackingRefBased/>
  <w15:docId w15:val="{9A257A79-4398-4BDC-BF77-231FD426D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408"/>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1144CD"/>
    <w:rPr>
      <w:sz w:val="16"/>
      <w:szCs w:val="16"/>
    </w:rPr>
  </w:style>
  <w:style w:type="paragraph" w:styleId="Textodecomentrio">
    <w:name w:val="annotation text"/>
    <w:basedOn w:val="Normal"/>
    <w:link w:val="TextodecomentrioChar"/>
    <w:uiPriority w:val="99"/>
    <w:unhideWhenUsed/>
    <w:rsid w:val="001144CD"/>
    <w:pPr>
      <w:spacing w:line="240" w:lineRule="auto"/>
    </w:pPr>
    <w:rPr>
      <w:sz w:val="20"/>
      <w:szCs w:val="20"/>
    </w:rPr>
  </w:style>
  <w:style w:type="character" w:customStyle="1" w:styleId="TextodecomentrioChar">
    <w:name w:val="Texto de comentário Char"/>
    <w:basedOn w:val="Fontepargpadro"/>
    <w:link w:val="Textodecomentrio"/>
    <w:uiPriority w:val="99"/>
    <w:rsid w:val="001144CD"/>
    <w:rPr>
      <w:rFonts w:ascii="Arial" w:eastAsia="Arial" w:hAnsi="Arial" w:cs="Arial"/>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1144CD"/>
    <w:rPr>
      <w:b/>
      <w:bCs/>
    </w:rPr>
  </w:style>
  <w:style w:type="character" w:customStyle="1" w:styleId="AssuntodocomentrioChar">
    <w:name w:val="Assunto do comentário Char"/>
    <w:basedOn w:val="TextodecomentrioChar"/>
    <w:link w:val="Assuntodocomentrio"/>
    <w:uiPriority w:val="99"/>
    <w:semiHidden/>
    <w:rsid w:val="001144CD"/>
    <w:rPr>
      <w:rFonts w:ascii="Arial" w:eastAsia="Arial" w:hAnsi="Arial" w:cs="Arial"/>
      <w:b/>
      <w:bCs/>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6</Pages>
  <Words>552</Words>
  <Characters>2987</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Oliveira</dc:creator>
  <cp:keywords/>
  <dc:description/>
  <cp:lastModifiedBy>Fernanda Oliveira</cp:lastModifiedBy>
  <cp:revision>14</cp:revision>
  <dcterms:created xsi:type="dcterms:W3CDTF">2022-09-21T16:33:00Z</dcterms:created>
  <dcterms:modified xsi:type="dcterms:W3CDTF">2023-09-12T21:55:00Z</dcterms:modified>
</cp:coreProperties>
</file>