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FCC8A" w14:textId="677C21CD" w:rsidR="00635823" w:rsidRPr="004E57A6" w:rsidRDefault="00635823" w:rsidP="004E57A6">
      <w:pPr>
        <w:adjustRightInd w:val="0"/>
        <w:snapToGrid w:val="0"/>
        <w:spacing w:line="360" w:lineRule="auto"/>
        <w:contextualSpacing/>
        <w:jc w:val="center"/>
        <w:rPr>
          <w:b/>
        </w:rPr>
      </w:pPr>
      <w:r w:rsidRPr="005A09E5">
        <w:rPr>
          <w:b/>
          <w:bCs/>
          <w:color w:val="000000"/>
        </w:rPr>
        <w:t>Resting-state brain activation patterns</w:t>
      </w:r>
      <w:r>
        <w:rPr>
          <w:b/>
          <w:bCs/>
          <w:color w:val="000000"/>
        </w:rPr>
        <w:t xml:space="preserve"> and network topology</w:t>
      </w:r>
      <w:r w:rsidRPr="005A09E5">
        <w:rPr>
          <w:b/>
          <w:bCs/>
          <w:color w:val="000000"/>
        </w:rPr>
        <w:t xml:space="preserve"> distinguish</w:t>
      </w:r>
      <w:r w:rsidRPr="005A09E5" w:rsidDel="005A09E5">
        <w:rPr>
          <w:b/>
          <w:bCs/>
          <w:color w:val="000000"/>
        </w:rPr>
        <w:t xml:space="preserve"> </w:t>
      </w:r>
      <w:r>
        <w:rPr>
          <w:b/>
          <w:bCs/>
          <w:color w:val="000000"/>
        </w:rPr>
        <w:t xml:space="preserve">human sign and goal trackers in humans </w:t>
      </w:r>
    </w:p>
    <w:p w14:paraId="77319154" w14:textId="50DB9D13" w:rsidR="002A1ADF" w:rsidRDefault="00715F70" w:rsidP="002A1ADF">
      <w:pPr>
        <w:adjustRightInd w:val="0"/>
        <w:snapToGrid w:val="0"/>
        <w:spacing w:line="360" w:lineRule="auto"/>
        <w:contextualSpacing/>
        <w:rPr>
          <w:vertAlign w:val="superscript"/>
          <w:lang w:val="it-IT"/>
        </w:rPr>
      </w:pPr>
      <w:r w:rsidRPr="00C61755">
        <w:rPr>
          <w:bCs/>
          <w:lang w:val="it-IT"/>
        </w:rPr>
        <w:t>Martino Schettino</w:t>
      </w:r>
      <w:r w:rsidRPr="00C61755">
        <w:rPr>
          <w:bCs/>
          <w:vertAlign w:val="superscript"/>
          <w:lang w:val="it-IT"/>
        </w:rPr>
        <w:t>1,2,*</w:t>
      </w:r>
      <w:r w:rsidRPr="00C61755">
        <w:rPr>
          <w:bCs/>
          <w:lang w:val="it-IT"/>
        </w:rPr>
        <w:t>, Marika Mauti</w:t>
      </w:r>
      <w:r w:rsidRPr="00C61755">
        <w:rPr>
          <w:bCs/>
          <w:vertAlign w:val="superscript"/>
          <w:lang w:val="it-IT"/>
        </w:rPr>
        <w:t>1,</w:t>
      </w:r>
      <w:r w:rsidR="000741EC" w:rsidRPr="00C61755">
        <w:rPr>
          <w:bCs/>
          <w:vertAlign w:val="superscript"/>
          <w:lang w:val="it-IT"/>
        </w:rPr>
        <w:t>3</w:t>
      </w:r>
      <w:r w:rsidRPr="00C61755">
        <w:rPr>
          <w:bCs/>
          <w:vertAlign w:val="superscript"/>
          <w:lang w:val="it-IT"/>
        </w:rPr>
        <w:t>*</w:t>
      </w:r>
      <w:r w:rsidRPr="00C61755">
        <w:rPr>
          <w:bCs/>
          <w:lang w:val="it-IT"/>
        </w:rPr>
        <w:t>, Chiara Parrillo</w:t>
      </w:r>
      <w:r w:rsidR="000741EC">
        <w:rPr>
          <w:bCs/>
          <w:vertAlign w:val="superscript"/>
          <w:lang w:val="it-IT"/>
        </w:rPr>
        <w:t>4</w:t>
      </w:r>
      <w:r w:rsidRPr="00C61755">
        <w:rPr>
          <w:bCs/>
          <w:lang w:val="it-IT"/>
        </w:rPr>
        <w:t>, Ilenia Ceccarelli</w:t>
      </w:r>
      <w:r w:rsidR="002A1ADF">
        <w:rPr>
          <w:bCs/>
          <w:vertAlign w:val="superscript"/>
          <w:lang w:val="it-IT"/>
        </w:rPr>
        <w:t>5</w:t>
      </w:r>
      <w:r w:rsidRPr="00C61755">
        <w:rPr>
          <w:bCs/>
          <w:lang w:val="it-IT"/>
        </w:rPr>
        <w:t>, Federico Giove</w:t>
      </w:r>
      <w:r w:rsidRPr="00C61755">
        <w:rPr>
          <w:bCs/>
          <w:vertAlign w:val="superscript"/>
          <w:lang w:val="it-IT"/>
        </w:rPr>
        <w:t>2,</w:t>
      </w:r>
      <w:r w:rsidR="000741EC">
        <w:rPr>
          <w:bCs/>
          <w:vertAlign w:val="superscript"/>
          <w:lang w:val="it-IT"/>
        </w:rPr>
        <w:t>5</w:t>
      </w:r>
      <w:r w:rsidRPr="00C61755">
        <w:rPr>
          <w:bCs/>
          <w:lang w:val="it-IT"/>
        </w:rPr>
        <w:t>, Antonio Napolitano</w:t>
      </w:r>
      <w:r w:rsidR="000741EC">
        <w:rPr>
          <w:bCs/>
          <w:vertAlign w:val="superscript"/>
          <w:lang w:val="it-IT"/>
        </w:rPr>
        <w:t>4</w:t>
      </w:r>
      <w:r w:rsidRPr="00C61755">
        <w:rPr>
          <w:bCs/>
          <w:lang w:val="it-IT"/>
        </w:rPr>
        <w:t>, Cristina Ottaviani</w:t>
      </w:r>
      <w:r w:rsidRPr="00C61755">
        <w:rPr>
          <w:bCs/>
          <w:vertAlign w:val="superscript"/>
          <w:lang w:val="it-IT"/>
        </w:rPr>
        <w:t>1,2</w:t>
      </w:r>
      <w:r w:rsidRPr="00C61755">
        <w:rPr>
          <w:bCs/>
          <w:lang w:val="it-IT"/>
        </w:rPr>
        <w:t>, Marialuisa Martelli</w:t>
      </w:r>
      <w:r w:rsidRPr="00C61755">
        <w:rPr>
          <w:bCs/>
          <w:vertAlign w:val="superscript"/>
          <w:lang w:val="it-IT"/>
        </w:rPr>
        <w:t>1</w:t>
      </w:r>
      <w:r w:rsidRPr="00C61755">
        <w:rPr>
          <w:bCs/>
          <w:lang w:val="it-IT"/>
        </w:rPr>
        <w:t>, Cristina Orsini</w:t>
      </w:r>
      <w:r w:rsidRPr="00C61755">
        <w:rPr>
          <w:bCs/>
          <w:vertAlign w:val="superscript"/>
          <w:lang w:val="it-IT"/>
        </w:rPr>
        <w:t>1</w:t>
      </w:r>
    </w:p>
    <w:p w14:paraId="1128C358" w14:textId="77777777" w:rsidR="002A1ADF" w:rsidRDefault="002A1ADF" w:rsidP="002A1ADF">
      <w:pPr>
        <w:adjustRightInd w:val="0"/>
        <w:snapToGrid w:val="0"/>
        <w:spacing w:line="360" w:lineRule="auto"/>
        <w:contextualSpacing/>
        <w:rPr>
          <w:vertAlign w:val="superscript"/>
          <w:lang w:val="it-IT"/>
        </w:rPr>
      </w:pPr>
    </w:p>
    <w:p w14:paraId="605FEF3C" w14:textId="225D0E33" w:rsidR="002A1ADF" w:rsidRPr="002A1ADF" w:rsidRDefault="002A1ADF" w:rsidP="002A1ADF">
      <w:pPr>
        <w:adjustRightInd w:val="0"/>
        <w:snapToGrid w:val="0"/>
        <w:spacing w:line="360" w:lineRule="auto"/>
        <w:contextualSpacing/>
        <w:rPr>
          <w:vertAlign w:val="superscript"/>
        </w:rPr>
      </w:pPr>
      <w:r w:rsidRPr="00355564">
        <w:rPr>
          <w:vertAlign w:val="superscript"/>
        </w:rPr>
        <w:t xml:space="preserve">1 </w:t>
      </w:r>
      <w:r w:rsidRPr="00355564">
        <w:t xml:space="preserve">Department of Psychology, Sapienza University of Rome, Rome, Italy; </w:t>
      </w:r>
      <w:r w:rsidRPr="00355564">
        <w:rPr>
          <w:vertAlign w:val="superscript"/>
        </w:rPr>
        <w:t xml:space="preserve">2 </w:t>
      </w:r>
      <w:r w:rsidRPr="00355564">
        <w:t xml:space="preserve">IRCCS Santa Lucia Foundation, Rome, Italy; </w:t>
      </w:r>
      <w:r w:rsidRPr="00355564">
        <w:rPr>
          <w:vertAlign w:val="superscript"/>
        </w:rPr>
        <w:t>3</w:t>
      </w:r>
      <w:r w:rsidRPr="00355564">
        <w:t xml:space="preserve"> Area of Neuroscience, SISSA, Trieste, Italy; </w:t>
      </w:r>
      <w:r w:rsidRPr="00355564">
        <w:rPr>
          <w:vertAlign w:val="superscript"/>
        </w:rPr>
        <w:t xml:space="preserve">4 </w:t>
      </w:r>
      <w:r w:rsidRPr="00355564">
        <w:t xml:space="preserve">Bambino Gesù Children’s Hospital, Rome, Italy; </w:t>
      </w:r>
      <w:r>
        <w:rPr>
          <w:vertAlign w:val="superscript"/>
        </w:rPr>
        <w:t xml:space="preserve">5 </w:t>
      </w:r>
      <w:bookmarkStart w:id="0" w:name="_GoBack"/>
      <w:bookmarkEnd w:id="0"/>
      <w:r w:rsidRPr="00355564">
        <w:t xml:space="preserve">Department of Medical and Surgical Sciences, University of Bologna, Italy; </w:t>
      </w:r>
      <w:r w:rsidRPr="00355564">
        <w:rPr>
          <w:vertAlign w:val="superscript"/>
        </w:rPr>
        <w:t>6</w:t>
      </w:r>
      <w:r w:rsidRPr="00355564">
        <w:t xml:space="preserve"> Centro di Studi e Ricerche Enrico Fermi, Rome, Italy.</w:t>
      </w:r>
    </w:p>
    <w:p w14:paraId="415B4A72" w14:textId="77777777" w:rsidR="00715F70" w:rsidRPr="004E57A6" w:rsidRDefault="00715F70" w:rsidP="004E57A6">
      <w:pPr>
        <w:adjustRightInd w:val="0"/>
        <w:snapToGrid w:val="0"/>
        <w:spacing w:line="360" w:lineRule="auto"/>
        <w:contextualSpacing/>
      </w:pPr>
      <w:r w:rsidRPr="004E57A6">
        <w:t>*co-first authorship</w:t>
      </w:r>
    </w:p>
    <w:p w14:paraId="0BBC83AF" w14:textId="48E42E4D" w:rsidR="00F954DD" w:rsidRPr="004E57A6" w:rsidRDefault="00F954DD" w:rsidP="004E57A6">
      <w:pPr>
        <w:spacing w:after="160" w:line="360" w:lineRule="auto"/>
        <w:ind w:right="566"/>
        <w:jc w:val="center"/>
        <w:rPr>
          <w:rFonts w:eastAsia="Calibri"/>
          <w:b/>
          <w:bCs/>
          <w:lang w:val="en-GB"/>
        </w:rPr>
      </w:pPr>
      <w:r w:rsidRPr="004E57A6">
        <w:rPr>
          <w:rFonts w:eastAsia="Calibri"/>
          <w:b/>
          <w:bCs/>
          <w:lang w:val="en-GB"/>
        </w:rPr>
        <w:t>Supplementary Methods</w:t>
      </w:r>
    </w:p>
    <w:p w14:paraId="3689C8D9" w14:textId="6D37AB88" w:rsidR="00D53852" w:rsidRPr="004E57A6" w:rsidRDefault="00715F70" w:rsidP="004E57A6">
      <w:pPr>
        <w:spacing w:after="160" w:line="360" w:lineRule="auto"/>
        <w:ind w:right="566"/>
        <w:rPr>
          <w:rFonts w:eastAsia="Calibri"/>
          <w:b/>
          <w:bCs/>
          <w:lang w:val="en-GB"/>
        </w:rPr>
      </w:pPr>
      <w:r w:rsidRPr="004E57A6">
        <w:rPr>
          <w:rFonts w:eastAsia="Calibri"/>
          <w:b/>
          <w:bCs/>
          <w:lang w:val="en-GB"/>
        </w:rPr>
        <w:t xml:space="preserve">S1. </w:t>
      </w:r>
      <w:r w:rsidR="00F954DD" w:rsidRPr="004E57A6">
        <w:rPr>
          <w:rFonts w:eastAsia="Calibri"/>
          <w:b/>
          <w:bCs/>
          <w:lang w:val="en-GB"/>
        </w:rPr>
        <w:t>Self-report q</w:t>
      </w:r>
      <w:r w:rsidR="00D53852" w:rsidRPr="004E57A6">
        <w:rPr>
          <w:rFonts w:eastAsia="Calibri"/>
          <w:b/>
          <w:bCs/>
          <w:lang w:val="en-GB"/>
        </w:rPr>
        <w:t>uestionnaires</w:t>
      </w:r>
    </w:p>
    <w:p w14:paraId="27BDFA0B" w14:textId="4EB8B7C0" w:rsidR="00D53852" w:rsidRPr="004E57A6" w:rsidRDefault="00D53852" w:rsidP="004E57A6">
      <w:pPr>
        <w:spacing w:after="160" w:line="360" w:lineRule="auto"/>
        <w:ind w:right="566"/>
        <w:rPr>
          <w:rFonts w:eastAsia="Calibri"/>
          <w:lang w:val="en-GB"/>
        </w:rPr>
      </w:pPr>
      <w:r w:rsidRPr="004E57A6">
        <w:rPr>
          <w:rFonts w:eastAsia="Calibri"/>
          <w:lang w:val="en-GB"/>
        </w:rPr>
        <w:t xml:space="preserve">The </w:t>
      </w:r>
      <w:r w:rsidRPr="004E57A6">
        <w:rPr>
          <w:rFonts w:eastAsia="Calibri"/>
          <w:i/>
          <w:lang w:val="en-GB"/>
        </w:rPr>
        <w:t>Barratt Impulsiveness Scale</w:t>
      </w:r>
      <w:r w:rsidRPr="004E57A6">
        <w:rPr>
          <w:rFonts w:eastAsia="Calibri"/>
          <w:lang w:val="en-GB"/>
        </w:rPr>
        <w:t xml:space="preserve"> (BIS-11;</w:t>
      </w:r>
      <w:r w:rsidR="000733F9">
        <w:rPr>
          <w:rFonts w:eastAsia="Calibri"/>
          <w:lang w:val="en-GB"/>
        </w:rPr>
        <w:t>[1]</w:t>
      </w:r>
      <w:r w:rsidRPr="004E57A6">
        <w:rPr>
          <w:rFonts w:eastAsia="Calibri"/>
          <w:lang w:val="en-GB"/>
        </w:rPr>
        <w:t>) is a 30-item self-report questionnaire measuring three facets of impulsiveness, namely attentional (“</w:t>
      </w:r>
      <w:r w:rsidRPr="004E57A6">
        <w:rPr>
          <w:rFonts w:eastAsia="Calibri"/>
          <w:i/>
          <w:lang w:val="en-GB"/>
        </w:rPr>
        <w:t>I concentrate easily</w:t>
      </w:r>
      <w:r w:rsidRPr="004E57A6">
        <w:rPr>
          <w:rFonts w:eastAsia="Calibri"/>
          <w:lang w:val="en-GB"/>
        </w:rPr>
        <w:t>”), motor (“</w:t>
      </w:r>
      <w:r w:rsidRPr="004E57A6">
        <w:rPr>
          <w:rFonts w:eastAsia="Calibri"/>
          <w:i/>
          <w:lang w:val="en-GB"/>
        </w:rPr>
        <w:t>I act on impulse</w:t>
      </w:r>
      <w:r w:rsidRPr="004E57A6">
        <w:rPr>
          <w:rFonts w:eastAsia="Calibri"/>
          <w:lang w:val="en-GB"/>
        </w:rPr>
        <w:t>”) and non- planning (“</w:t>
      </w:r>
      <w:r w:rsidRPr="004E57A6">
        <w:rPr>
          <w:rFonts w:eastAsia="Calibri"/>
          <w:i/>
          <w:lang w:val="en-GB"/>
        </w:rPr>
        <w:t>I say things without thinking</w:t>
      </w:r>
      <w:r w:rsidRPr="004E57A6">
        <w:rPr>
          <w:rFonts w:eastAsia="Calibri"/>
          <w:lang w:val="en-GB"/>
        </w:rPr>
        <w:t>”) impulsiveness. Participants have to report how often they experience the situations described by the different items on a 4-point Likert scale that goes from 1 (</w:t>
      </w:r>
      <w:r w:rsidRPr="004E57A6">
        <w:rPr>
          <w:rFonts w:eastAsia="Calibri"/>
          <w:i/>
          <w:lang w:val="en-GB"/>
        </w:rPr>
        <w:t>Never</w:t>
      </w:r>
      <w:r w:rsidRPr="004E57A6">
        <w:rPr>
          <w:rFonts w:eastAsia="Calibri"/>
          <w:lang w:val="en-GB"/>
        </w:rPr>
        <w:t>) to 4 (</w:t>
      </w:r>
      <w:r w:rsidRPr="004E57A6">
        <w:rPr>
          <w:rFonts w:eastAsia="Calibri"/>
          <w:i/>
          <w:lang w:val="en-GB"/>
        </w:rPr>
        <w:t>Always</w:t>
      </w:r>
      <w:r w:rsidRPr="004E57A6">
        <w:rPr>
          <w:rFonts w:eastAsia="Calibri"/>
          <w:lang w:val="en-GB"/>
        </w:rPr>
        <w:t>).</w:t>
      </w:r>
    </w:p>
    <w:p w14:paraId="3E2E30DE" w14:textId="1F6E2DD9" w:rsidR="00D53852" w:rsidRPr="004E57A6" w:rsidRDefault="00D53852" w:rsidP="004E57A6">
      <w:pPr>
        <w:spacing w:after="160" w:line="360" w:lineRule="auto"/>
        <w:ind w:right="566"/>
        <w:rPr>
          <w:rFonts w:eastAsia="Calibri"/>
          <w:lang w:val="en-GB"/>
        </w:rPr>
      </w:pPr>
      <w:r w:rsidRPr="004E57A6">
        <w:rPr>
          <w:rFonts w:eastAsia="Calibri"/>
          <w:lang w:val="en-GB"/>
        </w:rPr>
        <w:t xml:space="preserve">The </w:t>
      </w:r>
      <w:r w:rsidRPr="004E57A6">
        <w:rPr>
          <w:rFonts w:eastAsia="Calibri"/>
          <w:i/>
          <w:lang w:val="en-GB"/>
        </w:rPr>
        <w:t>State- Trait Anxiety Inventory</w:t>
      </w:r>
      <w:r w:rsidRPr="004E57A6">
        <w:rPr>
          <w:rFonts w:eastAsia="Calibri"/>
          <w:lang w:val="en-GB"/>
        </w:rPr>
        <w:t xml:space="preserve"> (STAI; </w:t>
      </w:r>
      <w:r w:rsidR="000733F9">
        <w:rPr>
          <w:rFonts w:eastAsia="Calibri"/>
          <w:lang w:val="en-GB"/>
        </w:rPr>
        <w:t>[2]</w:t>
      </w:r>
      <w:r w:rsidRPr="004E57A6">
        <w:rPr>
          <w:rFonts w:eastAsia="Calibri"/>
          <w:lang w:val="en-GB"/>
        </w:rPr>
        <w:t>) is a validated self-report assessment device usually administered in research and clinical settings to measure anxiety. It is composed of two, different scale of 20-item each: STAI-Y1 measures the general, long- lasting “trait anxiety” (“</w:t>
      </w:r>
      <w:r w:rsidRPr="004E57A6">
        <w:rPr>
          <w:rFonts w:eastAsia="Calibri"/>
          <w:i/>
          <w:lang w:val="en-GB"/>
        </w:rPr>
        <w:t>I feel like a failure</w:t>
      </w:r>
      <w:r w:rsidRPr="004E57A6">
        <w:rPr>
          <w:rFonts w:eastAsia="Calibri"/>
          <w:lang w:val="en-GB"/>
        </w:rPr>
        <w:t>”); differently, STAI-Y2 measures the more transient condition of “state anxiety” (“</w:t>
      </w:r>
      <w:r w:rsidRPr="004E57A6">
        <w:rPr>
          <w:rFonts w:eastAsia="Calibri"/>
          <w:i/>
          <w:lang w:val="en-GB"/>
        </w:rPr>
        <w:t>I feel upset</w:t>
      </w:r>
      <w:r w:rsidRPr="004E57A6">
        <w:rPr>
          <w:rFonts w:eastAsia="Calibri"/>
          <w:lang w:val="en-GB"/>
        </w:rPr>
        <w:t>”). Each item is based on a Likert scale that goes from 1 (</w:t>
      </w:r>
      <w:r w:rsidRPr="004E57A6">
        <w:rPr>
          <w:rFonts w:eastAsia="Calibri"/>
          <w:i/>
          <w:lang w:val="en-GB"/>
        </w:rPr>
        <w:t>Almost</w:t>
      </w:r>
      <w:r w:rsidRPr="004E57A6">
        <w:rPr>
          <w:rFonts w:eastAsia="Calibri"/>
          <w:lang w:val="en-GB"/>
        </w:rPr>
        <w:t xml:space="preserve"> </w:t>
      </w:r>
      <w:r w:rsidRPr="004E57A6">
        <w:rPr>
          <w:rFonts w:eastAsia="Calibri"/>
          <w:i/>
          <w:lang w:val="en-GB"/>
        </w:rPr>
        <w:t>never</w:t>
      </w:r>
      <w:r w:rsidRPr="004E57A6">
        <w:rPr>
          <w:rFonts w:eastAsia="Calibri"/>
          <w:lang w:val="en-GB"/>
        </w:rPr>
        <w:t>) to 4 (</w:t>
      </w:r>
      <w:r w:rsidRPr="004E57A6">
        <w:rPr>
          <w:rFonts w:eastAsia="Calibri"/>
          <w:i/>
          <w:lang w:val="en-GB"/>
        </w:rPr>
        <w:t>Almost always</w:t>
      </w:r>
      <w:r w:rsidRPr="004E57A6">
        <w:rPr>
          <w:rFonts w:eastAsia="Calibri"/>
          <w:lang w:val="en-GB"/>
        </w:rPr>
        <w:t>).</w:t>
      </w:r>
    </w:p>
    <w:p w14:paraId="0D158952" w14:textId="4B423655" w:rsidR="00D53852" w:rsidRPr="004E57A6" w:rsidRDefault="00D53852" w:rsidP="004E57A6">
      <w:pPr>
        <w:spacing w:after="160" w:line="360" w:lineRule="auto"/>
        <w:ind w:right="566"/>
        <w:rPr>
          <w:rFonts w:eastAsia="Calibri"/>
          <w:lang w:val="en-GB"/>
        </w:rPr>
      </w:pPr>
      <w:r w:rsidRPr="004E57A6">
        <w:rPr>
          <w:rFonts w:eastAsia="Calibri"/>
          <w:lang w:val="en-GB"/>
        </w:rPr>
        <w:t xml:space="preserve">The </w:t>
      </w:r>
      <w:r w:rsidRPr="004E57A6">
        <w:rPr>
          <w:rFonts w:eastAsia="Calibri"/>
          <w:i/>
          <w:lang w:val="en-GB"/>
        </w:rPr>
        <w:t>Temporal Experience Pleasure Scale</w:t>
      </w:r>
      <w:r w:rsidRPr="004E57A6">
        <w:rPr>
          <w:rFonts w:eastAsia="Calibri"/>
          <w:lang w:val="en-GB"/>
        </w:rPr>
        <w:t xml:space="preserve"> (TEPS; </w:t>
      </w:r>
      <w:r w:rsidR="000733F9">
        <w:rPr>
          <w:rFonts w:eastAsia="Calibri"/>
          <w:lang w:val="en-GB"/>
        </w:rPr>
        <w:t>[3]</w:t>
      </w:r>
      <w:r w:rsidRPr="004E57A6">
        <w:rPr>
          <w:rFonts w:eastAsia="Calibri"/>
          <w:lang w:val="en-GB"/>
        </w:rPr>
        <w:t>) is an 18-item self-report questionnaire measuring both anticipatory (“</w:t>
      </w:r>
      <w:r w:rsidRPr="004E57A6">
        <w:rPr>
          <w:rFonts w:eastAsia="Calibri"/>
          <w:i/>
          <w:lang w:val="en-GB"/>
        </w:rPr>
        <w:t>When I hear about a new movie starring my favourite actor, I can't wait to see it</w:t>
      </w:r>
      <w:r w:rsidRPr="004E57A6">
        <w:rPr>
          <w:rFonts w:eastAsia="Calibri"/>
          <w:lang w:val="en-GB"/>
        </w:rPr>
        <w:t>”) and consummatory (“</w:t>
      </w:r>
      <w:r w:rsidRPr="004E57A6">
        <w:rPr>
          <w:rFonts w:eastAsia="Calibri"/>
          <w:i/>
          <w:lang w:val="en-GB"/>
        </w:rPr>
        <w:t>I love it when people play with my hair</w:t>
      </w:r>
      <w:r w:rsidRPr="004E57A6">
        <w:rPr>
          <w:rFonts w:eastAsia="Calibri"/>
          <w:lang w:val="en-GB"/>
        </w:rPr>
        <w:t>”) pleasure. For each item, participants respond on a 6-point Likert scale rated from 1 (</w:t>
      </w:r>
      <w:r w:rsidRPr="004E57A6">
        <w:rPr>
          <w:rFonts w:eastAsia="Calibri"/>
          <w:i/>
          <w:lang w:val="en-GB"/>
        </w:rPr>
        <w:t>very false for me</w:t>
      </w:r>
      <w:r w:rsidRPr="004E57A6">
        <w:rPr>
          <w:rFonts w:eastAsia="Calibri"/>
          <w:lang w:val="en-GB"/>
        </w:rPr>
        <w:t>) to 6 (</w:t>
      </w:r>
      <w:r w:rsidRPr="004E57A6">
        <w:rPr>
          <w:rFonts w:eastAsia="Calibri"/>
          <w:i/>
          <w:lang w:val="en-GB"/>
        </w:rPr>
        <w:t>very true for me</w:t>
      </w:r>
      <w:r w:rsidRPr="004E57A6">
        <w:rPr>
          <w:rFonts w:eastAsia="Calibri"/>
          <w:lang w:val="en-GB"/>
        </w:rPr>
        <w:t>).</w:t>
      </w:r>
    </w:p>
    <w:p w14:paraId="0E41CC02" w14:textId="462B3CA9" w:rsidR="00D53852" w:rsidRPr="004E57A6" w:rsidRDefault="00D53852" w:rsidP="004E57A6">
      <w:pPr>
        <w:spacing w:after="160" w:line="360" w:lineRule="auto"/>
        <w:ind w:right="566"/>
        <w:rPr>
          <w:rFonts w:eastAsia="Calibri"/>
          <w:lang w:val="en-GB"/>
        </w:rPr>
      </w:pPr>
      <w:r w:rsidRPr="004E57A6">
        <w:rPr>
          <w:rFonts w:eastAsia="Calibri"/>
          <w:lang w:val="en-GB"/>
        </w:rPr>
        <w:t xml:space="preserve">The </w:t>
      </w:r>
      <w:r w:rsidRPr="004E57A6">
        <w:rPr>
          <w:rFonts w:eastAsia="Calibri"/>
          <w:i/>
          <w:lang w:val="en-GB"/>
        </w:rPr>
        <w:t>Obsessive- Compulsive Inventory Revised</w:t>
      </w:r>
      <w:r w:rsidRPr="004E57A6">
        <w:rPr>
          <w:rFonts w:eastAsia="Calibri"/>
          <w:lang w:val="en-GB"/>
        </w:rPr>
        <w:t xml:space="preserve"> (OCI-R, </w:t>
      </w:r>
      <w:r w:rsidR="000733F9">
        <w:rPr>
          <w:rFonts w:eastAsia="Calibri"/>
          <w:lang w:val="en-GB"/>
        </w:rPr>
        <w:t>[4]</w:t>
      </w:r>
      <w:r w:rsidRPr="004E57A6">
        <w:rPr>
          <w:rFonts w:eastAsia="Calibri"/>
          <w:lang w:val="en-GB"/>
        </w:rPr>
        <w:t>) is an 18-item scale assessing obsessive-compulsive symptoms experienced over the preceding month across 6 different subscales, which are washing (“</w:t>
      </w:r>
      <w:r w:rsidRPr="004E57A6">
        <w:rPr>
          <w:rFonts w:eastAsia="Calibri"/>
          <w:i/>
          <w:lang w:val="en-GB"/>
        </w:rPr>
        <w:t>I sometimes have to wash or clean myself simply because I feel contaminated</w:t>
      </w:r>
      <w:r w:rsidRPr="004E57A6">
        <w:rPr>
          <w:rFonts w:eastAsia="Calibri"/>
          <w:lang w:val="en-GB"/>
        </w:rPr>
        <w:t>”), ordering (“</w:t>
      </w:r>
      <w:r w:rsidRPr="004E57A6">
        <w:rPr>
          <w:rFonts w:eastAsia="Calibri"/>
          <w:i/>
          <w:lang w:val="en-GB"/>
        </w:rPr>
        <w:t>I get upset if others change the way I have arranged things</w:t>
      </w:r>
      <w:r w:rsidRPr="004E57A6">
        <w:rPr>
          <w:rFonts w:eastAsia="Calibri"/>
          <w:lang w:val="en-GB"/>
        </w:rPr>
        <w:t xml:space="preserve">”), </w:t>
      </w:r>
      <w:r w:rsidRPr="004E57A6">
        <w:rPr>
          <w:rFonts w:eastAsia="Calibri"/>
          <w:lang w:val="en-GB"/>
        </w:rPr>
        <w:lastRenderedPageBreak/>
        <w:t>checking (“</w:t>
      </w:r>
      <w:r w:rsidRPr="004E57A6">
        <w:rPr>
          <w:rFonts w:eastAsia="Calibri"/>
          <w:i/>
          <w:lang w:val="en-GB"/>
        </w:rPr>
        <w:t>I check things more often than necessary</w:t>
      </w:r>
      <w:r w:rsidRPr="004E57A6">
        <w:rPr>
          <w:rFonts w:eastAsia="Calibri"/>
          <w:lang w:val="en-GB"/>
        </w:rPr>
        <w:t>”), obsessing (“</w:t>
      </w:r>
      <w:r w:rsidRPr="004E57A6">
        <w:rPr>
          <w:rFonts w:eastAsia="Calibri"/>
          <w:i/>
          <w:lang w:val="en-GB"/>
        </w:rPr>
        <w:t>I find it difficult to control my own thoughts</w:t>
      </w:r>
      <w:r w:rsidRPr="004E57A6">
        <w:rPr>
          <w:rFonts w:eastAsia="Calibri"/>
          <w:lang w:val="en-GB"/>
        </w:rPr>
        <w:t>”),neutralizing (“</w:t>
      </w:r>
      <w:r w:rsidRPr="004E57A6">
        <w:rPr>
          <w:rFonts w:eastAsia="Calibri"/>
          <w:i/>
          <w:lang w:val="en-GB"/>
        </w:rPr>
        <w:t>I feel compelled to count while I am doing things</w:t>
      </w:r>
      <w:r w:rsidRPr="004E57A6">
        <w:rPr>
          <w:rFonts w:eastAsia="Calibri"/>
          <w:lang w:val="en-GB"/>
        </w:rPr>
        <w:t>”) and hoarding (“</w:t>
      </w:r>
      <w:r w:rsidRPr="004E57A6">
        <w:rPr>
          <w:rFonts w:eastAsia="Calibri"/>
          <w:i/>
          <w:lang w:val="en-GB"/>
        </w:rPr>
        <w:t>I collect things I don’t need</w:t>
      </w:r>
      <w:r w:rsidRPr="004E57A6">
        <w:rPr>
          <w:rFonts w:eastAsia="Calibri"/>
          <w:lang w:val="en-GB"/>
        </w:rPr>
        <w:t>”). Each item is based on a Likert scale from 0 (</w:t>
      </w:r>
      <w:r w:rsidRPr="004E57A6">
        <w:rPr>
          <w:rFonts w:eastAsia="Calibri"/>
          <w:i/>
          <w:lang w:val="en-GB"/>
        </w:rPr>
        <w:t>Not at all</w:t>
      </w:r>
      <w:r w:rsidRPr="004E57A6">
        <w:rPr>
          <w:rFonts w:eastAsia="Calibri"/>
          <w:lang w:val="en-GB"/>
        </w:rPr>
        <w:t>) to 4 (</w:t>
      </w:r>
      <w:r w:rsidRPr="004E57A6">
        <w:rPr>
          <w:rFonts w:eastAsia="Calibri"/>
          <w:i/>
          <w:lang w:val="en-GB"/>
        </w:rPr>
        <w:t>Extremely</w:t>
      </w:r>
      <w:r w:rsidRPr="004E57A6">
        <w:rPr>
          <w:rFonts w:eastAsia="Calibri"/>
          <w:lang w:val="en-GB"/>
        </w:rPr>
        <w:t>).</w:t>
      </w:r>
    </w:p>
    <w:p w14:paraId="6B4D6053" w14:textId="77777777" w:rsidR="00D53852" w:rsidRPr="004E57A6" w:rsidRDefault="00D53852" w:rsidP="004E57A6">
      <w:pPr>
        <w:adjustRightInd w:val="0"/>
        <w:snapToGrid w:val="0"/>
        <w:spacing w:line="360" w:lineRule="auto"/>
        <w:contextualSpacing/>
        <w:rPr>
          <w:b/>
          <w:lang w:val="en-GB"/>
        </w:rPr>
      </w:pPr>
    </w:p>
    <w:p w14:paraId="1B7D659C" w14:textId="79D3D678" w:rsidR="00D53852" w:rsidRDefault="00715F70" w:rsidP="004E57A6">
      <w:pPr>
        <w:adjustRightInd w:val="0"/>
        <w:snapToGrid w:val="0"/>
        <w:spacing w:line="360" w:lineRule="auto"/>
        <w:contextualSpacing/>
        <w:rPr>
          <w:b/>
          <w:lang w:val="en-GB"/>
        </w:rPr>
      </w:pPr>
      <w:r w:rsidRPr="004E57A6">
        <w:rPr>
          <w:b/>
          <w:lang w:val="en-GB"/>
        </w:rPr>
        <w:t>S2</w:t>
      </w:r>
      <w:r w:rsidR="00F954DD" w:rsidRPr="004E57A6">
        <w:rPr>
          <w:b/>
          <w:lang w:val="en-GB"/>
        </w:rPr>
        <w:t>.</w:t>
      </w:r>
      <w:r w:rsidRPr="004E57A6">
        <w:rPr>
          <w:b/>
          <w:lang w:val="en-GB"/>
        </w:rPr>
        <w:t xml:space="preserve"> </w:t>
      </w:r>
      <w:r w:rsidR="00D53852" w:rsidRPr="004E57A6">
        <w:rPr>
          <w:b/>
          <w:lang w:val="en-GB"/>
        </w:rPr>
        <w:t xml:space="preserve">Pavlovian Conditioning Approach Task </w:t>
      </w:r>
    </w:p>
    <w:p w14:paraId="4ED7ABB5" w14:textId="77777777" w:rsidR="00E61CA8" w:rsidRPr="004E57A6" w:rsidRDefault="00E61CA8" w:rsidP="004E57A6">
      <w:pPr>
        <w:adjustRightInd w:val="0"/>
        <w:snapToGrid w:val="0"/>
        <w:spacing w:line="360" w:lineRule="auto"/>
        <w:contextualSpacing/>
        <w:rPr>
          <w:b/>
          <w:lang w:val="en-GB"/>
        </w:rPr>
      </w:pPr>
    </w:p>
    <w:p w14:paraId="2EA2C9B1" w14:textId="77777777" w:rsidR="00AD693A" w:rsidRDefault="002A2896" w:rsidP="004E57A6">
      <w:pPr>
        <w:adjustRightInd w:val="0"/>
        <w:snapToGrid w:val="0"/>
        <w:spacing w:line="360" w:lineRule="auto"/>
        <w:contextualSpacing/>
      </w:pPr>
      <w:r w:rsidRPr="004D2124">
        <w:t xml:space="preserve">The </w:t>
      </w:r>
      <w:r w:rsidR="00D53852" w:rsidRPr="004D2124">
        <w:t xml:space="preserve">exact instructions delivered to </w:t>
      </w:r>
      <w:r w:rsidR="00F954DD" w:rsidRPr="004D2124">
        <w:t>participant</w:t>
      </w:r>
      <w:r w:rsidR="00AD693A" w:rsidRPr="004D2124">
        <w:t>s</w:t>
      </w:r>
      <w:r w:rsidRPr="004D2124">
        <w:t xml:space="preserve"> are provided below.</w:t>
      </w:r>
    </w:p>
    <w:p w14:paraId="3901C215" w14:textId="311A6173" w:rsidR="007D1775" w:rsidRPr="002A2896" w:rsidRDefault="00AD693A" w:rsidP="004256B6">
      <w:pPr>
        <w:adjustRightInd w:val="0"/>
        <w:snapToGrid w:val="0"/>
        <w:spacing w:line="360" w:lineRule="auto"/>
        <w:contextualSpacing/>
        <w:rPr>
          <w:b/>
        </w:rPr>
      </w:pPr>
      <w:r w:rsidRPr="002A2896">
        <w:rPr>
          <w:b/>
        </w:rPr>
        <w:t>Slide 1</w:t>
      </w:r>
    </w:p>
    <w:p w14:paraId="7B822B71" w14:textId="272FE50C" w:rsidR="002A2896" w:rsidRPr="002A2896" w:rsidRDefault="007D1775" w:rsidP="004256B6">
      <w:pPr>
        <w:adjustRightInd w:val="0"/>
        <w:snapToGrid w:val="0"/>
        <w:spacing w:line="360" w:lineRule="auto"/>
        <w:contextualSpacing/>
        <w:rPr>
          <w:i/>
          <w:lang w:val="en-GB"/>
        </w:rPr>
      </w:pPr>
      <w:r w:rsidRPr="002A2896">
        <w:rPr>
          <w:i/>
          <w:lang w:val="en-GB"/>
        </w:rPr>
        <w:t>Welcome. In this experiment you are not required to perform any tasks and at the end of the experiment you will receive some money. You will see some stimuli programmed to drop a coin and others not programmed to drop it. At the end of the task, you will receive the default coins for your experiment</w:t>
      </w:r>
      <w:r w:rsidR="002A2896" w:rsidRPr="002A2896">
        <w:rPr>
          <w:i/>
          <w:lang w:val="en-GB"/>
        </w:rPr>
        <w:t>”</w:t>
      </w:r>
    </w:p>
    <w:p w14:paraId="0B6B83C5" w14:textId="0F49C379" w:rsidR="00AD693A" w:rsidRPr="002A2896" w:rsidRDefault="00AD693A" w:rsidP="004256B6">
      <w:pPr>
        <w:adjustRightInd w:val="0"/>
        <w:snapToGrid w:val="0"/>
        <w:spacing w:line="360" w:lineRule="auto"/>
        <w:contextualSpacing/>
        <w:rPr>
          <w:b/>
          <w:lang w:val="en-GB"/>
        </w:rPr>
      </w:pPr>
      <w:r w:rsidRPr="002A2896">
        <w:rPr>
          <w:b/>
          <w:lang w:val="en-GB"/>
        </w:rPr>
        <w:t>Slide 2:</w:t>
      </w:r>
    </w:p>
    <w:p w14:paraId="5A197654" w14:textId="1B679759" w:rsidR="004D743C" w:rsidRPr="002A2896" w:rsidRDefault="007D1775" w:rsidP="007D1775">
      <w:pPr>
        <w:adjustRightInd w:val="0"/>
        <w:snapToGrid w:val="0"/>
        <w:spacing w:line="360" w:lineRule="auto"/>
        <w:contextualSpacing/>
        <w:rPr>
          <w:i/>
          <w:lang w:val="en-GB"/>
        </w:rPr>
      </w:pPr>
      <w:r w:rsidRPr="002A2896">
        <w:rPr>
          <w:i/>
          <w:lang w:val="en-GB"/>
        </w:rPr>
        <w:t xml:space="preserve">During the experiment you will see a fixation point (white square image) in the </w:t>
      </w:r>
      <w:r w:rsidR="009949A4" w:rsidRPr="002A2896">
        <w:rPr>
          <w:i/>
          <w:lang w:val="en-GB"/>
        </w:rPr>
        <w:t>centre</w:t>
      </w:r>
      <w:r w:rsidRPr="002A2896">
        <w:rPr>
          <w:i/>
          <w:lang w:val="en-GB"/>
        </w:rPr>
        <w:t xml:space="preserve"> of the screen. You will then see stimuli appear on the right or left side of the screen. Among the stimuli that you will see appear there are: </w:t>
      </w:r>
    </w:p>
    <w:p w14:paraId="3B4AD32B" w14:textId="6668F8D6" w:rsidR="004D743C" w:rsidRDefault="004D743C" w:rsidP="007D1775">
      <w:pPr>
        <w:adjustRightInd w:val="0"/>
        <w:snapToGrid w:val="0"/>
        <w:spacing w:line="360" w:lineRule="auto"/>
        <w:contextualSpacing/>
        <w:rPr>
          <w:lang w:val="en-GB"/>
        </w:rPr>
      </w:pPr>
      <w:r>
        <w:rPr>
          <w:lang w:val="en-GB"/>
        </w:rPr>
        <w:t xml:space="preserve"> </w:t>
      </w:r>
    </w:p>
    <w:p w14:paraId="65FC8C41" w14:textId="4BDF7C92" w:rsidR="004D743C" w:rsidRDefault="004D743C" w:rsidP="007D1775">
      <w:pPr>
        <w:adjustRightInd w:val="0"/>
        <w:snapToGrid w:val="0"/>
        <w:spacing w:line="360" w:lineRule="auto"/>
        <w:contextualSpacing/>
        <w:rPr>
          <w:lang w:val="en-GB"/>
        </w:rPr>
      </w:pPr>
      <w:r w:rsidRPr="004D743C">
        <w:rPr>
          <w:noProof/>
        </w:rPr>
        <w:drawing>
          <wp:anchor distT="0" distB="0" distL="114300" distR="114300" simplePos="0" relativeHeight="251659264" behindDoc="0" locked="0" layoutInCell="1" allowOverlap="1" wp14:anchorId="49B33DC5" wp14:editId="733E0951">
            <wp:simplePos x="0" y="0"/>
            <wp:positionH relativeFrom="column">
              <wp:posOffset>1773728</wp:posOffset>
            </wp:positionH>
            <wp:positionV relativeFrom="paragraph">
              <wp:posOffset>59113</wp:posOffset>
            </wp:positionV>
            <wp:extent cx="800100" cy="831272"/>
            <wp:effectExtent l="0" t="0" r="0" b="0"/>
            <wp:wrapNone/>
            <wp:docPr id="57" name="Picture 56">
              <a:extLst xmlns:a="http://schemas.openxmlformats.org/drawingml/2006/main">
                <a:ext uri="{FF2B5EF4-FFF2-40B4-BE49-F238E27FC236}">
                  <a16:creationId xmlns:a16="http://schemas.microsoft.com/office/drawing/2014/main" id="{5D835C88-2678-DB46-AAFC-2B817C7E27A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Picture 56">
                      <a:extLst>
                        <a:ext uri="{FF2B5EF4-FFF2-40B4-BE49-F238E27FC236}">
                          <a16:creationId xmlns:a16="http://schemas.microsoft.com/office/drawing/2014/main" id="{5D835C88-2678-DB46-AAFC-2B817C7E27A4}"/>
                        </a:ext>
                      </a:extLst>
                    </pic:cNvPr>
                    <pic:cNvPicPr>
                      <a:picLocks/>
                    </pic:cNvPicPr>
                  </pic:nvPicPr>
                  <pic:blipFill rotWithShape="1">
                    <a:blip r:embed="rId6"/>
                    <a:srcRect l="8517" t="21720" r="61351" b="15045"/>
                    <a:stretch/>
                  </pic:blipFill>
                  <pic:spPr>
                    <a:xfrm>
                      <a:off x="0" y="0"/>
                      <a:ext cx="808071" cy="839554"/>
                    </a:xfrm>
                    <a:prstGeom prst="rect">
                      <a:avLst/>
                    </a:prstGeom>
                  </pic:spPr>
                </pic:pic>
              </a:graphicData>
            </a:graphic>
            <wp14:sizeRelH relativeFrom="margin">
              <wp14:pctWidth>0</wp14:pctWidth>
            </wp14:sizeRelH>
            <wp14:sizeRelV relativeFrom="margin">
              <wp14:pctHeight>0</wp14:pctHeight>
            </wp14:sizeRelV>
          </wp:anchor>
        </w:drawing>
      </w:r>
      <w:r w:rsidRPr="004D743C">
        <w:rPr>
          <w:noProof/>
        </w:rPr>
        <w:drawing>
          <wp:anchor distT="0" distB="0" distL="114300" distR="114300" simplePos="0" relativeHeight="251660288" behindDoc="0" locked="0" layoutInCell="1" allowOverlap="1" wp14:anchorId="777BB9AB" wp14:editId="2DF86B7A">
            <wp:simplePos x="0" y="0"/>
            <wp:positionH relativeFrom="column">
              <wp:posOffset>3654483</wp:posOffset>
            </wp:positionH>
            <wp:positionV relativeFrom="paragraph">
              <wp:posOffset>48722</wp:posOffset>
            </wp:positionV>
            <wp:extent cx="800100" cy="831272"/>
            <wp:effectExtent l="0" t="0" r="0" b="0"/>
            <wp:wrapNone/>
            <wp:docPr id="5" name="Picture 4">
              <a:extLst xmlns:a="http://schemas.openxmlformats.org/drawingml/2006/main">
                <a:ext uri="{FF2B5EF4-FFF2-40B4-BE49-F238E27FC236}">
                  <a16:creationId xmlns:a16="http://schemas.microsoft.com/office/drawing/2014/main" id="{EA937FE8-F0CB-9A46-A7D6-9C465240EFA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A937FE8-F0CB-9A46-A7D6-9C465240EFA8}"/>
                        </a:ext>
                      </a:extLst>
                    </pic:cNvPr>
                    <pic:cNvPicPr>
                      <a:picLocks/>
                    </pic:cNvPicPr>
                  </pic:nvPicPr>
                  <pic:blipFill rotWithShape="1">
                    <a:blip r:embed="rId6"/>
                    <a:srcRect l="58219" t="18386" r="9287" b="14360"/>
                    <a:stretch/>
                  </pic:blipFill>
                  <pic:spPr>
                    <a:xfrm>
                      <a:off x="0" y="0"/>
                      <a:ext cx="808071" cy="839554"/>
                    </a:xfrm>
                    <a:prstGeom prst="rect">
                      <a:avLst/>
                    </a:prstGeom>
                  </pic:spPr>
                </pic:pic>
              </a:graphicData>
            </a:graphic>
            <wp14:sizeRelH relativeFrom="margin">
              <wp14:pctWidth>0</wp14:pctWidth>
            </wp14:sizeRelH>
            <wp14:sizeRelV relativeFrom="margin">
              <wp14:pctHeight>0</wp14:pctHeight>
            </wp14:sizeRelV>
          </wp:anchor>
        </w:drawing>
      </w:r>
    </w:p>
    <w:p w14:paraId="47743A09" w14:textId="75B48525" w:rsidR="004D743C" w:rsidRPr="007D1775" w:rsidRDefault="004D743C" w:rsidP="007D1775">
      <w:pPr>
        <w:adjustRightInd w:val="0"/>
        <w:snapToGrid w:val="0"/>
        <w:spacing w:line="360" w:lineRule="auto"/>
        <w:contextualSpacing/>
        <w:rPr>
          <w:lang w:val="en-GB"/>
        </w:rPr>
      </w:pPr>
    </w:p>
    <w:p w14:paraId="0553BB5B" w14:textId="77777777" w:rsidR="004D743C" w:rsidRDefault="004D743C" w:rsidP="007D1775">
      <w:pPr>
        <w:adjustRightInd w:val="0"/>
        <w:snapToGrid w:val="0"/>
        <w:spacing w:line="360" w:lineRule="auto"/>
        <w:contextualSpacing/>
        <w:rPr>
          <w:lang w:val="en-GB"/>
        </w:rPr>
      </w:pPr>
    </w:p>
    <w:p w14:paraId="60FE6D8B" w14:textId="29A7A0BA" w:rsidR="004D743C" w:rsidRDefault="004D743C" w:rsidP="007D1775">
      <w:pPr>
        <w:adjustRightInd w:val="0"/>
        <w:snapToGrid w:val="0"/>
        <w:spacing w:line="360" w:lineRule="auto"/>
        <w:contextualSpacing/>
        <w:rPr>
          <w:lang w:val="en-GB"/>
        </w:rPr>
      </w:pPr>
    </w:p>
    <w:p w14:paraId="4F0E046D" w14:textId="103EE175" w:rsidR="004D743C" w:rsidRPr="002A2896" w:rsidRDefault="007D1775" w:rsidP="007D1775">
      <w:pPr>
        <w:adjustRightInd w:val="0"/>
        <w:snapToGrid w:val="0"/>
        <w:spacing w:line="360" w:lineRule="auto"/>
        <w:contextualSpacing/>
        <w:rPr>
          <w:i/>
          <w:lang w:val="en-GB"/>
        </w:rPr>
      </w:pPr>
      <w:r w:rsidRPr="002A2896">
        <w:rPr>
          <w:i/>
          <w:lang w:val="en-GB"/>
        </w:rPr>
        <w:t xml:space="preserve">Then, coins of different values ​​or "no-coins" will appear. The presence of a coin tells you that </w:t>
      </w:r>
      <w:r w:rsidR="009949A4" w:rsidRPr="002A2896">
        <w:rPr>
          <w:i/>
          <w:lang w:val="en-GB"/>
        </w:rPr>
        <w:t xml:space="preserve">the </w:t>
      </w:r>
      <w:r w:rsidRPr="002A2896">
        <w:rPr>
          <w:i/>
          <w:lang w:val="en-GB"/>
        </w:rPr>
        <w:t>same</w:t>
      </w:r>
      <w:r w:rsidR="009949A4" w:rsidRPr="002A2896">
        <w:rPr>
          <w:i/>
          <w:lang w:val="en-GB"/>
        </w:rPr>
        <w:t xml:space="preserve"> </w:t>
      </w:r>
      <w:r w:rsidRPr="002A2896">
        <w:rPr>
          <w:i/>
          <w:lang w:val="en-GB"/>
        </w:rPr>
        <w:t>coin will be released</w:t>
      </w:r>
      <w:r w:rsidR="004433C6" w:rsidRPr="002A2896">
        <w:rPr>
          <w:i/>
          <w:lang w:val="en-GB"/>
        </w:rPr>
        <w:t xml:space="preserve"> for that trial.</w:t>
      </w:r>
      <w:r w:rsidRPr="002A2896">
        <w:rPr>
          <w:i/>
          <w:lang w:val="en-GB"/>
        </w:rPr>
        <w:t xml:space="preserve"> </w:t>
      </w:r>
      <w:r w:rsidR="004433C6" w:rsidRPr="002A2896">
        <w:rPr>
          <w:i/>
          <w:lang w:val="en-GB"/>
        </w:rPr>
        <w:t xml:space="preserve">This </w:t>
      </w:r>
      <w:r w:rsidRPr="002A2896">
        <w:rPr>
          <w:i/>
          <w:lang w:val="en-GB"/>
        </w:rPr>
        <w:t>is one of the coins that will appear</w:t>
      </w:r>
      <w:r w:rsidR="004D743C" w:rsidRPr="002A2896">
        <w:rPr>
          <w:i/>
          <w:lang w:val="en-GB"/>
        </w:rPr>
        <w:t xml:space="preserve">: </w:t>
      </w:r>
    </w:p>
    <w:p w14:paraId="1BE57DC7" w14:textId="558DA8CC" w:rsidR="004D743C" w:rsidRDefault="004D743C" w:rsidP="007D1775">
      <w:pPr>
        <w:adjustRightInd w:val="0"/>
        <w:snapToGrid w:val="0"/>
        <w:spacing w:line="360" w:lineRule="auto"/>
        <w:contextualSpacing/>
        <w:rPr>
          <w:lang w:val="en-GB"/>
        </w:rPr>
      </w:pPr>
      <w:r>
        <w:rPr>
          <w:lang w:val="en-GB"/>
        </w:rPr>
        <w:t xml:space="preserve">                                                                           </w:t>
      </w:r>
    </w:p>
    <w:p w14:paraId="75D02F59" w14:textId="43F7E5F9" w:rsidR="004D743C" w:rsidRDefault="004D743C" w:rsidP="007D1775">
      <w:pPr>
        <w:adjustRightInd w:val="0"/>
        <w:snapToGrid w:val="0"/>
        <w:spacing w:line="360" w:lineRule="auto"/>
        <w:contextualSpacing/>
        <w:rPr>
          <w:lang w:val="en-GB"/>
        </w:rPr>
      </w:pPr>
      <w:r>
        <w:rPr>
          <w:lang w:val="en-GB"/>
        </w:rPr>
        <w:t xml:space="preserve">          </w:t>
      </w:r>
      <w:r>
        <w:rPr>
          <w:lang w:val="en-GB"/>
        </w:rPr>
        <w:tab/>
      </w:r>
      <w:r>
        <w:rPr>
          <w:lang w:val="en-GB"/>
        </w:rPr>
        <w:tab/>
      </w:r>
      <w:r>
        <w:rPr>
          <w:lang w:val="en-GB"/>
        </w:rPr>
        <w:tab/>
      </w:r>
      <w:r>
        <w:rPr>
          <w:lang w:val="en-GB"/>
        </w:rPr>
        <w:tab/>
      </w:r>
      <w:r>
        <w:rPr>
          <w:lang w:val="en-GB"/>
        </w:rPr>
        <w:tab/>
      </w:r>
      <w:r>
        <w:rPr>
          <w:lang w:val="en-GB"/>
        </w:rPr>
        <w:tab/>
      </w:r>
      <w:r w:rsidR="004433C6">
        <w:rPr>
          <w:lang w:val="en-GB"/>
        </w:rPr>
        <w:t xml:space="preserve">      </w:t>
      </w:r>
      <w:r w:rsidR="004433C6" w:rsidRPr="004433C6">
        <w:rPr>
          <w:noProof/>
        </w:rPr>
        <w:drawing>
          <wp:inline distT="0" distB="0" distL="0" distR="0" wp14:anchorId="183E5169" wp14:editId="29C5D55B">
            <wp:extent cx="832104" cy="832104"/>
            <wp:effectExtent l="12700" t="12700" r="19050" b="19050"/>
            <wp:docPr id="130" name="Immagine 129">
              <a:extLst xmlns:a="http://schemas.openxmlformats.org/drawingml/2006/main">
                <a:ext uri="{FF2B5EF4-FFF2-40B4-BE49-F238E27FC236}">
                  <a16:creationId xmlns:a16="http://schemas.microsoft.com/office/drawing/2014/main" id="{72F78937-4238-8A44-AADA-538379E0216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magine 129">
                      <a:extLst>
                        <a:ext uri="{FF2B5EF4-FFF2-40B4-BE49-F238E27FC236}">
                          <a16:creationId xmlns:a16="http://schemas.microsoft.com/office/drawing/2014/main" id="{72F78937-4238-8A44-AADA-538379E02164}"/>
                        </a:ext>
                      </a:extLst>
                    </pic:cNvPr>
                    <pic:cNvPicPr preferRelativeResize="0">
                      <a:picLocks/>
                    </pic:cNvPicPr>
                  </pic:nvPicPr>
                  <pic:blipFill>
                    <a:blip r:embed="rId7"/>
                    <a:stretch>
                      <a:fillRect/>
                    </a:stretch>
                  </pic:blipFill>
                  <pic:spPr>
                    <a:xfrm>
                      <a:off x="0" y="0"/>
                      <a:ext cx="832104" cy="832104"/>
                    </a:xfrm>
                    <a:prstGeom prst="rect">
                      <a:avLst/>
                    </a:prstGeom>
                    <a:ln w="3175">
                      <a:solidFill>
                        <a:schemeClr val="bg2">
                          <a:lumMod val="75000"/>
                        </a:schemeClr>
                      </a:solidFill>
                    </a:ln>
                  </pic:spPr>
                </pic:pic>
              </a:graphicData>
            </a:graphic>
          </wp:inline>
        </w:drawing>
      </w:r>
      <w:r w:rsidR="004433C6">
        <w:rPr>
          <w:lang w:val="en-GB"/>
        </w:rPr>
        <w:t xml:space="preserve">        </w:t>
      </w:r>
      <w:r w:rsidR="009949A4" w:rsidRPr="009949A4">
        <w:rPr>
          <w:noProof/>
        </w:rPr>
        <w:t xml:space="preserve"> </w:t>
      </w:r>
    </w:p>
    <w:p w14:paraId="63CFD87E" w14:textId="77777777" w:rsidR="004D743C" w:rsidRDefault="004D743C" w:rsidP="007D1775">
      <w:pPr>
        <w:adjustRightInd w:val="0"/>
        <w:snapToGrid w:val="0"/>
        <w:spacing w:line="360" w:lineRule="auto"/>
        <w:contextualSpacing/>
        <w:rPr>
          <w:lang w:val="en-GB"/>
        </w:rPr>
      </w:pPr>
    </w:p>
    <w:p w14:paraId="63AF3813" w14:textId="57819784" w:rsidR="007D1775" w:rsidRPr="002A2896" w:rsidRDefault="007D1775" w:rsidP="007D1775">
      <w:pPr>
        <w:adjustRightInd w:val="0"/>
        <w:snapToGrid w:val="0"/>
        <w:spacing w:line="360" w:lineRule="auto"/>
        <w:contextualSpacing/>
        <w:rPr>
          <w:i/>
          <w:lang w:val="en-GB"/>
        </w:rPr>
      </w:pPr>
      <w:r w:rsidRPr="002A2896">
        <w:rPr>
          <w:i/>
          <w:lang w:val="en-GB"/>
        </w:rPr>
        <w:t xml:space="preserve">The presence of a “no-coin” will tell you that no coin will be released. This is a non-coin: </w:t>
      </w:r>
    </w:p>
    <w:p w14:paraId="337F8C90" w14:textId="3F40376B" w:rsidR="004D743C" w:rsidRDefault="004D743C" w:rsidP="007D1775">
      <w:pPr>
        <w:adjustRightInd w:val="0"/>
        <w:snapToGrid w:val="0"/>
        <w:spacing w:line="360" w:lineRule="auto"/>
        <w:contextualSpacing/>
        <w:rPr>
          <w:lang w:val="en-GB"/>
        </w:rPr>
      </w:pPr>
    </w:p>
    <w:p w14:paraId="1D9AEC2C" w14:textId="47667A5A" w:rsidR="004D743C" w:rsidRDefault="004D743C" w:rsidP="007D1775">
      <w:pPr>
        <w:adjustRightInd w:val="0"/>
        <w:snapToGrid w:val="0"/>
        <w:spacing w:line="360" w:lineRule="auto"/>
        <w:contextualSpacing/>
        <w:rPr>
          <w:lang w:val="en-GB"/>
        </w:rPr>
      </w:pPr>
      <w:r>
        <w:rPr>
          <w:lang w:val="en-GB"/>
        </w:rPr>
        <w:lastRenderedPageBreak/>
        <w:tab/>
      </w:r>
      <w:r>
        <w:rPr>
          <w:lang w:val="en-GB"/>
        </w:rPr>
        <w:tab/>
      </w:r>
      <w:r>
        <w:rPr>
          <w:lang w:val="en-GB"/>
        </w:rPr>
        <w:tab/>
      </w:r>
      <w:r>
        <w:rPr>
          <w:lang w:val="en-GB"/>
        </w:rPr>
        <w:tab/>
      </w:r>
      <w:r>
        <w:rPr>
          <w:lang w:val="en-GB"/>
        </w:rPr>
        <w:tab/>
      </w:r>
      <w:r>
        <w:rPr>
          <w:lang w:val="en-GB"/>
        </w:rPr>
        <w:tab/>
      </w:r>
      <w:r w:rsidRPr="004D743C">
        <w:rPr>
          <w:noProof/>
        </w:rPr>
        <w:drawing>
          <wp:inline distT="0" distB="0" distL="0" distR="0" wp14:anchorId="663CFB4C" wp14:editId="0266FAE3">
            <wp:extent cx="804672" cy="832104"/>
            <wp:effectExtent l="12700" t="12700" r="8255" b="19050"/>
            <wp:docPr id="140" name="Immagine 139">
              <a:extLst xmlns:a="http://schemas.openxmlformats.org/drawingml/2006/main">
                <a:ext uri="{FF2B5EF4-FFF2-40B4-BE49-F238E27FC236}">
                  <a16:creationId xmlns:a16="http://schemas.microsoft.com/office/drawing/2014/main" id="{B63C76AF-56B0-DA41-9EA2-BF8F47216EA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magine 139">
                      <a:extLst>
                        <a:ext uri="{FF2B5EF4-FFF2-40B4-BE49-F238E27FC236}">
                          <a16:creationId xmlns:a16="http://schemas.microsoft.com/office/drawing/2014/main" id="{B63C76AF-56B0-DA41-9EA2-BF8F47216EA6}"/>
                        </a:ext>
                      </a:extLst>
                    </pic:cNvPr>
                    <pic:cNvPicPr preferRelativeResize="0">
                      <a:picLocks/>
                    </pic:cNvPicPr>
                  </pic:nvPicPr>
                  <pic:blipFill>
                    <a:blip r:embed="rId8"/>
                    <a:stretch>
                      <a:fillRect/>
                    </a:stretch>
                  </pic:blipFill>
                  <pic:spPr>
                    <a:xfrm>
                      <a:off x="0" y="0"/>
                      <a:ext cx="804672" cy="832104"/>
                    </a:xfrm>
                    <a:prstGeom prst="rect">
                      <a:avLst/>
                    </a:prstGeom>
                    <a:ln w="6350">
                      <a:solidFill>
                        <a:schemeClr val="bg2">
                          <a:lumMod val="50000"/>
                        </a:schemeClr>
                      </a:solidFill>
                    </a:ln>
                  </pic:spPr>
                </pic:pic>
              </a:graphicData>
            </a:graphic>
          </wp:inline>
        </w:drawing>
      </w:r>
    </w:p>
    <w:p w14:paraId="4170B007" w14:textId="77777777" w:rsidR="002A2896" w:rsidRDefault="002A2896" w:rsidP="007D1775">
      <w:pPr>
        <w:adjustRightInd w:val="0"/>
        <w:snapToGrid w:val="0"/>
        <w:spacing w:line="360" w:lineRule="auto"/>
        <w:contextualSpacing/>
        <w:rPr>
          <w:lang w:val="en-GB"/>
        </w:rPr>
      </w:pPr>
    </w:p>
    <w:p w14:paraId="78DBF3DB" w14:textId="6B43838E" w:rsidR="00AD693A" w:rsidRPr="002A2896" w:rsidRDefault="004433C6" w:rsidP="007D1775">
      <w:pPr>
        <w:adjustRightInd w:val="0"/>
        <w:snapToGrid w:val="0"/>
        <w:spacing w:line="360" w:lineRule="auto"/>
        <w:contextualSpacing/>
        <w:rPr>
          <w:b/>
          <w:lang w:val="en-GB"/>
        </w:rPr>
      </w:pPr>
      <w:r w:rsidRPr="000733F9">
        <w:rPr>
          <w:b/>
          <w:lang w:val="en-GB"/>
        </w:rPr>
        <w:t>Slide 3:</w:t>
      </w:r>
    </w:p>
    <w:p w14:paraId="3324F4CB" w14:textId="42377DB9" w:rsidR="004433C6" w:rsidRPr="000733F9" w:rsidRDefault="00D075C9" w:rsidP="007D1775">
      <w:pPr>
        <w:adjustRightInd w:val="0"/>
        <w:snapToGrid w:val="0"/>
        <w:spacing w:line="360" w:lineRule="auto"/>
        <w:contextualSpacing/>
        <w:rPr>
          <w:i/>
          <w:lang w:val="en-GB"/>
        </w:rPr>
      </w:pPr>
      <w:r w:rsidRPr="000733F9">
        <w:rPr>
          <w:i/>
          <w:lang w:val="en-GB"/>
        </w:rPr>
        <w:t>Feel free to explore the screen. You</w:t>
      </w:r>
      <w:r w:rsidRPr="00D075C9">
        <w:rPr>
          <w:i/>
          <w:lang w:val="en-GB"/>
        </w:rPr>
        <w:t xml:space="preserve"> are not required to perform any tasks</w:t>
      </w:r>
      <w:r w:rsidR="000733F9">
        <w:rPr>
          <w:i/>
          <w:lang w:val="en-GB"/>
        </w:rPr>
        <w:t xml:space="preserve"> and </w:t>
      </w:r>
      <w:r w:rsidRPr="00D075C9">
        <w:rPr>
          <w:i/>
          <w:lang w:val="en-GB"/>
        </w:rPr>
        <w:t xml:space="preserve">at the end of the experiment you will receive the </w:t>
      </w:r>
      <w:r>
        <w:rPr>
          <w:i/>
          <w:lang w:val="en-GB"/>
        </w:rPr>
        <w:t xml:space="preserve">total amount of coins that </w:t>
      </w:r>
      <w:r w:rsidRPr="00D075C9">
        <w:rPr>
          <w:i/>
          <w:lang w:val="en-GB"/>
        </w:rPr>
        <w:t>will appear on the screen.</w:t>
      </w:r>
    </w:p>
    <w:p w14:paraId="08B509AF" w14:textId="77777777" w:rsidR="00AD693A" w:rsidRPr="004433C6" w:rsidRDefault="00AD693A" w:rsidP="007D1775">
      <w:pPr>
        <w:adjustRightInd w:val="0"/>
        <w:snapToGrid w:val="0"/>
        <w:spacing w:line="360" w:lineRule="auto"/>
        <w:contextualSpacing/>
      </w:pPr>
    </w:p>
    <w:p w14:paraId="506F6A1F" w14:textId="69A21DE2" w:rsidR="00715F70" w:rsidRPr="004E57A6" w:rsidRDefault="00D53852" w:rsidP="004E57A6">
      <w:pPr>
        <w:adjustRightInd w:val="0"/>
        <w:snapToGrid w:val="0"/>
        <w:spacing w:line="360" w:lineRule="auto"/>
        <w:contextualSpacing/>
      </w:pPr>
      <w:r w:rsidRPr="004E57A6">
        <w:t xml:space="preserve">As </w:t>
      </w:r>
      <w:r w:rsidR="007F7FB2" w:rsidRPr="004E57A6">
        <w:t>participants</w:t>
      </w:r>
      <w:r w:rsidRPr="004E57A6">
        <w:t xml:space="preserve"> could fixate</w:t>
      </w:r>
      <w:r w:rsidR="007F7FB2" w:rsidRPr="004E57A6">
        <w:t xml:space="preserve"> both</w:t>
      </w:r>
      <w:r w:rsidRPr="004E57A6">
        <w:t xml:space="preserve"> the Sign and the empty Goal box during the CS periods, the PCA index has the advantage of incorporating in a single score the prevalence of the eye-gaze direction. However, changes of the specific aspects of the eye-gaze incorporated in the PCA score (duration, </w:t>
      </w:r>
      <w:r w:rsidR="00F954DD" w:rsidRPr="004E57A6">
        <w:t>frequency,</w:t>
      </w:r>
      <w:r w:rsidRPr="004E57A6">
        <w:t xml:space="preserve"> and probability) across the two blocks of CS+ trials were also analyzed. Statistical results are reported in Table S1 and depicted in Figure S1. Since the start of the task</w:t>
      </w:r>
      <w:r w:rsidR="00F954DD" w:rsidRPr="004E57A6">
        <w:t>,</w:t>
      </w:r>
      <w:r w:rsidRPr="004E57A6">
        <w:t xml:space="preserve"> subjects categorized as ST fixated the Sign more (higher dwell frequency), longer (higher dwell time), and in every CS+ trial (higher dwell probability); as the training progressed, they did not significantly change their behavior towards the Sign but decreased their probability to fixate the Goal box in presence of the Sign (thus focusing selectively on the Sign). By contrast, in </w:t>
      </w:r>
      <w:r w:rsidR="007F7FB2" w:rsidRPr="004E57A6">
        <w:t>participants</w:t>
      </w:r>
      <w:r w:rsidRPr="004E57A6">
        <w:t xml:space="preserve"> categorized as GT</w:t>
      </w:r>
      <w:r w:rsidR="007F7FB2" w:rsidRPr="004E57A6">
        <w:t>,</w:t>
      </w:r>
      <w:r w:rsidRPr="004E57A6">
        <w:t xml:space="preserve"> every aspect of the eye-gaze was </w:t>
      </w:r>
      <w:r w:rsidR="007F7FB2" w:rsidRPr="004E57A6">
        <w:t>strongly</w:t>
      </w:r>
      <w:r w:rsidRPr="004E57A6">
        <w:t xml:space="preserve"> directed toward the Goal-box and across trials duration</w:t>
      </w:r>
      <w:r w:rsidR="007F7FB2" w:rsidRPr="004E57A6">
        <w:t>,</w:t>
      </w:r>
      <w:r w:rsidRPr="004E57A6">
        <w:t xml:space="preserve"> the frequency of these fixations increased. Finally, eye-gaze specific aspects of </w:t>
      </w:r>
      <w:r w:rsidR="007F7FB2" w:rsidRPr="004E57A6">
        <w:t>participan</w:t>
      </w:r>
      <w:r w:rsidRPr="004E57A6">
        <w:t>ts categorized as Int typically f</w:t>
      </w:r>
      <w:r w:rsidR="007F7FB2" w:rsidRPr="004E57A6">
        <w:t>e</w:t>
      </w:r>
      <w:r w:rsidRPr="004E57A6">
        <w:t>ll in between the other two phenotypes.</w:t>
      </w:r>
    </w:p>
    <w:p w14:paraId="1653812B" w14:textId="77777777" w:rsidR="00F954DD" w:rsidRPr="004E57A6" w:rsidRDefault="00F954DD" w:rsidP="004E57A6">
      <w:pPr>
        <w:adjustRightInd w:val="0"/>
        <w:snapToGrid w:val="0"/>
        <w:spacing w:line="360" w:lineRule="auto"/>
        <w:contextualSpacing/>
      </w:pPr>
    </w:p>
    <w:p w14:paraId="328BA89E" w14:textId="77777777" w:rsidR="00F954DD" w:rsidRPr="004E57A6" w:rsidRDefault="00F954DD" w:rsidP="004E57A6">
      <w:pPr>
        <w:adjustRightInd w:val="0"/>
        <w:snapToGrid w:val="0"/>
        <w:spacing w:line="360" w:lineRule="auto"/>
        <w:contextualSpacing/>
      </w:pPr>
      <w:r w:rsidRPr="004E57A6">
        <w:rPr>
          <w:b/>
        </w:rPr>
        <w:t>S3. Threshold Measurement Task</w:t>
      </w:r>
    </w:p>
    <w:p w14:paraId="32D0838D" w14:textId="56CB3BAC" w:rsidR="00F954DD" w:rsidRDefault="00182A8D" w:rsidP="004E57A6">
      <w:pPr>
        <w:spacing w:line="360" w:lineRule="auto"/>
        <w:rPr>
          <w:lang w:val="en-GB"/>
        </w:rPr>
      </w:pPr>
      <w:r>
        <w:rPr>
          <w:lang w:val="en-GB"/>
        </w:rPr>
        <w:t xml:space="preserve">The threshold Measurement task </w:t>
      </w:r>
      <w:r w:rsidR="00B22AEB">
        <w:rPr>
          <w:lang w:val="en-GB"/>
        </w:rPr>
        <w:t>was performed to verify</w:t>
      </w:r>
      <w:r>
        <w:rPr>
          <w:lang w:val="en-GB"/>
        </w:rPr>
        <w:t xml:space="preserve"> that phenotyp</w:t>
      </w:r>
      <w:r w:rsidR="00076A3B">
        <w:rPr>
          <w:lang w:val="en-GB"/>
        </w:rPr>
        <w:t xml:space="preserve">ical </w:t>
      </w:r>
      <w:r>
        <w:rPr>
          <w:lang w:val="en-GB"/>
        </w:rPr>
        <w:t>differences between ST</w:t>
      </w:r>
      <w:r w:rsidR="00B22AEB">
        <w:rPr>
          <w:lang w:val="en-GB"/>
        </w:rPr>
        <w:t xml:space="preserve">s, </w:t>
      </w:r>
      <w:r>
        <w:rPr>
          <w:lang w:val="en-GB"/>
        </w:rPr>
        <w:t>GT</w:t>
      </w:r>
      <w:r w:rsidR="00B22AEB">
        <w:rPr>
          <w:lang w:val="en-GB"/>
        </w:rPr>
        <w:t xml:space="preserve">s and Ints </w:t>
      </w:r>
      <w:r>
        <w:rPr>
          <w:lang w:val="en-GB"/>
        </w:rPr>
        <w:t>could not be attributed to differences in stimuli perceptual processing,</w:t>
      </w:r>
      <w:r w:rsidR="00B22AEB">
        <w:rPr>
          <w:lang w:val="en-GB"/>
        </w:rPr>
        <w:t xml:space="preserve"> specifically in contrast sensitivity. In so doing, t</w:t>
      </w:r>
      <w:r w:rsidR="00F954DD" w:rsidRPr="004E57A6">
        <w:rPr>
          <w:lang w:val="en-GB"/>
        </w:rPr>
        <w:t xml:space="preserve">he stimuli used in the PCA </w:t>
      </w:r>
      <w:r w:rsidR="00F954DD" w:rsidRPr="004E57A6">
        <w:t xml:space="preserve">(CS+, vertical Gabor patch; CS-, horizontal Gabor patch) </w:t>
      </w:r>
      <w:r w:rsidR="00F954DD" w:rsidRPr="004E57A6">
        <w:rPr>
          <w:lang w:val="en-GB"/>
        </w:rPr>
        <w:t>were presented for 5 sec embedded in dynamic grey noise (rms contrast of 0.2, sampled fresh in each trial with a refresh rate of 60 Hz) that varied across 30 trials (15 CS+ and 15 CS-). After stimuli removal, participants were instructed to press N or M on the keyboard if they expected a reward (</w:t>
      </w:r>
      <w:r w:rsidR="00F954DD" w:rsidRPr="004E57A6">
        <w:t xml:space="preserve">€ coins) or a no-reward (scrambled coin) </w:t>
      </w:r>
      <w:r w:rsidR="00F954DD" w:rsidRPr="004E57A6">
        <w:rPr>
          <w:lang w:val="en-GB"/>
        </w:rPr>
        <w:t>based on the contingencies previously learned. Ratio of correct responses on these 30 trials set the individual signal-to-noise contrast value later analysed by ANOVA with Phenotype as independent variable. No significant differences were found</w:t>
      </w:r>
      <w:r w:rsidR="00505282">
        <w:rPr>
          <w:lang w:val="en-GB"/>
        </w:rPr>
        <w:t xml:space="preserve"> (</w:t>
      </w:r>
      <w:r w:rsidR="00505282" w:rsidRPr="00D35653">
        <w:rPr>
          <w:i/>
          <w:lang w:val="en-GB"/>
        </w:rPr>
        <w:t>F</w:t>
      </w:r>
      <w:r w:rsidR="00D35653">
        <w:rPr>
          <w:lang w:val="en-GB"/>
        </w:rPr>
        <w:t>(</w:t>
      </w:r>
      <w:r w:rsidR="00505282" w:rsidRPr="00505282">
        <w:rPr>
          <w:lang w:val="en-GB"/>
        </w:rPr>
        <w:t>1,74</w:t>
      </w:r>
      <w:r w:rsidR="00D35653">
        <w:rPr>
          <w:lang w:val="en-GB"/>
        </w:rPr>
        <w:t>)</w:t>
      </w:r>
      <w:r w:rsidR="00505282" w:rsidRPr="00505282">
        <w:rPr>
          <w:lang w:val="en-GB"/>
        </w:rPr>
        <w:t xml:space="preserve"> = </w:t>
      </w:r>
      <w:r w:rsidR="00D35653">
        <w:rPr>
          <w:lang w:val="en-GB"/>
        </w:rPr>
        <w:t>0.</w:t>
      </w:r>
      <w:r w:rsidR="00505282" w:rsidRPr="00505282">
        <w:rPr>
          <w:lang w:val="en-GB"/>
        </w:rPr>
        <w:t>68,</w:t>
      </w:r>
      <w:r w:rsidR="00D35653">
        <w:rPr>
          <w:lang w:val="en-GB"/>
        </w:rPr>
        <w:t xml:space="preserve"> </w:t>
      </w:r>
      <w:r w:rsidR="00D35653">
        <w:rPr>
          <w:i/>
          <w:lang w:val="en-GB"/>
        </w:rPr>
        <w:t>p</w:t>
      </w:r>
      <w:r w:rsidR="00D35653">
        <w:rPr>
          <w:lang w:val="en-GB"/>
        </w:rPr>
        <w:t xml:space="preserve"> = 0.51). </w:t>
      </w:r>
    </w:p>
    <w:p w14:paraId="14FA2E6F" w14:textId="5CD42533" w:rsidR="008863E8" w:rsidRDefault="008863E8" w:rsidP="004E57A6">
      <w:pPr>
        <w:spacing w:line="360" w:lineRule="auto"/>
        <w:rPr>
          <w:lang w:val="en-GB"/>
        </w:rPr>
      </w:pPr>
    </w:p>
    <w:p w14:paraId="1B3962C5" w14:textId="36F65F10" w:rsidR="008863E8" w:rsidRDefault="008863E8" w:rsidP="008863E8">
      <w:pPr>
        <w:spacing w:line="360" w:lineRule="auto"/>
        <w:rPr>
          <w:b/>
          <w:lang w:val="en-GB"/>
        </w:rPr>
      </w:pPr>
      <w:r w:rsidRPr="004D313B">
        <w:rPr>
          <w:b/>
          <w:lang w:val="en-GB"/>
        </w:rPr>
        <w:t>S4.</w:t>
      </w:r>
      <w:r w:rsidR="004D2124">
        <w:rPr>
          <w:b/>
          <w:lang w:val="en-GB"/>
        </w:rPr>
        <w:t xml:space="preserve"> </w:t>
      </w:r>
      <w:r w:rsidRPr="004D313B">
        <w:rPr>
          <w:b/>
          <w:lang w:val="en-GB"/>
        </w:rPr>
        <w:t>MRI</w:t>
      </w:r>
      <w:r>
        <w:rPr>
          <w:b/>
          <w:lang w:val="en-GB"/>
        </w:rPr>
        <w:t xml:space="preserve"> acquisition</w:t>
      </w:r>
      <w:r w:rsidRPr="004D313B">
        <w:rPr>
          <w:b/>
          <w:lang w:val="en-GB"/>
        </w:rPr>
        <w:t xml:space="preserve"> </w:t>
      </w:r>
    </w:p>
    <w:p w14:paraId="194E9E27" w14:textId="24A9BA1D" w:rsidR="008863E8" w:rsidRDefault="008863E8" w:rsidP="008863E8">
      <w:pPr>
        <w:spacing w:line="360" w:lineRule="auto"/>
        <w:rPr>
          <w:color w:val="000000" w:themeColor="text1"/>
          <w:shd w:val="clear" w:color="auto" w:fill="FFFFFF"/>
          <w:lang w:val="en-GB"/>
        </w:rPr>
      </w:pPr>
      <w:r>
        <w:rPr>
          <w:color w:val="000000" w:themeColor="text1"/>
        </w:rPr>
        <w:lastRenderedPageBreak/>
        <w:t xml:space="preserve">The structural images </w:t>
      </w:r>
      <w:r w:rsidRPr="006B7783">
        <w:rPr>
          <w:color w:val="000000" w:themeColor="text1"/>
        </w:rPr>
        <w:t>T</w:t>
      </w:r>
      <w:r w:rsidRPr="006B7783">
        <w:rPr>
          <w:color w:val="000000" w:themeColor="text1"/>
          <w:vertAlign w:val="subscript"/>
        </w:rPr>
        <w:t>1</w:t>
      </w:r>
      <w:r w:rsidRPr="006B7783">
        <w:rPr>
          <w:color w:val="000000" w:themeColor="text1"/>
        </w:rPr>
        <w:t xml:space="preserve"> and T</w:t>
      </w:r>
      <w:r w:rsidRPr="006B7783">
        <w:rPr>
          <w:color w:val="000000" w:themeColor="text1"/>
          <w:vertAlign w:val="subscript"/>
        </w:rPr>
        <w:t>2</w:t>
      </w:r>
      <w:r w:rsidRPr="006B7783">
        <w:rPr>
          <w:color w:val="000000" w:themeColor="text1"/>
        </w:rPr>
        <w:t>-weighted were acquired on each participant using MPRAGE (Magnetization-Prepared RApid Gradient-Echo) and SPACE (Sampling Perfection with Application optimized Contrast using different flip angle Evolution) sequences</w:t>
      </w:r>
      <w:r>
        <w:rPr>
          <w:color w:val="000000" w:themeColor="text1"/>
        </w:rPr>
        <w:t xml:space="preserve"> respectively</w:t>
      </w:r>
      <w:r w:rsidRPr="006B7783">
        <w:rPr>
          <w:color w:val="000000" w:themeColor="text1"/>
        </w:rPr>
        <w:t>. Both included perspective motion correction and selective reacquisition of motion-corrupted data [44]. Further scanning parameters: MPRAGE TE/TI/TR 2.87/1090/2500 ms, Flip Angle 8°, GRAPPA 2, voxel size 0.8</w:t>
      </w:r>
      <w:r w:rsidRPr="006B7783">
        <w:rPr>
          <w:color w:val="000000" w:themeColor="text1"/>
          <w:vertAlign w:val="superscript"/>
        </w:rPr>
        <w:t>3</w:t>
      </w:r>
      <w:r w:rsidRPr="006B7783">
        <w:rPr>
          <w:color w:val="000000" w:themeColor="text1"/>
        </w:rPr>
        <w:t xml:space="preserve"> mm</w:t>
      </w:r>
      <w:r w:rsidRPr="006B7783">
        <w:rPr>
          <w:color w:val="000000" w:themeColor="text1"/>
          <w:vertAlign w:val="superscript"/>
        </w:rPr>
        <w:t>3</w:t>
      </w:r>
      <w:r w:rsidRPr="006B7783">
        <w:rPr>
          <w:color w:val="000000" w:themeColor="text1"/>
        </w:rPr>
        <w:t>. SPACE TE/TR 564/3200 ms, GRAPPA 2, voxel size 0.8</w:t>
      </w:r>
      <w:r w:rsidRPr="006B7783">
        <w:rPr>
          <w:color w:val="000000" w:themeColor="text1"/>
          <w:vertAlign w:val="superscript"/>
        </w:rPr>
        <w:t>3</w:t>
      </w:r>
      <w:r w:rsidRPr="006B7783">
        <w:rPr>
          <w:color w:val="000000" w:themeColor="text1"/>
        </w:rPr>
        <w:t xml:space="preserve"> mm</w:t>
      </w:r>
      <w:r w:rsidRPr="006B7783">
        <w:rPr>
          <w:color w:val="000000" w:themeColor="text1"/>
          <w:vertAlign w:val="superscript"/>
        </w:rPr>
        <w:t>3</w:t>
      </w:r>
      <w:r w:rsidRPr="006B7783">
        <w:rPr>
          <w:color w:val="000000" w:themeColor="text1"/>
        </w:rPr>
        <w:t>.</w:t>
      </w:r>
    </w:p>
    <w:p w14:paraId="78160712" w14:textId="77777777" w:rsidR="008863E8" w:rsidRPr="004D313B" w:rsidRDefault="008863E8" w:rsidP="008863E8">
      <w:pPr>
        <w:spacing w:line="360" w:lineRule="auto"/>
        <w:rPr>
          <w:b/>
          <w:lang w:val="en-GB"/>
        </w:rPr>
      </w:pPr>
      <w:r w:rsidRPr="00A056A9">
        <w:rPr>
          <w:color w:val="000000" w:themeColor="text1"/>
          <w:shd w:val="clear" w:color="auto" w:fill="FFFFFF"/>
        </w:rPr>
        <w:t xml:space="preserve">Functional scans were acquired with a T2* -weighted gradient-echo EPI sequence, a multiband factor of 8, and an isotropic voxel size of 2.23 mm3 (64 slices, field of view = 208 × 208 mm2). TE/TR = 32/800 ms, Flip Angle 52° and no in-plane acceleration (Moeller et al., 2010; Xu et al., 2013). </w:t>
      </w:r>
      <w:r>
        <w:rPr>
          <w:color w:val="000000" w:themeColor="text1"/>
          <w:shd w:val="clear" w:color="auto" w:fill="FFFFFF"/>
        </w:rPr>
        <w:t>Two</w:t>
      </w:r>
      <w:r w:rsidRPr="00A056A9">
        <w:rPr>
          <w:color w:val="000000" w:themeColor="text1"/>
          <w:shd w:val="clear" w:color="auto" w:fill="FFFFFF"/>
        </w:rPr>
        <w:t xml:space="preserve"> runs were acquired with opposite phase encoding in the anterior-posterior direction. Each run included 450 measurements. Single band reference images were acquired during pre-scan. Two Spin echo scans with no multiband and the same geometrical and sampling properties were acquired with opposite phase encoding direction for field mapping (TE/TR=80/7660 ms, Flip angle 90°).</w:t>
      </w:r>
    </w:p>
    <w:p w14:paraId="51A3FD4D" w14:textId="77777777" w:rsidR="008863E8" w:rsidRPr="004E57A6" w:rsidRDefault="008863E8" w:rsidP="004E57A6">
      <w:pPr>
        <w:spacing w:line="360" w:lineRule="auto"/>
        <w:rPr>
          <w:lang w:val="en-GB"/>
        </w:rPr>
      </w:pPr>
    </w:p>
    <w:p w14:paraId="04537D03" w14:textId="77777777" w:rsidR="00F954DD" w:rsidRDefault="00F954DD" w:rsidP="004E57A6">
      <w:pPr>
        <w:adjustRightInd w:val="0"/>
        <w:snapToGrid w:val="0"/>
        <w:spacing w:line="360" w:lineRule="auto"/>
        <w:contextualSpacing/>
      </w:pPr>
    </w:p>
    <w:p w14:paraId="37662BAF" w14:textId="3FC287B7" w:rsidR="00AD1E9C" w:rsidRDefault="00AD1E9C" w:rsidP="00AD1E9C">
      <w:pPr>
        <w:adjustRightInd w:val="0"/>
        <w:snapToGrid w:val="0"/>
        <w:spacing w:line="360" w:lineRule="auto"/>
        <w:contextualSpacing/>
        <w:rPr>
          <w:b/>
          <w:bCs/>
        </w:rPr>
      </w:pPr>
      <w:r>
        <w:rPr>
          <w:b/>
          <w:bCs/>
        </w:rPr>
        <w:t>S</w:t>
      </w:r>
      <w:r w:rsidR="008863E8">
        <w:rPr>
          <w:b/>
          <w:bCs/>
        </w:rPr>
        <w:t>5</w:t>
      </w:r>
      <w:r w:rsidRPr="004E57A6">
        <w:rPr>
          <w:b/>
          <w:bCs/>
        </w:rPr>
        <w:t xml:space="preserve">. List of </w:t>
      </w:r>
      <w:r>
        <w:rPr>
          <w:b/>
          <w:bCs/>
        </w:rPr>
        <w:t xml:space="preserve">the </w:t>
      </w:r>
      <w:r w:rsidRPr="004E57A6">
        <w:rPr>
          <w:b/>
          <w:bCs/>
        </w:rPr>
        <w:t xml:space="preserve">brain regions </w:t>
      </w:r>
      <w:r>
        <w:rPr>
          <w:b/>
          <w:bCs/>
        </w:rPr>
        <w:t>examined in the resting state functional connectivity analyses</w:t>
      </w:r>
    </w:p>
    <w:p w14:paraId="65A6A513" w14:textId="77777777" w:rsidR="00AD1E9C" w:rsidRPr="004E57A6" w:rsidRDefault="00AD1E9C" w:rsidP="00AD1E9C">
      <w:pPr>
        <w:adjustRightInd w:val="0"/>
        <w:snapToGrid w:val="0"/>
        <w:spacing w:line="360" w:lineRule="auto"/>
        <w:contextualSpacing/>
        <w:rPr>
          <w:b/>
          <w:bCs/>
        </w:rPr>
      </w:pPr>
    </w:p>
    <w:p w14:paraId="4517B533" w14:textId="77777777" w:rsidR="00AD1E9C" w:rsidRPr="004E57A6" w:rsidRDefault="00AD1E9C" w:rsidP="00AD1E9C">
      <w:pPr>
        <w:pStyle w:val="ListParagraph"/>
        <w:numPr>
          <w:ilvl w:val="0"/>
          <w:numId w:val="7"/>
        </w:numPr>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lang w:val="it-IT"/>
        </w:rPr>
      </w:pPr>
      <w:r w:rsidRPr="004E57A6">
        <w:rPr>
          <w:rFonts w:eastAsiaTheme="minorHAnsi"/>
          <w:lang w:val="it-IT"/>
        </w:rPr>
        <w:t>Orbitofrontal Cortex (OFC)</w:t>
      </w:r>
    </w:p>
    <w:p w14:paraId="398F4390" w14:textId="77777777" w:rsidR="00AD1E9C" w:rsidRPr="004E57A6" w:rsidRDefault="00AD1E9C" w:rsidP="00AD1E9C">
      <w:pPr>
        <w:pStyle w:val="ListParagraph"/>
        <w:numPr>
          <w:ilvl w:val="0"/>
          <w:numId w:val="7"/>
        </w:numPr>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lang w:val="it-IT"/>
        </w:rPr>
      </w:pPr>
      <w:r w:rsidRPr="004E57A6">
        <w:rPr>
          <w:rFonts w:eastAsiaTheme="minorHAnsi"/>
          <w:lang w:val="it-IT"/>
        </w:rPr>
        <w:t>Medial Prefrontal Cortex (mPFC)</w:t>
      </w:r>
    </w:p>
    <w:p w14:paraId="481FC394" w14:textId="77777777" w:rsidR="00AD1E9C" w:rsidRPr="004E57A6" w:rsidRDefault="00AD1E9C" w:rsidP="00AD1E9C">
      <w:pPr>
        <w:pStyle w:val="ListParagraph"/>
        <w:numPr>
          <w:ilvl w:val="0"/>
          <w:numId w:val="7"/>
        </w:numPr>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lang w:val="it-IT"/>
        </w:rPr>
      </w:pPr>
      <w:r w:rsidRPr="004E57A6">
        <w:rPr>
          <w:rFonts w:eastAsiaTheme="minorHAnsi"/>
          <w:lang w:val="it-IT"/>
        </w:rPr>
        <w:t>Nucleus Accumbens Core (NAcC)</w:t>
      </w:r>
    </w:p>
    <w:p w14:paraId="059EDD8F" w14:textId="77777777" w:rsidR="00AD1E9C" w:rsidRPr="004E57A6" w:rsidRDefault="00AD1E9C" w:rsidP="00AD1E9C">
      <w:pPr>
        <w:pStyle w:val="ListParagraph"/>
        <w:numPr>
          <w:ilvl w:val="0"/>
          <w:numId w:val="7"/>
        </w:numPr>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lang w:val="it-IT"/>
        </w:rPr>
      </w:pPr>
      <w:r w:rsidRPr="004E57A6">
        <w:rPr>
          <w:rFonts w:eastAsiaTheme="minorHAnsi"/>
          <w:lang w:val="it-IT"/>
        </w:rPr>
        <w:t>Nucleus Accumbens Shell (NAcsh)</w:t>
      </w:r>
    </w:p>
    <w:p w14:paraId="3AA673CB" w14:textId="77777777" w:rsidR="00AD1E9C" w:rsidRPr="004E57A6" w:rsidRDefault="00AD1E9C" w:rsidP="00AD1E9C">
      <w:pPr>
        <w:pStyle w:val="ListParagraph"/>
        <w:numPr>
          <w:ilvl w:val="0"/>
          <w:numId w:val="7"/>
        </w:numPr>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lang w:val="it-IT"/>
        </w:rPr>
      </w:pPr>
      <w:r w:rsidRPr="004E57A6">
        <w:rPr>
          <w:rFonts w:eastAsiaTheme="minorHAnsi"/>
          <w:lang w:val="it-IT"/>
        </w:rPr>
        <w:t>Caudate (Cau)</w:t>
      </w:r>
    </w:p>
    <w:p w14:paraId="1EB4F91B" w14:textId="77777777" w:rsidR="00AD1E9C" w:rsidRPr="004E57A6" w:rsidRDefault="00AD1E9C" w:rsidP="00AD1E9C">
      <w:pPr>
        <w:pStyle w:val="ListParagraph"/>
        <w:numPr>
          <w:ilvl w:val="0"/>
          <w:numId w:val="7"/>
        </w:numPr>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lang w:val="it-IT"/>
        </w:rPr>
      </w:pPr>
      <w:r w:rsidRPr="004E57A6">
        <w:rPr>
          <w:rFonts w:eastAsiaTheme="minorHAnsi"/>
          <w:lang w:val="it-IT"/>
        </w:rPr>
        <w:t>Insula (Ins)</w:t>
      </w:r>
    </w:p>
    <w:p w14:paraId="1FC549CB" w14:textId="77777777" w:rsidR="00AD1E9C" w:rsidRPr="004E57A6" w:rsidRDefault="00AD1E9C" w:rsidP="00AD1E9C">
      <w:pPr>
        <w:pStyle w:val="ListParagraph"/>
        <w:numPr>
          <w:ilvl w:val="0"/>
          <w:numId w:val="7"/>
        </w:numPr>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lang w:val="it-IT"/>
        </w:rPr>
      </w:pPr>
      <w:r w:rsidRPr="004E57A6">
        <w:rPr>
          <w:rFonts w:eastAsiaTheme="minorHAnsi"/>
          <w:lang w:val="it-IT"/>
        </w:rPr>
        <w:t>Putamen (Put)</w:t>
      </w:r>
    </w:p>
    <w:p w14:paraId="6EACA113" w14:textId="77777777" w:rsidR="00AD1E9C" w:rsidRPr="004E57A6" w:rsidRDefault="00AD1E9C" w:rsidP="00AD1E9C">
      <w:pPr>
        <w:pStyle w:val="ListParagraph"/>
        <w:numPr>
          <w:ilvl w:val="0"/>
          <w:numId w:val="7"/>
        </w:numPr>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lang w:val="it-IT"/>
        </w:rPr>
      </w:pPr>
      <w:r w:rsidRPr="004E57A6">
        <w:rPr>
          <w:rFonts w:eastAsiaTheme="minorHAnsi"/>
          <w:lang w:val="it-IT"/>
        </w:rPr>
        <w:t>Globus Pallidus (GP)</w:t>
      </w:r>
    </w:p>
    <w:p w14:paraId="6FAC35CF" w14:textId="77777777" w:rsidR="00AD1E9C" w:rsidRPr="004E57A6" w:rsidRDefault="00AD1E9C" w:rsidP="00AD1E9C">
      <w:pPr>
        <w:pStyle w:val="ListParagraph"/>
        <w:numPr>
          <w:ilvl w:val="0"/>
          <w:numId w:val="7"/>
        </w:numPr>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lang w:val="it-IT"/>
        </w:rPr>
      </w:pPr>
      <w:r w:rsidRPr="004E57A6">
        <w:rPr>
          <w:rFonts w:eastAsiaTheme="minorHAnsi"/>
          <w:lang w:val="it-IT"/>
        </w:rPr>
        <w:t>Amigdala (Amy)</w:t>
      </w:r>
    </w:p>
    <w:p w14:paraId="3C993338" w14:textId="77777777" w:rsidR="00AD1E9C" w:rsidRPr="004E57A6" w:rsidRDefault="00AD1E9C" w:rsidP="00AD1E9C">
      <w:pPr>
        <w:pStyle w:val="ListParagraph"/>
        <w:numPr>
          <w:ilvl w:val="0"/>
          <w:numId w:val="7"/>
        </w:numPr>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lang w:val="it-IT"/>
        </w:rPr>
      </w:pPr>
      <w:r w:rsidRPr="004E57A6">
        <w:rPr>
          <w:rFonts w:eastAsiaTheme="minorHAnsi"/>
          <w:lang w:val="it-IT"/>
        </w:rPr>
        <w:t>Anterior ventral Thalamus (aThv)</w:t>
      </w:r>
    </w:p>
    <w:p w14:paraId="5C4ED045" w14:textId="77777777" w:rsidR="00AD1E9C" w:rsidRPr="004E57A6" w:rsidRDefault="00AD1E9C" w:rsidP="00AD1E9C">
      <w:pPr>
        <w:pStyle w:val="ListParagraph"/>
        <w:numPr>
          <w:ilvl w:val="0"/>
          <w:numId w:val="7"/>
        </w:numPr>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lang w:val="it-IT"/>
        </w:rPr>
      </w:pPr>
      <w:r w:rsidRPr="004E57A6">
        <w:rPr>
          <w:rFonts w:eastAsiaTheme="minorHAnsi"/>
          <w:lang w:val="it-IT"/>
        </w:rPr>
        <w:t>Posterior ventral Thalamus (pThv)</w:t>
      </w:r>
    </w:p>
    <w:p w14:paraId="5698DA9B" w14:textId="77777777" w:rsidR="00AD1E9C" w:rsidRPr="004E57A6" w:rsidRDefault="00AD1E9C" w:rsidP="00AD1E9C">
      <w:pPr>
        <w:pStyle w:val="ListParagraph"/>
        <w:numPr>
          <w:ilvl w:val="0"/>
          <w:numId w:val="7"/>
        </w:numPr>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lang w:val="it-IT"/>
        </w:rPr>
      </w:pPr>
      <w:r w:rsidRPr="004E57A6">
        <w:rPr>
          <w:rFonts w:eastAsiaTheme="minorHAnsi"/>
          <w:lang w:val="it-IT"/>
        </w:rPr>
        <w:t>Anterior dorsal Thalamus (aThd)</w:t>
      </w:r>
    </w:p>
    <w:p w14:paraId="41074998" w14:textId="77777777" w:rsidR="00AD1E9C" w:rsidRPr="004E57A6" w:rsidRDefault="00AD1E9C" w:rsidP="00AD1E9C">
      <w:pPr>
        <w:pStyle w:val="ListParagraph"/>
        <w:numPr>
          <w:ilvl w:val="0"/>
          <w:numId w:val="7"/>
        </w:numPr>
        <w:tabs>
          <w:tab w:val="left" w:pos="0"/>
        </w:tabs>
        <w:spacing w:line="360" w:lineRule="auto"/>
        <w:rPr>
          <w:rFonts w:eastAsiaTheme="minorHAnsi"/>
          <w:lang w:val="it-IT"/>
        </w:rPr>
      </w:pPr>
      <w:r w:rsidRPr="004E57A6">
        <w:rPr>
          <w:rFonts w:eastAsiaTheme="minorHAnsi"/>
          <w:lang w:val="it-IT"/>
        </w:rPr>
        <w:t>Posterior dorsal Thalamus (pThd)</w:t>
      </w:r>
    </w:p>
    <w:p w14:paraId="2855B5AF" w14:textId="77777777" w:rsidR="00AD1E9C" w:rsidRDefault="00AD1E9C" w:rsidP="004E57A6">
      <w:pPr>
        <w:adjustRightInd w:val="0"/>
        <w:snapToGrid w:val="0"/>
        <w:spacing w:line="360" w:lineRule="auto"/>
        <w:contextualSpacing/>
        <w:rPr>
          <w:b/>
          <w:bCs/>
        </w:rPr>
      </w:pPr>
    </w:p>
    <w:p w14:paraId="4B04E1A6" w14:textId="4F9F2B87" w:rsidR="00D534B8" w:rsidRPr="004E57A6" w:rsidRDefault="00F954DD" w:rsidP="004E57A6">
      <w:pPr>
        <w:adjustRightInd w:val="0"/>
        <w:snapToGrid w:val="0"/>
        <w:spacing w:line="360" w:lineRule="auto"/>
        <w:contextualSpacing/>
        <w:rPr>
          <w:b/>
          <w:bCs/>
        </w:rPr>
      </w:pPr>
      <w:r w:rsidRPr="004E57A6">
        <w:rPr>
          <w:b/>
          <w:bCs/>
        </w:rPr>
        <w:t>Table S1</w:t>
      </w:r>
      <w:r w:rsidR="005E339A" w:rsidRPr="004E57A6">
        <w:rPr>
          <w:b/>
          <w:bCs/>
        </w:rPr>
        <w:t>.</w:t>
      </w:r>
      <w:r w:rsidR="00D534B8" w:rsidRPr="004E57A6">
        <w:rPr>
          <w:b/>
          <w:bCs/>
        </w:rPr>
        <w:t xml:space="preserve"> Eye-gaze individual aspects/features (dwell time, dwell frequency and dwell probability) used to calculate the PCA score</w:t>
      </w:r>
    </w:p>
    <w:p w14:paraId="45AC72D9" w14:textId="77777777" w:rsidR="00390DBA" w:rsidRPr="004E57A6" w:rsidRDefault="00390DBA" w:rsidP="004E57A6">
      <w:pPr>
        <w:adjustRightInd w:val="0"/>
        <w:snapToGrid w:val="0"/>
        <w:spacing w:line="360" w:lineRule="auto"/>
        <w:contextualSpacing/>
        <w:rPr>
          <w:b/>
          <w:bCs/>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5"/>
        <w:gridCol w:w="2726"/>
        <w:gridCol w:w="2506"/>
        <w:gridCol w:w="2616"/>
      </w:tblGrid>
      <w:tr w:rsidR="00F954DD" w:rsidRPr="004E57A6" w14:paraId="0F0FC7EC" w14:textId="77777777" w:rsidTr="004E57A6">
        <w:trPr>
          <w:jc w:val="center"/>
        </w:trPr>
        <w:tc>
          <w:tcPr>
            <w:tcW w:w="0" w:type="auto"/>
            <w:tcBorders>
              <w:top w:val="single" w:sz="4" w:space="0" w:color="auto"/>
              <w:bottom w:val="single" w:sz="4" w:space="0" w:color="auto"/>
            </w:tcBorders>
          </w:tcPr>
          <w:p w14:paraId="15517247" w14:textId="77777777" w:rsidR="00D534B8" w:rsidRPr="004E57A6" w:rsidRDefault="00D534B8" w:rsidP="004E57A6">
            <w:pPr>
              <w:adjustRightInd w:val="0"/>
              <w:snapToGrid w:val="0"/>
              <w:spacing w:line="360" w:lineRule="auto"/>
              <w:contextualSpacing/>
              <w:rPr>
                <w:sz w:val="22"/>
                <w:szCs w:val="22"/>
              </w:rPr>
            </w:pPr>
          </w:p>
        </w:tc>
        <w:tc>
          <w:tcPr>
            <w:tcW w:w="0" w:type="auto"/>
            <w:tcBorders>
              <w:top w:val="single" w:sz="4" w:space="0" w:color="auto"/>
              <w:bottom w:val="single" w:sz="4" w:space="0" w:color="auto"/>
            </w:tcBorders>
          </w:tcPr>
          <w:p w14:paraId="7099C084" w14:textId="77777777" w:rsidR="00D534B8" w:rsidRPr="004E57A6" w:rsidRDefault="00D534B8" w:rsidP="004E57A6">
            <w:pPr>
              <w:adjustRightInd w:val="0"/>
              <w:snapToGrid w:val="0"/>
              <w:spacing w:line="360" w:lineRule="auto"/>
              <w:contextualSpacing/>
              <w:rPr>
                <w:sz w:val="22"/>
                <w:szCs w:val="22"/>
              </w:rPr>
            </w:pPr>
            <w:r w:rsidRPr="004E57A6">
              <w:rPr>
                <w:sz w:val="22"/>
                <w:szCs w:val="22"/>
              </w:rPr>
              <w:t>Phenotype</w:t>
            </w:r>
          </w:p>
        </w:tc>
        <w:tc>
          <w:tcPr>
            <w:tcW w:w="0" w:type="auto"/>
            <w:tcBorders>
              <w:top w:val="single" w:sz="4" w:space="0" w:color="auto"/>
              <w:bottom w:val="single" w:sz="4" w:space="0" w:color="auto"/>
            </w:tcBorders>
          </w:tcPr>
          <w:p w14:paraId="557B8708" w14:textId="77777777" w:rsidR="00D534B8" w:rsidRPr="004E57A6" w:rsidRDefault="00D534B8" w:rsidP="004E57A6">
            <w:pPr>
              <w:adjustRightInd w:val="0"/>
              <w:snapToGrid w:val="0"/>
              <w:spacing w:line="360" w:lineRule="auto"/>
              <w:contextualSpacing/>
              <w:rPr>
                <w:sz w:val="22"/>
                <w:szCs w:val="22"/>
              </w:rPr>
            </w:pPr>
            <w:r w:rsidRPr="004E57A6">
              <w:rPr>
                <w:sz w:val="22"/>
                <w:szCs w:val="22"/>
              </w:rPr>
              <w:t>Block</w:t>
            </w:r>
          </w:p>
        </w:tc>
        <w:tc>
          <w:tcPr>
            <w:tcW w:w="0" w:type="auto"/>
            <w:tcBorders>
              <w:top w:val="single" w:sz="4" w:space="0" w:color="auto"/>
              <w:bottom w:val="single" w:sz="4" w:space="0" w:color="auto"/>
            </w:tcBorders>
          </w:tcPr>
          <w:p w14:paraId="7EF81A24" w14:textId="77777777" w:rsidR="00D534B8" w:rsidRPr="004E57A6" w:rsidRDefault="00D534B8" w:rsidP="004E57A6">
            <w:pPr>
              <w:adjustRightInd w:val="0"/>
              <w:snapToGrid w:val="0"/>
              <w:spacing w:line="360" w:lineRule="auto"/>
              <w:ind w:right="-257"/>
              <w:contextualSpacing/>
              <w:rPr>
                <w:sz w:val="22"/>
                <w:szCs w:val="22"/>
              </w:rPr>
            </w:pPr>
            <w:r w:rsidRPr="004E57A6">
              <w:rPr>
                <w:sz w:val="22"/>
                <w:szCs w:val="22"/>
              </w:rPr>
              <w:t>Phenotype x Block</w:t>
            </w:r>
          </w:p>
        </w:tc>
      </w:tr>
      <w:tr w:rsidR="00F954DD" w:rsidRPr="004E57A6" w14:paraId="7BFA115B" w14:textId="77777777" w:rsidTr="004E57A6">
        <w:trPr>
          <w:jc w:val="center"/>
        </w:trPr>
        <w:tc>
          <w:tcPr>
            <w:tcW w:w="0" w:type="auto"/>
            <w:tcBorders>
              <w:top w:val="single" w:sz="4" w:space="0" w:color="auto"/>
            </w:tcBorders>
          </w:tcPr>
          <w:p w14:paraId="6B75717D" w14:textId="77777777" w:rsidR="00D534B8" w:rsidRPr="004E57A6" w:rsidRDefault="00D534B8" w:rsidP="004E57A6">
            <w:pPr>
              <w:adjustRightInd w:val="0"/>
              <w:snapToGrid w:val="0"/>
              <w:spacing w:line="360" w:lineRule="auto"/>
              <w:contextualSpacing/>
              <w:rPr>
                <w:sz w:val="22"/>
                <w:szCs w:val="22"/>
              </w:rPr>
            </w:pPr>
            <w:r w:rsidRPr="004E57A6">
              <w:rPr>
                <w:sz w:val="22"/>
                <w:szCs w:val="22"/>
              </w:rPr>
              <w:t>time on Sign</w:t>
            </w:r>
          </w:p>
        </w:tc>
        <w:tc>
          <w:tcPr>
            <w:tcW w:w="0" w:type="auto"/>
            <w:tcBorders>
              <w:top w:val="single" w:sz="4" w:space="0" w:color="auto"/>
            </w:tcBorders>
          </w:tcPr>
          <w:p w14:paraId="138FB090" w14:textId="77777777" w:rsidR="00D534B8" w:rsidRPr="004E57A6" w:rsidRDefault="00D534B8" w:rsidP="004E57A6">
            <w:pPr>
              <w:adjustRightInd w:val="0"/>
              <w:snapToGrid w:val="0"/>
              <w:spacing w:line="360" w:lineRule="auto"/>
              <w:contextualSpacing/>
              <w:rPr>
                <w:sz w:val="22"/>
                <w:szCs w:val="22"/>
              </w:rPr>
            </w:pPr>
            <w:r w:rsidRPr="004E57A6">
              <w:rPr>
                <w:i/>
                <w:iCs/>
                <w:sz w:val="22"/>
                <w:szCs w:val="22"/>
              </w:rPr>
              <w:t>F</w:t>
            </w:r>
            <w:r w:rsidRPr="004E57A6">
              <w:rPr>
                <w:sz w:val="22"/>
                <w:szCs w:val="22"/>
              </w:rPr>
              <w:t xml:space="preserve">(2,102) = 49.435 </w:t>
            </w:r>
            <w:r w:rsidRPr="004E57A6">
              <w:rPr>
                <w:i/>
                <w:iCs/>
                <w:sz w:val="22"/>
                <w:szCs w:val="22"/>
              </w:rPr>
              <w:t>p</w:t>
            </w:r>
            <w:r w:rsidRPr="004E57A6">
              <w:rPr>
                <w:sz w:val="22"/>
                <w:szCs w:val="22"/>
              </w:rPr>
              <w:t xml:space="preserve"> &lt; 0.001</w:t>
            </w:r>
          </w:p>
        </w:tc>
        <w:tc>
          <w:tcPr>
            <w:tcW w:w="0" w:type="auto"/>
            <w:tcBorders>
              <w:top w:val="single" w:sz="4" w:space="0" w:color="auto"/>
            </w:tcBorders>
          </w:tcPr>
          <w:p w14:paraId="0A754A60" w14:textId="77777777" w:rsidR="00D534B8" w:rsidRPr="004E57A6" w:rsidRDefault="00D534B8" w:rsidP="004E57A6">
            <w:pPr>
              <w:adjustRightInd w:val="0"/>
              <w:snapToGrid w:val="0"/>
              <w:spacing w:line="360" w:lineRule="auto"/>
              <w:contextualSpacing/>
              <w:rPr>
                <w:sz w:val="22"/>
                <w:szCs w:val="22"/>
              </w:rPr>
            </w:pPr>
          </w:p>
        </w:tc>
        <w:tc>
          <w:tcPr>
            <w:tcW w:w="0" w:type="auto"/>
            <w:tcBorders>
              <w:top w:val="single" w:sz="4" w:space="0" w:color="auto"/>
            </w:tcBorders>
          </w:tcPr>
          <w:p w14:paraId="50B2F1FB" w14:textId="77777777" w:rsidR="00D534B8" w:rsidRPr="004E57A6" w:rsidRDefault="00D534B8" w:rsidP="004E57A6">
            <w:pPr>
              <w:adjustRightInd w:val="0"/>
              <w:snapToGrid w:val="0"/>
              <w:spacing w:line="360" w:lineRule="auto"/>
              <w:ind w:right="-257"/>
              <w:contextualSpacing/>
              <w:rPr>
                <w:sz w:val="22"/>
                <w:szCs w:val="22"/>
              </w:rPr>
            </w:pPr>
            <w:r w:rsidRPr="004E57A6">
              <w:rPr>
                <w:i/>
                <w:iCs/>
                <w:sz w:val="22"/>
                <w:szCs w:val="22"/>
              </w:rPr>
              <w:t>F</w:t>
            </w:r>
            <w:r w:rsidRPr="004E57A6">
              <w:rPr>
                <w:sz w:val="22"/>
                <w:szCs w:val="22"/>
              </w:rPr>
              <w:t xml:space="preserve">(2,102) = 5.605 </w:t>
            </w:r>
            <w:r w:rsidRPr="004E57A6">
              <w:rPr>
                <w:i/>
                <w:iCs/>
                <w:sz w:val="22"/>
                <w:szCs w:val="22"/>
              </w:rPr>
              <w:t>p</w:t>
            </w:r>
            <w:r w:rsidRPr="004E57A6">
              <w:rPr>
                <w:sz w:val="22"/>
                <w:szCs w:val="22"/>
              </w:rPr>
              <w:t xml:space="preserve"> &lt; 0.01</w:t>
            </w:r>
          </w:p>
        </w:tc>
      </w:tr>
      <w:tr w:rsidR="00F954DD" w:rsidRPr="004E57A6" w14:paraId="57F49BFB" w14:textId="77777777" w:rsidTr="004E57A6">
        <w:trPr>
          <w:jc w:val="center"/>
        </w:trPr>
        <w:tc>
          <w:tcPr>
            <w:tcW w:w="0" w:type="auto"/>
          </w:tcPr>
          <w:p w14:paraId="4378D4D5" w14:textId="77777777" w:rsidR="00D534B8" w:rsidRPr="004E57A6" w:rsidRDefault="00D534B8" w:rsidP="004E57A6">
            <w:pPr>
              <w:adjustRightInd w:val="0"/>
              <w:snapToGrid w:val="0"/>
              <w:spacing w:line="360" w:lineRule="auto"/>
              <w:contextualSpacing/>
              <w:rPr>
                <w:sz w:val="22"/>
                <w:szCs w:val="22"/>
              </w:rPr>
            </w:pPr>
            <w:r w:rsidRPr="004E57A6">
              <w:rPr>
                <w:i/>
                <w:iCs/>
                <w:sz w:val="22"/>
                <w:szCs w:val="22"/>
              </w:rPr>
              <w:t>f</w:t>
            </w:r>
            <w:r w:rsidRPr="004E57A6">
              <w:rPr>
                <w:sz w:val="22"/>
                <w:szCs w:val="22"/>
              </w:rPr>
              <w:t xml:space="preserve"> on Sign</w:t>
            </w:r>
          </w:p>
        </w:tc>
        <w:tc>
          <w:tcPr>
            <w:tcW w:w="0" w:type="auto"/>
          </w:tcPr>
          <w:p w14:paraId="0D89C420" w14:textId="77777777" w:rsidR="00D534B8" w:rsidRPr="004E57A6" w:rsidRDefault="00D534B8" w:rsidP="004E57A6">
            <w:pPr>
              <w:adjustRightInd w:val="0"/>
              <w:snapToGrid w:val="0"/>
              <w:spacing w:line="360" w:lineRule="auto"/>
              <w:contextualSpacing/>
              <w:rPr>
                <w:sz w:val="22"/>
                <w:szCs w:val="22"/>
              </w:rPr>
            </w:pPr>
            <w:r w:rsidRPr="004E57A6">
              <w:rPr>
                <w:i/>
                <w:iCs/>
                <w:sz w:val="22"/>
                <w:szCs w:val="22"/>
              </w:rPr>
              <w:t>F</w:t>
            </w:r>
            <w:r w:rsidRPr="004E57A6">
              <w:rPr>
                <w:sz w:val="22"/>
                <w:szCs w:val="22"/>
              </w:rPr>
              <w:t xml:space="preserve">(2,102) = 17.067 </w:t>
            </w:r>
            <w:r w:rsidRPr="004E57A6">
              <w:rPr>
                <w:i/>
                <w:iCs/>
                <w:sz w:val="22"/>
                <w:szCs w:val="22"/>
              </w:rPr>
              <w:t>p</w:t>
            </w:r>
            <w:r w:rsidRPr="004E57A6">
              <w:rPr>
                <w:sz w:val="22"/>
                <w:szCs w:val="22"/>
              </w:rPr>
              <w:t xml:space="preserve"> &lt; 0.001</w:t>
            </w:r>
          </w:p>
        </w:tc>
        <w:tc>
          <w:tcPr>
            <w:tcW w:w="0" w:type="auto"/>
          </w:tcPr>
          <w:p w14:paraId="7935C3CE" w14:textId="77777777" w:rsidR="00D534B8" w:rsidRPr="004E57A6" w:rsidRDefault="00D534B8" w:rsidP="004E57A6">
            <w:pPr>
              <w:adjustRightInd w:val="0"/>
              <w:snapToGrid w:val="0"/>
              <w:spacing w:line="360" w:lineRule="auto"/>
              <w:contextualSpacing/>
              <w:rPr>
                <w:sz w:val="22"/>
                <w:szCs w:val="22"/>
              </w:rPr>
            </w:pPr>
          </w:p>
        </w:tc>
        <w:tc>
          <w:tcPr>
            <w:tcW w:w="0" w:type="auto"/>
          </w:tcPr>
          <w:p w14:paraId="1EA5C148" w14:textId="77777777" w:rsidR="00D534B8" w:rsidRPr="004E57A6" w:rsidRDefault="00D534B8" w:rsidP="004E57A6">
            <w:pPr>
              <w:adjustRightInd w:val="0"/>
              <w:snapToGrid w:val="0"/>
              <w:spacing w:line="360" w:lineRule="auto"/>
              <w:ind w:right="-257"/>
              <w:contextualSpacing/>
              <w:rPr>
                <w:sz w:val="22"/>
                <w:szCs w:val="22"/>
              </w:rPr>
            </w:pPr>
            <w:r w:rsidRPr="004E57A6">
              <w:rPr>
                <w:i/>
                <w:iCs/>
                <w:sz w:val="22"/>
                <w:szCs w:val="22"/>
              </w:rPr>
              <w:t>F</w:t>
            </w:r>
            <w:r w:rsidRPr="004E57A6">
              <w:rPr>
                <w:sz w:val="22"/>
                <w:szCs w:val="22"/>
              </w:rPr>
              <w:t xml:space="preserve">(2,102) = 4.655 </w:t>
            </w:r>
            <w:r w:rsidRPr="004E57A6">
              <w:rPr>
                <w:i/>
                <w:iCs/>
                <w:sz w:val="22"/>
                <w:szCs w:val="22"/>
              </w:rPr>
              <w:t>p</w:t>
            </w:r>
            <w:r w:rsidRPr="004E57A6">
              <w:rPr>
                <w:sz w:val="22"/>
                <w:szCs w:val="22"/>
              </w:rPr>
              <w:t xml:space="preserve"> &lt; 0.05</w:t>
            </w:r>
          </w:p>
        </w:tc>
      </w:tr>
      <w:tr w:rsidR="00F954DD" w:rsidRPr="004E57A6" w14:paraId="3FAAC95F" w14:textId="77777777" w:rsidTr="004E57A6">
        <w:trPr>
          <w:jc w:val="center"/>
        </w:trPr>
        <w:tc>
          <w:tcPr>
            <w:tcW w:w="0" w:type="auto"/>
          </w:tcPr>
          <w:p w14:paraId="5E10C832" w14:textId="77777777" w:rsidR="00D534B8" w:rsidRPr="004E57A6" w:rsidRDefault="00D534B8" w:rsidP="004E57A6">
            <w:pPr>
              <w:adjustRightInd w:val="0"/>
              <w:snapToGrid w:val="0"/>
              <w:spacing w:line="360" w:lineRule="auto"/>
              <w:contextualSpacing/>
              <w:rPr>
                <w:sz w:val="22"/>
                <w:szCs w:val="22"/>
              </w:rPr>
            </w:pPr>
            <w:r w:rsidRPr="004E57A6">
              <w:rPr>
                <w:i/>
                <w:iCs/>
                <w:sz w:val="22"/>
                <w:szCs w:val="22"/>
              </w:rPr>
              <w:t>p</w:t>
            </w:r>
            <w:r w:rsidRPr="004E57A6">
              <w:rPr>
                <w:sz w:val="22"/>
                <w:szCs w:val="22"/>
              </w:rPr>
              <w:t xml:space="preserve"> on Sign</w:t>
            </w:r>
          </w:p>
        </w:tc>
        <w:tc>
          <w:tcPr>
            <w:tcW w:w="0" w:type="auto"/>
          </w:tcPr>
          <w:p w14:paraId="44DD021A" w14:textId="77777777" w:rsidR="00D534B8" w:rsidRPr="004E57A6" w:rsidRDefault="00D534B8" w:rsidP="004E57A6">
            <w:pPr>
              <w:adjustRightInd w:val="0"/>
              <w:snapToGrid w:val="0"/>
              <w:spacing w:line="360" w:lineRule="auto"/>
              <w:contextualSpacing/>
              <w:rPr>
                <w:sz w:val="22"/>
                <w:szCs w:val="22"/>
              </w:rPr>
            </w:pPr>
            <w:r w:rsidRPr="004E57A6">
              <w:rPr>
                <w:i/>
                <w:iCs/>
                <w:sz w:val="22"/>
                <w:szCs w:val="22"/>
              </w:rPr>
              <w:t>F</w:t>
            </w:r>
            <w:r w:rsidRPr="004E57A6">
              <w:rPr>
                <w:sz w:val="22"/>
                <w:szCs w:val="22"/>
              </w:rPr>
              <w:t xml:space="preserve">(2,102) = 13.608 </w:t>
            </w:r>
            <w:r w:rsidRPr="004E57A6">
              <w:rPr>
                <w:i/>
                <w:iCs/>
                <w:sz w:val="22"/>
                <w:szCs w:val="22"/>
              </w:rPr>
              <w:t>p</w:t>
            </w:r>
            <w:r w:rsidRPr="004E57A6">
              <w:rPr>
                <w:sz w:val="22"/>
                <w:szCs w:val="22"/>
              </w:rPr>
              <w:t xml:space="preserve"> &lt; 0.001</w:t>
            </w:r>
          </w:p>
        </w:tc>
        <w:tc>
          <w:tcPr>
            <w:tcW w:w="0" w:type="auto"/>
          </w:tcPr>
          <w:p w14:paraId="6DA67469" w14:textId="77777777" w:rsidR="00D534B8" w:rsidRPr="004E57A6" w:rsidRDefault="00D534B8" w:rsidP="004E57A6">
            <w:pPr>
              <w:adjustRightInd w:val="0"/>
              <w:snapToGrid w:val="0"/>
              <w:spacing w:line="360" w:lineRule="auto"/>
              <w:contextualSpacing/>
              <w:rPr>
                <w:sz w:val="22"/>
                <w:szCs w:val="22"/>
              </w:rPr>
            </w:pPr>
          </w:p>
        </w:tc>
        <w:tc>
          <w:tcPr>
            <w:tcW w:w="0" w:type="auto"/>
          </w:tcPr>
          <w:p w14:paraId="25CCDF99" w14:textId="77777777" w:rsidR="00D534B8" w:rsidRPr="004E57A6" w:rsidRDefault="00D534B8" w:rsidP="004E57A6">
            <w:pPr>
              <w:adjustRightInd w:val="0"/>
              <w:snapToGrid w:val="0"/>
              <w:spacing w:line="360" w:lineRule="auto"/>
              <w:ind w:right="-257"/>
              <w:contextualSpacing/>
              <w:rPr>
                <w:sz w:val="22"/>
                <w:szCs w:val="22"/>
                <w:highlight w:val="yellow"/>
              </w:rPr>
            </w:pPr>
            <w:r w:rsidRPr="004E57A6">
              <w:rPr>
                <w:i/>
                <w:iCs/>
                <w:sz w:val="22"/>
                <w:szCs w:val="22"/>
              </w:rPr>
              <w:t>F</w:t>
            </w:r>
            <w:r w:rsidRPr="004E57A6">
              <w:rPr>
                <w:sz w:val="22"/>
                <w:szCs w:val="22"/>
              </w:rPr>
              <w:t xml:space="preserve">(2,102) = 3.019 </w:t>
            </w:r>
            <w:r w:rsidRPr="004E57A6">
              <w:rPr>
                <w:i/>
                <w:iCs/>
                <w:sz w:val="22"/>
                <w:szCs w:val="22"/>
              </w:rPr>
              <w:t>p</w:t>
            </w:r>
            <w:r w:rsidRPr="004E57A6">
              <w:rPr>
                <w:sz w:val="22"/>
                <w:szCs w:val="22"/>
              </w:rPr>
              <w:t xml:space="preserve"> = 0.053</w:t>
            </w:r>
          </w:p>
        </w:tc>
      </w:tr>
      <w:tr w:rsidR="00F954DD" w:rsidRPr="004E57A6" w14:paraId="46F1024C" w14:textId="77777777" w:rsidTr="004E57A6">
        <w:trPr>
          <w:jc w:val="center"/>
        </w:trPr>
        <w:tc>
          <w:tcPr>
            <w:tcW w:w="0" w:type="auto"/>
          </w:tcPr>
          <w:p w14:paraId="15FC24B8" w14:textId="77777777" w:rsidR="00D534B8" w:rsidRPr="004E57A6" w:rsidRDefault="00D534B8" w:rsidP="004E57A6">
            <w:pPr>
              <w:adjustRightInd w:val="0"/>
              <w:snapToGrid w:val="0"/>
              <w:spacing w:line="360" w:lineRule="auto"/>
              <w:contextualSpacing/>
              <w:rPr>
                <w:sz w:val="22"/>
                <w:szCs w:val="22"/>
              </w:rPr>
            </w:pPr>
            <w:r w:rsidRPr="004E57A6">
              <w:rPr>
                <w:sz w:val="22"/>
                <w:szCs w:val="22"/>
              </w:rPr>
              <w:t>time on Goal</w:t>
            </w:r>
          </w:p>
        </w:tc>
        <w:tc>
          <w:tcPr>
            <w:tcW w:w="0" w:type="auto"/>
          </w:tcPr>
          <w:p w14:paraId="05196D35" w14:textId="77777777" w:rsidR="00D534B8" w:rsidRPr="004E57A6" w:rsidRDefault="00D534B8" w:rsidP="004E57A6">
            <w:pPr>
              <w:adjustRightInd w:val="0"/>
              <w:snapToGrid w:val="0"/>
              <w:spacing w:line="360" w:lineRule="auto"/>
              <w:contextualSpacing/>
              <w:rPr>
                <w:sz w:val="22"/>
                <w:szCs w:val="22"/>
              </w:rPr>
            </w:pPr>
            <w:r w:rsidRPr="004E57A6">
              <w:rPr>
                <w:i/>
                <w:iCs/>
                <w:sz w:val="22"/>
                <w:szCs w:val="22"/>
              </w:rPr>
              <w:t>F</w:t>
            </w:r>
            <w:r w:rsidRPr="004E57A6">
              <w:rPr>
                <w:sz w:val="22"/>
                <w:szCs w:val="22"/>
              </w:rPr>
              <w:t xml:space="preserve">(2,102) = 62.078 </w:t>
            </w:r>
            <w:r w:rsidRPr="004E57A6">
              <w:rPr>
                <w:i/>
                <w:iCs/>
                <w:sz w:val="22"/>
                <w:szCs w:val="22"/>
              </w:rPr>
              <w:t>p</w:t>
            </w:r>
            <w:r w:rsidRPr="004E57A6">
              <w:rPr>
                <w:sz w:val="22"/>
                <w:szCs w:val="22"/>
              </w:rPr>
              <w:t xml:space="preserve"> &lt; 0.001</w:t>
            </w:r>
          </w:p>
        </w:tc>
        <w:tc>
          <w:tcPr>
            <w:tcW w:w="0" w:type="auto"/>
          </w:tcPr>
          <w:p w14:paraId="3B7F2CDF" w14:textId="77777777" w:rsidR="00D534B8" w:rsidRPr="004E57A6" w:rsidRDefault="00D534B8" w:rsidP="004E57A6">
            <w:pPr>
              <w:adjustRightInd w:val="0"/>
              <w:snapToGrid w:val="0"/>
              <w:spacing w:line="360" w:lineRule="auto"/>
              <w:contextualSpacing/>
              <w:rPr>
                <w:sz w:val="22"/>
                <w:szCs w:val="22"/>
              </w:rPr>
            </w:pPr>
          </w:p>
        </w:tc>
        <w:tc>
          <w:tcPr>
            <w:tcW w:w="0" w:type="auto"/>
          </w:tcPr>
          <w:p w14:paraId="18E93DB5" w14:textId="77777777" w:rsidR="00D534B8" w:rsidRPr="004E57A6" w:rsidRDefault="00D534B8" w:rsidP="004E57A6">
            <w:pPr>
              <w:adjustRightInd w:val="0"/>
              <w:snapToGrid w:val="0"/>
              <w:spacing w:line="360" w:lineRule="auto"/>
              <w:ind w:right="-257"/>
              <w:contextualSpacing/>
              <w:rPr>
                <w:sz w:val="22"/>
                <w:szCs w:val="22"/>
              </w:rPr>
            </w:pPr>
            <w:r w:rsidRPr="004E57A6">
              <w:rPr>
                <w:i/>
                <w:iCs/>
                <w:sz w:val="22"/>
                <w:szCs w:val="22"/>
              </w:rPr>
              <w:t>F</w:t>
            </w:r>
            <w:r w:rsidRPr="004E57A6">
              <w:rPr>
                <w:sz w:val="22"/>
                <w:szCs w:val="22"/>
              </w:rPr>
              <w:t xml:space="preserve">(2,102) = 9.296 </w:t>
            </w:r>
            <w:r w:rsidRPr="004E57A6">
              <w:rPr>
                <w:i/>
                <w:iCs/>
                <w:sz w:val="22"/>
                <w:szCs w:val="22"/>
              </w:rPr>
              <w:t>p</w:t>
            </w:r>
            <w:r w:rsidRPr="004E57A6">
              <w:rPr>
                <w:sz w:val="22"/>
                <w:szCs w:val="22"/>
              </w:rPr>
              <w:t xml:space="preserve"> &lt; 0.001</w:t>
            </w:r>
          </w:p>
        </w:tc>
      </w:tr>
      <w:tr w:rsidR="00F954DD" w:rsidRPr="004E57A6" w14:paraId="5725F70C" w14:textId="77777777" w:rsidTr="004E57A6">
        <w:trPr>
          <w:jc w:val="center"/>
        </w:trPr>
        <w:tc>
          <w:tcPr>
            <w:tcW w:w="0" w:type="auto"/>
          </w:tcPr>
          <w:p w14:paraId="26F20AA2" w14:textId="77777777" w:rsidR="00D534B8" w:rsidRPr="004E57A6" w:rsidRDefault="00D534B8" w:rsidP="004E57A6">
            <w:pPr>
              <w:adjustRightInd w:val="0"/>
              <w:snapToGrid w:val="0"/>
              <w:spacing w:line="360" w:lineRule="auto"/>
              <w:contextualSpacing/>
              <w:rPr>
                <w:sz w:val="22"/>
                <w:szCs w:val="22"/>
              </w:rPr>
            </w:pPr>
            <w:r w:rsidRPr="004E57A6">
              <w:rPr>
                <w:i/>
                <w:iCs/>
                <w:sz w:val="22"/>
                <w:szCs w:val="22"/>
              </w:rPr>
              <w:t>f</w:t>
            </w:r>
            <w:r w:rsidRPr="004E57A6">
              <w:rPr>
                <w:sz w:val="22"/>
                <w:szCs w:val="22"/>
              </w:rPr>
              <w:t xml:space="preserve"> on Goal</w:t>
            </w:r>
          </w:p>
        </w:tc>
        <w:tc>
          <w:tcPr>
            <w:tcW w:w="0" w:type="auto"/>
          </w:tcPr>
          <w:p w14:paraId="2E8EA758" w14:textId="77777777" w:rsidR="00D534B8" w:rsidRPr="004E57A6" w:rsidRDefault="00D534B8" w:rsidP="004E57A6">
            <w:pPr>
              <w:adjustRightInd w:val="0"/>
              <w:snapToGrid w:val="0"/>
              <w:spacing w:line="360" w:lineRule="auto"/>
              <w:contextualSpacing/>
              <w:rPr>
                <w:sz w:val="22"/>
                <w:szCs w:val="22"/>
              </w:rPr>
            </w:pPr>
            <w:r w:rsidRPr="004E57A6">
              <w:rPr>
                <w:i/>
                <w:iCs/>
                <w:sz w:val="22"/>
                <w:szCs w:val="22"/>
              </w:rPr>
              <w:t>F</w:t>
            </w:r>
            <w:r w:rsidRPr="004E57A6">
              <w:rPr>
                <w:sz w:val="22"/>
                <w:szCs w:val="22"/>
              </w:rPr>
              <w:t xml:space="preserve">(2,102) = 51.278 </w:t>
            </w:r>
            <w:r w:rsidRPr="004E57A6">
              <w:rPr>
                <w:i/>
                <w:iCs/>
                <w:sz w:val="22"/>
                <w:szCs w:val="22"/>
              </w:rPr>
              <w:t>p</w:t>
            </w:r>
            <w:r w:rsidRPr="004E57A6">
              <w:rPr>
                <w:sz w:val="22"/>
                <w:szCs w:val="22"/>
              </w:rPr>
              <w:t xml:space="preserve"> &lt; 0.001</w:t>
            </w:r>
          </w:p>
        </w:tc>
        <w:tc>
          <w:tcPr>
            <w:tcW w:w="0" w:type="auto"/>
          </w:tcPr>
          <w:p w14:paraId="31B6A12E" w14:textId="77777777" w:rsidR="00D534B8" w:rsidRPr="004E57A6" w:rsidRDefault="00D534B8" w:rsidP="004E57A6">
            <w:pPr>
              <w:adjustRightInd w:val="0"/>
              <w:snapToGrid w:val="0"/>
              <w:spacing w:line="360" w:lineRule="auto"/>
              <w:contextualSpacing/>
              <w:rPr>
                <w:sz w:val="22"/>
                <w:szCs w:val="22"/>
              </w:rPr>
            </w:pPr>
          </w:p>
        </w:tc>
        <w:tc>
          <w:tcPr>
            <w:tcW w:w="0" w:type="auto"/>
          </w:tcPr>
          <w:p w14:paraId="46521CC1" w14:textId="77777777" w:rsidR="00D534B8" w:rsidRPr="004E57A6" w:rsidRDefault="00D534B8" w:rsidP="004E57A6">
            <w:pPr>
              <w:adjustRightInd w:val="0"/>
              <w:snapToGrid w:val="0"/>
              <w:spacing w:line="360" w:lineRule="auto"/>
              <w:ind w:right="-257"/>
              <w:contextualSpacing/>
              <w:rPr>
                <w:sz w:val="22"/>
                <w:szCs w:val="22"/>
              </w:rPr>
            </w:pPr>
            <w:r w:rsidRPr="004E57A6">
              <w:rPr>
                <w:i/>
                <w:iCs/>
                <w:sz w:val="22"/>
                <w:szCs w:val="22"/>
              </w:rPr>
              <w:t>F</w:t>
            </w:r>
            <w:r w:rsidRPr="004E57A6">
              <w:rPr>
                <w:sz w:val="22"/>
                <w:szCs w:val="22"/>
              </w:rPr>
              <w:t xml:space="preserve">(2,102) = 8.432 </w:t>
            </w:r>
            <w:r w:rsidRPr="004E57A6">
              <w:rPr>
                <w:i/>
                <w:iCs/>
                <w:sz w:val="22"/>
                <w:szCs w:val="22"/>
              </w:rPr>
              <w:t>p</w:t>
            </w:r>
            <w:r w:rsidRPr="004E57A6">
              <w:rPr>
                <w:sz w:val="22"/>
                <w:szCs w:val="22"/>
              </w:rPr>
              <w:t xml:space="preserve"> &lt; 0.001</w:t>
            </w:r>
          </w:p>
        </w:tc>
      </w:tr>
      <w:tr w:rsidR="00F954DD" w:rsidRPr="004E57A6" w14:paraId="0C2DE99D" w14:textId="77777777" w:rsidTr="004E57A6">
        <w:trPr>
          <w:jc w:val="center"/>
        </w:trPr>
        <w:tc>
          <w:tcPr>
            <w:tcW w:w="0" w:type="auto"/>
          </w:tcPr>
          <w:p w14:paraId="66836684" w14:textId="77777777" w:rsidR="00D534B8" w:rsidRPr="004E57A6" w:rsidRDefault="00D534B8" w:rsidP="004E57A6">
            <w:pPr>
              <w:adjustRightInd w:val="0"/>
              <w:snapToGrid w:val="0"/>
              <w:spacing w:line="360" w:lineRule="auto"/>
              <w:contextualSpacing/>
              <w:rPr>
                <w:sz w:val="22"/>
                <w:szCs w:val="22"/>
              </w:rPr>
            </w:pPr>
            <w:r w:rsidRPr="004E57A6">
              <w:rPr>
                <w:i/>
                <w:iCs/>
                <w:sz w:val="22"/>
                <w:szCs w:val="22"/>
              </w:rPr>
              <w:t>p</w:t>
            </w:r>
            <w:r w:rsidRPr="004E57A6">
              <w:rPr>
                <w:sz w:val="22"/>
                <w:szCs w:val="22"/>
              </w:rPr>
              <w:t xml:space="preserve"> on Goal</w:t>
            </w:r>
          </w:p>
        </w:tc>
        <w:tc>
          <w:tcPr>
            <w:tcW w:w="0" w:type="auto"/>
          </w:tcPr>
          <w:p w14:paraId="5A00CA04" w14:textId="77777777" w:rsidR="00D534B8" w:rsidRPr="004E57A6" w:rsidRDefault="00D534B8" w:rsidP="004E57A6">
            <w:pPr>
              <w:adjustRightInd w:val="0"/>
              <w:snapToGrid w:val="0"/>
              <w:spacing w:line="360" w:lineRule="auto"/>
              <w:contextualSpacing/>
              <w:rPr>
                <w:sz w:val="22"/>
                <w:szCs w:val="22"/>
              </w:rPr>
            </w:pPr>
            <w:r w:rsidRPr="004E57A6">
              <w:rPr>
                <w:i/>
                <w:iCs/>
                <w:sz w:val="22"/>
                <w:szCs w:val="22"/>
              </w:rPr>
              <w:t>F</w:t>
            </w:r>
            <w:r w:rsidRPr="004E57A6">
              <w:rPr>
                <w:sz w:val="22"/>
                <w:szCs w:val="22"/>
              </w:rPr>
              <w:t xml:space="preserve">(2,102) = 88.017 </w:t>
            </w:r>
            <w:r w:rsidRPr="004E57A6">
              <w:rPr>
                <w:i/>
                <w:iCs/>
                <w:sz w:val="22"/>
                <w:szCs w:val="22"/>
              </w:rPr>
              <w:t>p</w:t>
            </w:r>
            <w:r w:rsidRPr="004E57A6">
              <w:rPr>
                <w:sz w:val="22"/>
                <w:szCs w:val="22"/>
              </w:rPr>
              <w:t xml:space="preserve"> &lt; 0.001</w:t>
            </w:r>
          </w:p>
        </w:tc>
        <w:tc>
          <w:tcPr>
            <w:tcW w:w="0" w:type="auto"/>
          </w:tcPr>
          <w:p w14:paraId="6B52E327" w14:textId="77777777" w:rsidR="00D534B8" w:rsidRPr="004E57A6" w:rsidRDefault="00D534B8" w:rsidP="004E57A6">
            <w:pPr>
              <w:adjustRightInd w:val="0"/>
              <w:snapToGrid w:val="0"/>
              <w:spacing w:line="360" w:lineRule="auto"/>
              <w:contextualSpacing/>
              <w:rPr>
                <w:sz w:val="22"/>
                <w:szCs w:val="22"/>
              </w:rPr>
            </w:pPr>
            <w:r w:rsidRPr="004E57A6">
              <w:rPr>
                <w:i/>
                <w:iCs/>
                <w:sz w:val="22"/>
                <w:szCs w:val="22"/>
              </w:rPr>
              <w:t>F</w:t>
            </w:r>
            <w:r w:rsidRPr="004E57A6">
              <w:rPr>
                <w:sz w:val="22"/>
                <w:szCs w:val="22"/>
              </w:rPr>
              <w:t xml:space="preserve">(1,102) = 8.728 </w:t>
            </w:r>
            <w:r w:rsidRPr="004E57A6">
              <w:rPr>
                <w:i/>
                <w:iCs/>
                <w:sz w:val="22"/>
                <w:szCs w:val="22"/>
              </w:rPr>
              <w:t>p</w:t>
            </w:r>
            <w:r w:rsidRPr="004E57A6">
              <w:rPr>
                <w:sz w:val="22"/>
                <w:szCs w:val="22"/>
              </w:rPr>
              <w:t xml:space="preserve"> &lt; 0.01</w:t>
            </w:r>
          </w:p>
        </w:tc>
        <w:tc>
          <w:tcPr>
            <w:tcW w:w="0" w:type="auto"/>
          </w:tcPr>
          <w:p w14:paraId="65E137FE" w14:textId="77777777" w:rsidR="00D534B8" w:rsidRPr="004E57A6" w:rsidRDefault="00D534B8" w:rsidP="004E57A6">
            <w:pPr>
              <w:adjustRightInd w:val="0"/>
              <w:snapToGrid w:val="0"/>
              <w:spacing w:line="360" w:lineRule="auto"/>
              <w:ind w:right="-257"/>
              <w:contextualSpacing/>
              <w:rPr>
                <w:sz w:val="22"/>
                <w:szCs w:val="22"/>
              </w:rPr>
            </w:pPr>
            <w:r w:rsidRPr="004E57A6">
              <w:rPr>
                <w:i/>
                <w:iCs/>
                <w:sz w:val="22"/>
                <w:szCs w:val="22"/>
              </w:rPr>
              <w:t>F</w:t>
            </w:r>
            <w:r w:rsidRPr="004E57A6">
              <w:rPr>
                <w:sz w:val="22"/>
                <w:szCs w:val="22"/>
              </w:rPr>
              <w:t xml:space="preserve">(2,102) = 6.594 </w:t>
            </w:r>
            <w:r w:rsidRPr="004E57A6">
              <w:rPr>
                <w:i/>
                <w:iCs/>
                <w:sz w:val="22"/>
                <w:szCs w:val="22"/>
              </w:rPr>
              <w:t>p</w:t>
            </w:r>
            <w:r w:rsidRPr="004E57A6">
              <w:rPr>
                <w:sz w:val="22"/>
                <w:szCs w:val="22"/>
              </w:rPr>
              <w:t xml:space="preserve"> &lt; 0.01</w:t>
            </w:r>
          </w:p>
        </w:tc>
      </w:tr>
    </w:tbl>
    <w:p w14:paraId="5867D372" w14:textId="77777777" w:rsidR="00D534B8" w:rsidRPr="004E57A6" w:rsidRDefault="00D534B8" w:rsidP="004E57A6">
      <w:pPr>
        <w:adjustRightInd w:val="0"/>
        <w:snapToGrid w:val="0"/>
        <w:spacing w:line="360" w:lineRule="auto"/>
        <w:contextualSpacing/>
      </w:pPr>
    </w:p>
    <w:p w14:paraId="4C794FA6" w14:textId="0018833C" w:rsidR="001D5DEA" w:rsidRPr="004E57A6" w:rsidRDefault="001D5DEA" w:rsidP="004E57A6">
      <w:pPr>
        <w:spacing w:line="360" w:lineRule="auto"/>
        <w:ind w:left="360"/>
        <w:rPr>
          <w:b/>
          <w:bCs/>
          <w:color w:val="FF0000"/>
        </w:rPr>
      </w:pPr>
      <w:r w:rsidRPr="004E57A6">
        <w:rPr>
          <w:b/>
          <w:bCs/>
          <w:color w:val="FF0000"/>
        </w:rPr>
        <w:br w:type="page"/>
      </w:r>
    </w:p>
    <w:p w14:paraId="500DAE38" w14:textId="30C5FFE2" w:rsidR="00D534B8" w:rsidRDefault="00D534B8" w:rsidP="004E57A6">
      <w:pPr>
        <w:adjustRightInd w:val="0"/>
        <w:snapToGrid w:val="0"/>
        <w:spacing w:line="360" w:lineRule="auto"/>
        <w:contextualSpacing/>
        <w:rPr>
          <w:b/>
          <w:noProof/>
        </w:rPr>
      </w:pPr>
      <w:r w:rsidRPr="004E57A6">
        <w:rPr>
          <w:b/>
          <w:bCs/>
        </w:rPr>
        <w:lastRenderedPageBreak/>
        <w:t>Figure S1.</w:t>
      </w:r>
      <w:r w:rsidR="00F954DD" w:rsidRPr="004E57A6">
        <w:rPr>
          <w:b/>
          <w:bCs/>
        </w:rPr>
        <w:t xml:space="preserve"> </w:t>
      </w:r>
      <w:r w:rsidR="00171EB8" w:rsidRPr="00171EB8">
        <w:t>Individual aspects of eye gaze (time duration, number</w:t>
      </w:r>
      <w:r w:rsidR="00171EB8">
        <w:t>,</w:t>
      </w:r>
      <w:r w:rsidR="00171EB8" w:rsidRPr="00171EB8">
        <w:t xml:space="preserve"> and probability) directed towards the CS+ and the CS- stimuli across the two blocks between the phenotypes. Bars represent standard error of the mean.</w:t>
      </w:r>
      <w:r w:rsidR="00E61CA8" w:rsidRPr="00E61CA8">
        <w:rPr>
          <w:b/>
          <w:noProof/>
        </w:rPr>
        <w:t xml:space="preserve"> </w:t>
      </w:r>
    </w:p>
    <w:p w14:paraId="707ECCAB" w14:textId="66979C89" w:rsidR="00E61CA8" w:rsidRDefault="00E61CA8" w:rsidP="004E57A6">
      <w:pPr>
        <w:adjustRightInd w:val="0"/>
        <w:snapToGrid w:val="0"/>
        <w:spacing w:line="360" w:lineRule="auto"/>
        <w:contextualSpacing/>
        <w:rPr>
          <w:b/>
          <w:bCs/>
        </w:rPr>
      </w:pPr>
      <w:r>
        <w:rPr>
          <w:b/>
          <w:bCs/>
        </w:rPr>
        <w:t xml:space="preserve">Note. </w:t>
      </w:r>
      <w:r>
        <w:rPr>
          <w:bCs/>
        </w:rPr>
        <w:t xml:space="preserve">STs, Sign Trackers; </w:t>
      </w:r>
      <w:r w:rsidRPr="006B7783">
        <w:t>STs</w:t>
      </w:r>
      <w:r>
        <w:t xml:space="preserve">, </w:t>
      </w:r>
      <w:r w:rsidRPr="006B7783">
        <w:t>Sign Trackers; Ints</w:t>
      </w:r>
      <w:r>
        <w:t xml:space="preserve">, </w:t>
      </w:r>
      <w:r w:rsidRPr="006B7783">
        <w:t>Intermediates;</w:t>
      </w:r>
      <w:r>
        <w:rPr>
          <w:bCs/>
        </w:rPr>
        <w:t xml:space="preserve"> GTs, Goal Trackers; </w:t>
      </w:r>
      <w:r w:rsidRPr="00D47CBD">
        <w:rPr>
          <w:color w:val="000000" w:themeColor="text1"/>
        </w:rPr>
        <w:t>* b2 vs b1</w:t>
      </w:r>
    </w:p>
    <w:p w14:paraId="0EF02582" w14:textId="3A7CDFCC" w:rsidR="00171EB8" w:rsidRPr="004E57A6" w:rsidRDefault="00171EB8" w:rsidP="004E57A6">
      <w:pPr>
        <w:adjustRightInd w:val="0"/>
        <w:snapToGrid w:val="0"/>
        <w:spacing w:line="360" w:lineRule="auto"/>
        <w:contextualSpacing/>
        <w:rPr>
          <w:b/>
          <w:bCs/>
        </w:rPr>
      </w:pPr>
    </w:p>
    <w:p w14:paraId="5BA4D7CE" w14:textId="4B47E20E" w:rsidR="00414131" w:rsidRPr="004E57A6" w:rsidRDefault="00E61CA8" w:rsidP="004E57A6">
      <w:pPr>
        <w:adjustRightInd w:val="0"/>
        <w:snapToGrid w:val="0"/>
        <w:spacing w:line="360" w:lineRule="auto"/>
        <w:contextualSpacing/>
        <w:jc w:val="center"/>
        <w:rPr>
          <w:b/>
          <w:bCs/>
        </w:rPr>
      </w:pPr>
      <w:r>
        <w:rPr>
          <w:b/>
          <w:noProof/>
        </w:rPr>
        <w:drawing>
          <wp:inline distT="0" distB="0" distL="0" distR="0" wp14:anchorId="768BE2DD" wp14:editId="6F8B3A48">
            <wp:extent cx="4763711" cy="76809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1_suppl.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74072" cy="7697666"/>
                    </a:xfrm>
                    <a:prstGeom prst="rect">
                      <a:avLst/>
                    </a:prstGeom>
                  </pic:spPr>
                </pic:pic>
              </a:graphicData>
            </a:graphic>
          </wp:inline>
        </w:drawing>
      </w:r>
    </w:p>
    <w:p w14:paraId="46B34B99" w14:textId="77777777" w:rsidR="00AD1E9C" w:rsidRDefault="00AD1E9C">
      <w:pPr>
        <w:rPr>
          <w:b/>
          <w:bCs/>
        </w:rPr>
      </w:pPr>
      <w:r>
        <w:rPr>
          <w:b/>
          <w:bCs/>
        </w:rPr>
        <w:lastRenderedPageBreak/>
        <w:br w:type="page"/>
      </w:r>
    </w:p>
    <w:p w14:paraId="06A078E8" w14:textId="76A58384" w:rsidR="002F1880" w:rsidRPr="00091BE4" w:rsidRDefault="00414131" w:rsidP="004E57A6">
      <w:pPr>
        <w:adjustRightInd w:val="0"/>
        <w:snapToGrid w:val="0"/>
        <w:spacing w:line="360" w:lineRule="auto"/>
        <w:contextualSpacing/>
        <w:rPr>
          <w:b/>
          <w:bCs/>
        </w:rPr>
      </w:pPr>
      <w:r w:rsidRPr="00091BE4">
        <w:rPr>
          <w:b/>
          <w:bCs/>
        </w:rPr>
        <w:lastRenderedPageBreak/>
        <w:t>References</w:t>
      </w:r>
    </w:p>
    <w:p w14:paraId="73BD2C20" w14:textId="77777777" w:rsidR="00635823" w:rsidRDefault="00635823" w:rsidP="004E57A6">
      <w:pPr>
        <w:spacing w:after="160" w:line="360" w:lineRule="auto"/>
        <w:ind w:right="566"/>
        <w:rPr>
          <w:color w:val="FF0000"/>
          <w:lang w:eastAsia="it-IT"/>
        </w:rPr>
      </w:pPr>
    </w:p>
    <w:p w14:paraId="16D0A447" w14:textId="03C2FAD0" w:rsidR="00635823" w:rsidRPr="000733F9" w:rsidRDefault="00635823" w:rsidP="009834B3">
      <w:pPr>
        <w:spacing w:after="160" w:line="360" w:lineRule="auto"/>
        <w:ind w:right="566"/>
        <w:rPr>
          <w:color w:val="000000" w:themeColor="text1"/>
          <w:lang w:val="nl-NL"/>
        </w:rPr>
      </w:pPr>
      <w:r w:rsidRPr="000733F9">
        <w:rPr>
          <w:color w:val="000000" w:themeColor="text1"/>
        </w:rPr>
        <w:t>[1] Patton JH, Stanford MS, Barratt ES. Factor structure of the barratt impulsiveness scale. J Clin Psychol 1995; 51: 768–774.</w:t>
      </w:r>
    </w:p>
    <w:p w14:paraId="36566E29" w14:textId="6A1CA1C0" w:rsidR="009834B3" w:rsidRPr="000733F9" w:rsidRDefault="00635823" w:rsidP="004E57A6">
      <w:pPr>
        <w:adjustRightInd w:val="0"/>
        <w:snapToGrid w:val="0"/>
        <w:spacing w:line="360" w:lineRule="auto"/>
        <w:contextualSpacing/>
        <w:rPr>
          <w:b/>
          <w:bCs/>
          <w:color w:val="000000" w:themeColor="text1"/>
          <w:lang w:val="nl-NL"/>
        </w:rPr>
      </w:pPr>
      <w:r w:rsidRPr="000733F9">
        <w:rPr>
          <w:bCs/>
          <w:color w:val="000000" w:themeColor="text1"/>
          <w:lang w:val="nl-NL"/>
        </w:rPr>
        <w:t>[3] Spi2lberger, CD, Gorsuch RL, Lushene RE. Manual for the State-Trait Anxiety Inventory. Consulting Psychologists Press.: PAlo Alto, CA, 1970.</w:t>
      </w:r>
    </w:p>
    <w:p w14:paraId="061013B6" w14:textId="77777777" w:rsidR="00635823" w:rsidRPr="000733F9" w:rsidRDefault="00635823" w:rsidP="004E57A6">
      <w:pPr>
        <w:adjustRightInd w:val="0"/>
        <w:snapToGrid w:val="0"/>
        <w:spacing w:line="360" w:lineRule="auto"/>
        <w:contextualSpacing/>
        <w:rPr>
          <w:b/>
          <w:bCs/>
          <w:color w:val="000000" w:themeColor="text1"/>
          <w:lang w:val="nl-NL"/>
        </w:rPr>
      </w:pPr>
    </w:p>
    <w:p w14:paraId="4042D820" w14:textId="04908946" w:rsidR="00635823" w:rsidRPr="000733F9" w:rsidRDefault="00635823" w:rsidP="00635823">
      <w:pPr>
        <w:spacing w:after="160" w:line="360" w:lineRule="auto"/>
        <w:ind w:right="566"/>
        <w:rPr>
          <w:rFonts w:eastAsia="Calibri"/>
          <w:color w:val="000000" w:themeColor="text1"/>
        </w:rPr>
      </w:pPr>
      <w:r w:rsidRPr="000733F9">
        <w:rPr>
          <w:rFonts w:eastAsia="Calibri"/>
          <w:color w:val="000000" w:themeColor="text1"/>
          <w:lang w:val="nl-NL"/>
        </w:rPr>
        <w:t>[4] Gard DE, Gard MG, Kring AM, John OP. Anticipatory and consummatory components of the experience of pleasure: A scale development study. Journal of Research in Personality 2006; 40: 1086–1102.</w:t>
      </w:r>
    </w:p>
    <w:p w14:paraId="58010833" w14:textId="514C24FF" w:rsidR="00414131" w:rsidRPr="000733F9" w:rsidRDefault="00635823" w:rsidP="00635823">
      <w:pPr>
        <w:spacing w:after="160" w:line="360" w:lineRule="auto"/>
        <w:ind w:right="566"/>
        <w:rPr>
          <w:rFonts w:eastAsia="Calibri"/>
          <w:color w:val="000000" w:themeColor="text1"/>
          <w:lang w:val="en-GB"/>
        </w:rPr>
      </w:pPr>
      <w:r w:rsidRPr="000733F9">
        <w:rPr>
          <w:rFonts w:eastAsia="Calibri"/>
          <w:color w:val="000000" w:themeColor="text1"/>
        </w:rPr>
        <w:t>[5] Foa EB, Huppert JD, Leiberg S, Langner R, Kichic R, Hajcak G et al. The Obsessive-Compulsive Inventory: Development and validation of a short version. Psychological Assessment 2002; 14: 485–496.</w:t>
      </w:r>
    </w:p>
    <w:sectPr w:rsidR="00414131" w:rsidRPr="000733F9" w:rsidSect="00091BE4">
      <w:pgSz w:w="11900" w:h="16840"/>
      <w:pgMar w:top="1417" w:right="1134" w:bottom="1134" w:left="1134"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BA937B3"/>
    <w:multiLevelType w:val="multilevel"/>
    <w:tmpl w:val="173A7BE0"/>
    <w:styleLink w:val="Elencocorrente1"/>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40F2E"/>
    <w:multiLevelType w:val="hybridMultilevel"/>
    <w:tmpl w:val="70CCCA92"/>
    <w:lvl w:ilvl="0" w:tplc="0410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95D57E7"/>
    <w:multiLevelType w:val="hybridMultilevel"/>
    <w:tmpl w:val="5718B34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DFD5A96"/>
    <w:multiLevelType w:val="hybridMultilevel"/>
    <w:tmpl w:val="98D47742"/>
    <w:lvl w:ilvl="0" w:tplc="D88E3736">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D310D9D"/>
    <w:multiLevelType w:val="hybridMultilevel"/>
    <w:tmpl w:val="C3BA28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DB72A02"/>
    <w:multiLevelType w:val="hybridMultilevel"/>
    <w:tmpl w:val="86D87F18"/>
    <w:lvl w:ilvl="0" w:tplc="D88E3736">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3"/>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52"/>
    <w:rsid w:val="0004033D"/>
    <w:rsid w:val="000733F9"/>
    <w:rsid w:val="000741EC"/>
    <w:rsid w:val="00076A3B"/>
    <w:rsid w:val="00081459"/>
    <w:rsid w:val="00091BE4"/>
    <w:rsid w:val="00171EB8"/>
    <w:rsid w:val="001824FC"/>
    <w:rsid w:val="00182A8D"/>
    <w:rsid w:val="001D5DEA"/>
    <w:rsid w:val="00260AD1"/>
    <w:rsid w:val="002A1ADF"/>
    <w:rsid w:val="002A2896"/>
    <w:rsid w:val="002F1880"/>
    <w:rsid w:val="00390DBA"/>
    <w:rsid w:val="003B12BC"/>
    <w:rsid w:val="00414131"/>
    <w:rsid w:val="004256B6"/>
    <w:rsid w:val="00440879"/>
    <w:rsid w:val="004433C6"/>
    <w:rsid w:val="004D2124"/>
    <w:rsid w:val="004D743C"/>
    <w:rsid w:val="004E57A6"/>
    <w:rsid w:val="00505282"/>
    <w:rsid w:val="00526F04"/>
    <w:rsid w:val="00532AFD"/>
    <w:rsid w:val="00586268"/>
    <w:rsid w:val="005C413B"/>
    <w:rsid w:val="005E339A"/>
    <w:rsid w:val="00616C6E"/>
    <w:rsid w:val="00635823"/>
    <w:rsid w:val="00715F70"/>
    <w:rsid w:val="0076238D"/>
    <w:rsid w:val="007A01FE"/>
    <w:rsid w:val="007A3EA1"/>
    <w:rsid w:val="007A7FF7"/>
    <w:rsid w:val="007D1775"/>
    <w:rsid w:val="007F7FB2"/>
    <w:rsid w:val="00803934"/>
    <w:rsid w:val="00861271"/>
    <w:rsid w:val="008863E8"/>
    <w:rsid w:val="00946F84"/>
    <w:rsid w:val="009834B3"/>
    <w:rsid w:val="009949A4"/>
    <w:rsid w:val="009A42C3"/>
    <w:rsid w:val="009E04C2"/>
    <w:rsid w:val="00A3773B"/>
    <w:rsid w:val="00A51A14"/>
    <w:rsid w:val="00A63497"/>
    <w:rsid w:val="00AC68D7"/>
    <w:rsid w:val="00AD1E9C"/>
    <w:rsid w:val="00AD693A"/>
    <w:rsid w:val="00B22AEB"/>
    <w:rsid w:val="00B31278"/>
    <w:rsid w:val="00C0164C"/>
    <w:rsid w:val="00C151B8"/>
    <w:rsid w:val="00C53C5D"/>
    <w:rsid w:val="00C61755"/>
    <w:rsid w:val="00C932B9"/>
    <w:rsid w:val="00D075C9"/>
    <w:rsid w:val="00D35653"/>
    <w:rsid w:val="00D534B8"/>
    <w:rsid w:val="00D53852"/>
    <w:rsid w:val="00D7720E"/>
    <w:rsid w:val="00E6159F"/>
    <w:rsid w:val="00E61CA8"/>
    <w:rsid w:val="00ED1EB6"/>
    <w:rsid w:val="00F954DD"/>
    <w:rsid w:val="00FA385B"/>
    <w:rsid w:val="00FB2790"/>
    <w:rsid w:val="00FD706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67997"/>
  <w15:chartTrackingRefBased/>
  <w15:docId w15:val="{24F418A0-5EC1-EB4D-941E-17E8463D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3852"/>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53852"/>
    <w:rPr>
      <w:sz w:val="16"/>
      <w:szCs w:val="16"/>
    </w:rPr>
  </w:style>
  <w:style w:type="paragraph" w:styleId="CommentText">
    <w:name w:val="annotation text"/>
    <w:basedOn w:val="Normal"/>
    <w:link w:val="CommentTextChar"/>
    <w:uiPriority w:val="99"/>
    <w:unhideWhenUsed/>
    <w:rsid w:val="00D53852"/>
    <w:rPr>
      <w:sz w:val="20"/>
      <w:szCs w:val="20"/>
    </w:rPr>
  </w:style>
  <w:style w:type="character" w:customStyle="1" w:styleId="CommentTextChar">
    <w:name w:val="Comment Text Char"/>
    <w:basedOn w:val="DefaultParagraphFont"/>
    <w:link w:val="CommentText"/>
    <w:uiPriority w:val="99"/>
    <w:rsid w:val="00D53852"/>
    <w:rPr>
      <w:rFonts w:ascii="Times New Roman" w:eastAsia="Times New Roman" w:hAnsi="Times New Roman" w:cs="Times New Roman"/>
      <w:sz w:val="20"/>
      <w:szCs w:val="20"/>
      <w:lang w:val="en-US"/>
    </w:rPr>
  </w:style>
  <w:style w:type="table" w:styleId="TableGrid">
    <w:name w:val="Table Grid"/>
    <w:basedOn w:val="TableNormal"/>
    <w:uiPriority w:val="39"/>
    <w:rsid w:val="00D53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15F70"/>
  </w:style>
  <w:style w:type="paragraph" w:styleId="NormalWeb">
    <w:name w:val="Normal (Web)"/>
    <w:basedOn w:val="Normal"/>
    <w:uiPriority w:val="99"/>
    <w:semiHidden/>
    <w:unhideWhenUsed/>
    <w:rsid w:val="002F1880"/>
    <w:pPr>
      <w:spacing w:before="100" w:beforeAutospacing="1" w:after="100" w:afterAutospacing="1"/>
    </w:pPr>
    <w:rPr>
      <w:lang w:val="it-IT" w:eastAsia="it-IT"/>
    </w:rPr>
  </w:style>
  <w:style w:type="paragraph" w:styleId="ListParagraph">
    <w:name w:val="List Paragraph"/>
    <w:basedOn w:val="Normal"/>
    <w:uiPriority w:val="34"/>
    <w:qFormat/>
    <w:rsid w:val="00FB2790"/>
    <w:pPr>
      <w:ind w:left="720"/>
      <w:contextualSpacing/>
    </w:pPr>
  </w:style>
  <w:style w:type="numbering" w:customStyle="1" w:styleId="Elencocorrente1">
    <w:name w:val="Elenco corrente1"/>
    <w:uiPriority w:val="99"/>
    <w:rsid w:val="00FB2790"/>
    <w:pPr>
      <w:numPr>
        <w:numId w:val="5"/>
      </w:numPr>
    </w:pPr>
  </w:style>
  <w:style w:type="paragraph" w:styleId="CommentSubject">
    <w:name w:val="annotation subject"/>
    <w:basedOn w:val="CommentText"/>
    <w:next w:val="CommentText"/>
    <w:link w:val="CommentSubjectChar"/>
    <w:uiPriority w:val="99"/>
    <w:semiHidden/>
    <w:unhideWhenUsed/>
    <w:rsid w:val="00C61755"/>
    <w:rPr>
      <w:b/>
      <w:bCs/>
    </w:rPr>
  </w:style>
  <w:style w:type="character" w:customStyle="1" w:styleId="CommentSubjectChar">
    <w:name w:val="Comment Subject Char"/>
    <w:basedOn w:val="CommentTextChar"/>
    <w:link w:val="CommentSubject"/>
    <w:uiPriority w:val="99"/>
    <w:semiHidden/>
    <w:rsid w:val="00C61755"/>
    <w:rPr>
      <w:rFonts w:ascii="Times New Roman" w:eastAsia="Times New Roman" w:hAnsi="Times New Roman" w:cs="Times New Roman"/>
      <w:b/>
      <w:bCs/>
      <w:sz w:val="20"/>
      <w:szCs w:val="20"/>
      <w:lang w:val="en-US"/>
    </w:rPr>
  </w:style>
  <w:style w:type="paragraph" w:styleId="Revision">
    <w:name w:val="Revision"/>
    <w:hidden/>
    <w:uiPriority w:val="99"/>
    <w:semiHidden/>
    <w:rsid w:val="000741EC"/>
    <w:rPr>
      <w:rFonts w:ascii="Times New Roman" w:eastAsia="Times New Roman" w:hAnsi="Times New Roman" w:cs="Times New Roman"/>
      <w:lang w:val="en-US"/>
    </w:rPr>
  </w:style>
  <w:style w:type="character" w:styleId="Hyperlink">
    <w:name w:val="Hyperlink"/>
    <w:basedOn w:val="DefaultParagraphFont"/>
    <w:uiPriority w:val="99"/>
    <w:semiHidden/>
    <w:unhideWhenUsed/>
    <w:rsid w:val="000741EC"/>
    <w:rPr>
      <w:color w:val="0000FF"/>
      <w:u w:val="single"/>
    </w:rPr>
  </w:style>
  <w:style w:type="paragraph" w:styleId="BalloonText">
    <w:name w:val="Balloon Text"/>
    <w:basedOn w:val="Normal"/>
    <w:link w:val="BalloonTextChar"/>
    <w:uiPriority w:val="99"/>
    <w:semiHidden/>
    <w:unhideWhenUsed/>
    <w:rsid w:val="008863E8"/>
    <w:rPr>
      <w:sz w:val="18"/>
      <w:szCs w:val="18"/>
    </w:rPr>
  </w:style>
  <w:style w:type="character" w:customStyle="1" w:styleId="BalloonTextChar">
    <w:name w:val="Balloon Text Char"/>
    <w:basedOn w:val="DefaultParagraphFont"/>
    <w:link w:val="BalloonText"/>
    <w:uiPriority w:val="99"/>
    <w:semiHidden/>
    <w:rsid w:val="008863E8"/>
    <w:rPr>
      <w:rFonts w:ascii="Times New Roman" w:eastAsia="Times New Roman" w:hAnsi="Times New Roman" w:cs="Times New Roman"/>
      <w:sz w:val="18"/>
      <w:szCs w:val="18"/>
      <w:lang w:val="en-US"/>
    </w:rPr>
  </w:style>
  <w:style w:type="character" w:styleId="LineNumber">
    <w:name w:val="line number"/>
    <w:basedOn w:val="DefaultParagraphFont"/>
    <w:uiPriority w:val="99"/>
    <w:semiHidden/>
    <w:unhideWhenUsed/>
    <w:rsid w:val="00091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397048">
      <w:bodyDiv w:val="1"/>
      <w:marLeft w:val="0"/>
      <w:marRight w:val="0"/>
      <w:marTop w:val="0"/>
      <w:marBottom w:val="0"/>
      <w:divBdr>
        <w:top w:val="none" w:sz="0" w:space="0" w:color="auto"/>
        <w:left w:val="none" w:sz="0" w:space="0" w:color="auto"/>
        <w:bottom w:val="none" w:sz="0" w:space="0" w:color="auto"/>
        <w:right w:val="none" w:sz="0" w:space="0" w:color="auto"/>
      </w:divBdr>
    </w:div>
    <w:div w:id="254284291">
      <w:bodyDiv w:val="1"/>
      <w:marLeft w:val="0"/>
      <w:marRight w:val="0"/>
      <w:marTop w:val="0"/>
      <w:marBottom w:val="0"/>
      <w:divBdr>
        <w:top w:val="none" w:sz="0" w:space="0" w:color="auto"/>
        <w:left w:val="none" w:sz="0" w:space="0" w:color="auto"/>
        <w:bottom w:val="none" w:sz="0" w:space="0" w:color="auto"/>
        <w:right w:val="none" w:sz="0" w:space="0" w:color="auto"/>
      </w:divBdr>
      <w:divsChild>
        <w:div w:id="435515584">
          <w:marLeft w:val="0"/>
          <w:marRight w:val="0"/>
          <w:marTop w:val="0"/>
          <w:marBottom w:val="0"/>
          <w:divBdr>
            <w:top w:val="none" w:sz="0" w:space="0" w:color="auto"/>
            <w:left w:val="none" w:sz="0" w:space="0" w:color="auto"/>
            <w:bottom w:val="none" w:sz="0" w:space="0" w:color="auto"/>
            <w:right w:val="none" w:sz="0" w:space="0" w:color="auto"/>
          </w:divBdr>
          <w:divsChild>
            <w:div w:id="1213350474">
              <w:marLeft w:val="0"/>
              <w:marRight w:val="0"/>
              <w:marTop w:val="0"/>
              <w:marBottom w:val="0"/>
              <w:divBdr>
                <w:top w:val="none" w:sz="0" w:space="0" w:color="auto"/>
                <w:left w:val="none" w:sz="0" w:space="0" w:color="auto"/>
                <w:bottom w:val="none" w:sz="0" w:space="0" w:color="auto"/>
                <w:right w:val="none" w:sz="0" w:space="0" w:color="auto"/>
              </w:divBdr>
              <w:divsChild>
                <w:div w:id="63676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797438">
      <w:bodyDiv w:val="1"/>
      <w:marLeft w:val="0"/>
      <w:marRight w:val="0"/>
      <w:marTop w:val="0"/>
      <w:marBottom w:val="0"/>
      <w:divBdr>
        <w:top w:val="none" w:sz="0" w:space="0" w:color="auto"/>
        <w:left w:val="none" w:sz="0" w:space="0" w:color="auto"/>
        <w:bottom w:val="none" w:sz="0" w:space="0" w:color="auto"/>
        <w:right w:val="none" w:sz="0" w:space="0" w:color="auto"/>
      </w:divBdr>
    </w:div>
    <w:div w:id="995189093">
      <w:bodyDiv w:val="1"/>
      <w:marLeft w:val="0"/>
      <w:marRight w:val="0"/>
      <w:marTop w:val="0"/>
      <w:marBottom w:val="0"/>
      <w:divBdr>
        <w:top w:val="none" w:sz="0" w:space="0" w:color="auto"/>
        <w:left w:val="none" w:sz="0" w:space="0" w:color="auto"/>
        <w:bottom w:val="none" w:sz="0" w:space="0" w:color="auto"/>
        <w:right w:val="none" w:sz="0" w:space="0" w:color="auto"/>
      </w:divBdr>
    </w:div>
    <w:div w:id="1364675718">
      <w:bodyDiv w:val="1"/>
      <w:marLeft w:val="0"/>
      <w:marRight w:val="0"/>
      <w:marTop w:val="0"/>
      <w:marBottom w:val="0"/>
      <w:divBdr>
        <w:top w:val="none" w:sz="0" w:space="0" w:color="auto"/>
        <w:left w:val="none" w:sz="0" w:space="0" w:color="auto"/>
        <w:bottom w:val="none" w:sz="0" w:space="0" w:color="auto"/>
        <w:right w:val="none" w:sz="0" w:space="0" w:color="auto"/>
      </w:divBdr>
    </w:div>
    <w:div w:id="1571042544">
      <w:bodyDiv w:val="1"/>
      <w:marLeft w:val="0"/>
      <w:marRight w:val="0"/>
      <w:marTop w:val="0"/>
      <w:marBottom w:val="0"/>
      <w:divBdr>
        <w:top w:val="none" w:sz="0" w:space="0" w:color="auto"/>
        <w:left w:val="none" w:sz="0" w:space="0" w:color="auto"/>
        <w:bottom w:val="none" w:sz="0" w:space="0" w:color="auto"/>
        <w:right w:val="none" w:sz="0" w:space="0" w:color="auto"/>
      </w:divBdr>
    </w:div>
    <w:div w:id="1884554227">
      <w:bodyDiv w:val="1"/>
      <w:marLeft w:val="0"/>
      <w:marRight w:val="0"/>
      <w:marTop w:val="0"/>
      <w:marBottom w:val="0"/>
      <w:divBdr>
        <w:top w:val="none" w:sz="0" w:space="0" w:color="auto"/>
        <w:left w:val="none" w:sz="0" w:space="0" w:color="auto"/>
        <w:bottom w:val="none" w:sz="0" w:space="0" w:color="auto"/>
        <w:right w:val="none" w:sz="0" w:space="0" w:color="auto"/>
      </w:divBdr>
    </w:div>
    <w:div w:id="1968194064">
      <w:bodyDiv w:val="1"/>
      <w:marLeft w:val="0"/>
      <w:marRight w:val="0"/>
      <w:marTop w:val="0"/>
      <w:marBottom w:val="0"/>
      <w:divBdr>
        <w:top w:val="none" w:sz="0" w:space="0" w:color="auto"/>
        <w:left w:val="none" w:sz="0" w:space="0" w:color="auto"/>
        <w:bottom w:val="none" w:sz="0" w:space="0" w:color="auto"/>
        <w:right w:val="none" w:sz="0" w:space="0" w:color="auto"/>
      </w:divBdr>
      <w:divsChild>
        <w:div w:id="91358031">
          <w:marLeft w:val="0"/>
          <w:marRight w:val="0"/>
          <w:marTop w:val="0"/>
          <w:marBottom w:val="0"/>
          <w:divBdr>
            <w:top w:val="none" w:sz="0" w:space="0" w:color="auto"/>
            <w:left w:val="none" w:sz="0" w:space="0" w:color="auto"/>
            <w:bottom w:val="none" w:sz="0" w:space="0" w:color="auto"/>
            <w:right w:val="none" w:sz="0" w:space="0" w:color="auto"/>
          </w:divBdr>
          <w:divsChild>
            <w:div w:id="1600141002">
              <w:marLeft w:val="0"/>
              <w:marRight w:val="0"/>
              <w:marTop w:val="0"/>
              <w:marBottom w:val="0"/>
              <w:divBdr>
                <w:top w:val="none" w:sz="0" w:space="0" w:color="auto"/>
                <w:left w:val="none" w:sz="0" w:space="0" w:color="auto"/>
                <w:bottom w:val="none" w:sz="0" w:space="0" w:color="auto"/>
                <w:right w:val="none" w:sz="0" w:space="0" w:color="auto"/>
              </w:divBdr>
              <w:divsChild>
                <w:div w:id="27888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4D6AB-6701-054A-A827-60ED575BC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1395</Words>
  <Characters>7956</Characters>
  <Application>Microsoft Office Word</Application>
  <DocSecurity>0</DocSecurity>
  <Lines>66</Lines>
  <Paragraphs>18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orsini</dc:creator>
  <cp:keywords/>
  <dc:description/>
  <cp:lastModifiedBy>Martino Schettino</cp:lastModifiedBy>
  <cp:revision>8</cp:revision>
  <dcterms:created xsi:type="dcterms:W3CDTF">2023-09-30T19:41:00Z</dcterms:created>
  <dcterms:modified xsi:type="dcterms:W3CDTF">2023-10-03T13:56:00Z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zotero-version="6.0.27-beta.3+3e12f3f20"&gt;&lt;session id="3VUT23Iw"/&gt;&lt;style id="http://www.zotero.org/styles/translational-psychiatry" hasBibliography="1" bibliographyStyleHasBeenSet="0"/&gt;&lt;prefs&gt;&lt;pref name="fieldType" value="Field"/&gt;&lt;pr</vt:lpwstr>
  </property>
  <property fmtid="{D5CDD505-2E9C-101B-9397-08002B2CF9AE}" pid="3" name="ZOTERO_PREF_2">
    <vt:lpwstr>ef name="automaticJournalAbbreviations" value="true"/&gt;&lt;/prefs&gt;&lt;/data&gt;</vt:lpwstr>
  </property>
</Properties>
</file>