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52BA4" w14:textId="77777777" w:rsidR="00C54FCD" w:rsidRPr="00552B3A" w:rsidRDefault="00C54FCD" w:rsidP="00C54FCD">
      <w:pPr>
        <w:contextualSpacing/>
        <w:mirrorIndents/>
        <w:rPr>
          <w:rFonts w:ascii="Arial" w:hAnsi="Arial" w:cs="Arial"/>
          <w:b/>
          <w:bCs/>
          <w:sz w:val="22"/>
          <w:szCs w:val="22"/>
        </w:rPr>
      </w:pPr>
      <w:r w:rsidRPr="00552B3A">
        <w:rPr>
          <w:rFonts w:ascii="Arial" w:hAnsi="Arial" w:cs="Arial"/>
          <w:b/>
          <w:bCs/>
          <w:sz w:val="22"/>
          <w:szCs w:val="22"/>
        </w:rPr>
        <w:t>Psychedelic 5-HT</w:t>
      </w:r>
      <w:r w:rsidRPr="00552B3A">
        <w:rPr>
          <w:rFonts w:ascii="Arial" w:hAnsi="Arial" w:cs="Arial"/>
          <w:b/>
          <w:bCs/>
          <w:sz w:val="22"/>
          <w:szCs w:val="22"/>
          <w:vertAlign w:val="subscript"/>
        </w:rPr>
        <w:t>2A</w:t>
      </w:r>
      <w:r w:rsidRPr="00552B3A">
        <w:rPr>
          <w:rFonts w:ascii="Arial" w:hAnsi="Arial" w:cs="Arial"/>
          <w:b/>
          <w:bCs/>
          <w:sz w:val="22"/>
          <w:szCs w:val="22"/>
        </w:rPr>
        <w:t xml:space="preserve"> receptor agonism: neuronal signatures and altered neurovascular coupling.</w:t>
      </w:r>
    </w:p>
    <w:p w14:paraId="6AC819AD" w14:textId="77777777" w:rsidR="00C54FCD" w:rsidRPr="00552B3A" w:rsidRDefault="00C54FCD" w:rsidP="00C54FCD">
      <w:pPr>
        <w:contextualSpacing/>
        <w:mirrorIndents/>
        <w:rPr>
          <w:rFonts w:ascii="Arial" w:hAnsi="Arial" w:cs="Arial"/>
          <w:b/>
          <w:bCs/>
          <w:sz w:val="22"/>
          <w:szCs w:val="22"/>
        </w:rPr>
      </w:pPr>
    </w:p>
    <w:p w14:paraId="198DFFA8" w14:textId="77777777" w:rsidR="00C54FCD" w:rsidRPr="00552B3A" w:rsidRDefault="00C54FCD" w:rsidP="00C54FCD">
      <w:pPr>
        <w:rPr>
          <w:rFonts w:ascii="Arial" w:hAnsi="Arial" w:cs="Arial"/>
          <w:sz w:val="22"/>
          <w:szCs w:val="22"/>
          <w:vertAlign w:val="superscript"/>
        </w:rPr>
      </w:pPr>
      <w:r w:rsidRPr="00552B3A">
        <w:rPr>
          <w:rFonts w:ascii="Arial" w:hAnsi="Arial" w:cs="Arial"/>
          <w:sz w:val="22"/>
          <w:szCs w:val="22"/>
        </w:rPr>
        <w:t>Jonah A. Padawer-Curry</w:t>
      </w:r>
      <w:r w:rsidRPr="00552B3A">
        <w:rPr>
          <w:rFonts w:ascii="Arial" w:hAnsi="Arial" w:cs="Arial"/>
          <w:sz w:val="22"/>
          <w:szCs w:val="22"/>
          <w:vertAlign w:val="superscript"/>
        </w:rPr>
        <w:t>1,2</w:t>
      </w:r>
      <w:r w:rsidRPr="00552B3A">
        <w:rPr>
          <w:rFonts w:ascii="Arial" w:hAnsi="Arial" w:cs="Arial"/>
          <w:sz w:val="22"/>
          <w:szCs w:val="22"/>
        </w:rPr>
        <w:t>, Abraham Z. Snyder</w:t>
      </w:r>
      <w:r w:rsidRPr="00552B3A">
        <w:rPr>
          <w:rFonts w:ascii="Arial" w:hAnsi="Arial" w:cs="Arial"/>
          <w:sz w:val="22"/>
          <w:szCs w:val="22"/>
          <w:vertAlign w:val="superscript"/>
        </w:rPr>
        <w:t>2,3</w:t>
      </w:r>
      <w:r w:rsidRPr="00552B3A">
        <w:rPr>
          <w:rFonts w:ascii="Arial" w:hAnsi="Arial" w:cs="Arial"/>
          <w:sz w:val="22"/>
          <w:szCs w:val="22"/>
        </w:rPr>
        <w:t>, Annie R. Bice</w:t>
      </w:r>
      <w:r w:rsidRPr="00552B3A">
        <w:rPr>
          <w:rFonts w:ascii="Arial" w:hAnsi="Arial" w:cs="Arial"/>
          <w:sz w:val="22"/>
          <w:szCs w:val="22"/>
          <w:vertAlign w:val="superscript"/>
        </w:rPr>
        <w:t>2</w:t>
      </w:r>
      <w:r w:rsidRPr="00552B3A">
        <w:rPr>
          <w:rFonts w:ascii="Arial" w:hAnsi="Arial" w:cs="Arial"/>
          <w:sz w:val="22"/>
          <w:szCs w:val="22"/>
        </w:rPr>
        <w:t>, Xiaodan Wang</w:t>
      </w:r>
      <w:r w:rsidRPr="00552B3A">
        <w:rPr>
          <w:rFonts w:ascii="Arial" w:hAnsi="Arial" w:cs="Arial"/>
          <w:sz w:val="22"/>
          <w:szCs w:val="22"/>
          <w:vertAlign w:val="superscript"/>
        </w:rPr>
        <w:t>2,4</w:t>
      </w:r>
      <w:r w:rsidRPr="00552B3A">
        <w:rPr>
          <w:rFonts w:ascii="Arial" w:hAnsi="Arial" w:cs="Arial"/>
          <w:sz w:val="22"/>
          <w:szCs w:val="22"/>
        </w:rPr>
        <w:t>, Ginger E. Nicol</w:t>
      </w:r>
      <w:r w:rsidRPr="00552B3A">
        <w:rPr>
          <w:rFonts w:ascii="Arial" w:hAnsi="Arial" w:cs="Arial"/>
          <w:sz w:val="22"/>
          <w:szCs w:val="22"/>
          <w:vertAlign w:val="superscript"/>
        </w:rPr>
        <w:t>3</w:t>
      </w:r>
      <w:r w:rsidRPr="00552B3A">
        <w:rPr>
          <w:rFonts w:ascii="Arial" w:hAnsi="Arial" w:cs="Arial"/>
          <w:sz w:val="22"/>
          <w:szCs w:val="22"/>
        </w:rPr>
        <w:t>, Jordan G. McCall</w:t>
      </w:r>
      <w:r w:rsidRPr="00552B3A">
        <w:rPr>
          <w:rFonts w:ascii="Arial" w:hAnsi="Arial" w:cs="Arial"/>
          <w:sz w:val="22"/>
          <w:szCs w:val="22"/>
          <w:vertAlign w:val="superscript"/>
        </w:rPr>
        <w:t>5*</w:t>
      </w:r>
      <w:r w:rsidRPr="00552B3A">
        <w:rPr>
          <w:rFonts w:ascii="Arial" w:hAnsi="Arial" w:cs="Arial"/>
          <w:sz w:val="22"/>
          <w:szCs w:val="22"/>
        </w:rPr>
        <w:t>, Joshua S. Siegel</w:t>
      </w:r>
      <w:r w:rsidRPr="00552B3A">
        <w:rPr>
          <w:rFonts w:ascii="Arial" w:hAnsi="Arial" w:cs="Arial"/>
          <w:sz w:val="22"/>
          <w:szCs w:val="22"/>
          <w:vertAlign w:val="superscript"/>
        </w:rPr>
        <w:t>3*</w:t>
      </w:r>
      <w:r w:rsidRPr="00552B3A">
        <w:rPr>
          <w:rFonts w:ascii="Arial" w:hAnsi="Arial" w:cs="Arial"/>
          <w:sz w:val="22"/>
          <w:szCs w:val="22"/>
        </w:rPr>
        <w:t>, Adam Q. Bauer</w:t>
      </w:r>
      <w:r w:rsidRPr="00552B3A">
        <w:rPr>
          <w:rFonts w:ascii="Arial" w:hAnsi="Arial" w:cs="Arial"/>
          <w:sz w:val="22"/>
          <w:szCs w:val="22"/>
          <w:vertAlign w:val="superscript"/>
        </w:rPr>
        <w:t>1, 2,4*</w:t>
      </w:r>
    </w:p>
    <w:p w14:paraId="7795829B" w14:textId="77777777" w:rsidR="00C54FCD" w:rsidRPr="00552B3A" w:rsidRDefault="00C54FCD" w:rsidP="00C54FCD">
      <w:pPr>
        <w:rPr>
          <w:rFonts w:ascii="Arial" w:hAnsi="Arial" w:cs="Arial"/>
          <w:sz w:val="22"/>
          <w:szCs w:val="22"/>
          <w:vertAlign w:val="superscript"/>
        </w:rPr>
      </w:pPr>
    </w:p>
    <w:p w14:paraId="3DC06573" w14:textId="77777777" w:rsidR="00C54FCD" w:rsidRPr="00552B3A" w:rsidRDefault="00C54FCD" w:rsidP="00C54FCD">
      <w:pPr>
        <w:rPr>
          <w:rFonts w:ascii="Arial" w:hAnsi="Arial" w:cs="Arial"/>
          <w:sz w:val="22"/>
          <w:szCs w:val="22"/>
        </w:rPr>
      </w:pPr>
      <w:r w:rsidRPr="00552B3A">
        <w:rPr>
          <w:rFonts w:ascii="Arial" w:hAnsi="Arial" w:cs="Arial"/>
          <w:sz w:val="22"/>
          <w:szCs w:val="22"/>
        </w:rPr>
        <w:t>Imaging Science Program</w:t>
      </w:r>
      <w:r w:rsidRPr="00552B3A">
        <w:rPr>
          <w:rFonts w:ascii="Arial" w:hAnsi="Arial" w:cs="Arial"/>
          <w:sz w:val="22"/>
          <w:szCs w:val="22"/>
          <w:vertAlign w:val="superscript"/>
        </w:rPr>
        <w:t>1</w:t>
      </w:r>
      <w:r w:rsidRPr="00552B3A">
        <w:rPr>
          <w:rFonts w:ascii="Arial" w:hAnsi="Arial" w:cs="Arial"/>
          <w:sz w:val="22"/>
          <w:szCs w:val="22"/>
        </w:rPr>
        <w:t>, Department of Radiology</w:t>
      </w:r>
      <w:r w:rsidRPr="00552B3A">
        <w:rPr>
          <w:rFonts w:ascii="Arial" w:hAnsi="Arial" w:cs="Arial"/>
          <w:sz w:val="22"/>
          <w:szCs w:val="22"/>
          <w:vertAlign w:val="superscript"/>
        </w:rPr>
        <w:t>2</w:t>
      </w:r>
      <w:r w:rsidRPr="00552B3A">
        <w:rPr>
          <w:rFonts w:ascii="Arial" w:hAnsi="Arial" w:cs="Arial"/>
          <w:sz w:val="22"/>
          <w:szCs w:val="22"/>
        </w:rPr>
        <w:t>, Department of Psychiatry</w:t>
      </w:r>
      <w:r w:rsidRPr="00552B3A">
        <w:rPr>
          <w:rFonts w:ascii="Arial" w:hAnsi="Arial" w:cs="Arial"/>
          <w:sz w:val="22"/>
          <w:szCs w:val="22"/>
          <w:vertAlign w:val="superscript"/>
        </w:rPr>
        <w:t>3</w:t>
      </w:r>
      <w:r w:rsidRPr="00552B3A">
        <w:rPr>
          <w:rFonts w:ascii="Arial" w:hAnsi="Arial" w:cs="Arial"/>
          <w:sz w:val="22"/>
          <w:szCs w:val="22"/>
        </w:rPr>
        <w:t>, Department of Biomedical Engineering</w:t>
      </w:r>
      <w:r w:rsidRPr="00552B3A">
        <w:rPr>
          <w:rFonts w:ascii="Arial" w:hAnsi="Arial" w:cs="Arial"/>
          <w:sz w:val="22"/>
          <w:szCs w:val="22"/>
          <w:vertAlign w:val="superscript"/>
        </w:rPr>
        <w:t>4</w:t>
      </w:r>
      <w:r w:rsidRPr="00552B3A">
        <w:rPr>
          <w:rFonts w:ascii="Arial" w:hAnsi="Arial" w:cs="Arial"/>
          <w:sz w:val="22"/>
          <w:szCs w:val="22"/>
        </w:rPr>
        <w:t>, Department of Anesthesiology</w:t>
      </w:r>
      <w:r w:rsidRPr="00552B3A">
        <w:rPr>
          <w:rFonts w:ascii="Arial" w:hAnsi="Arial" w:cs="Arial"/>
          <w:sz w:val="22"/>
          <w:szCs w:val="22"/>
          <w:vertAlign w:val="superscript"/>
        </w:rPr>
        <w:t>5</w:t>
      </w:r>
      <w:r w:rsidRPr="00552B3A">
        <w:rPr>
          <w:rFonts w:ascii="Arial" w:hAnsi="Arial" w:cs="Arial"/>
          <w:sz w:val="22"/>
          <w:szCs w:val="22"/>
        </w:rPr>
        <w:t>, Washington University in St. Louis, St. Louis, MO.</w:t>
      </w:r>
    </w:p>
    <w:p w14:paraId="1900D169" w14:textId="77777777" w:rsidR="00C54FCD" w:rsidRPr="00552B3A" w:rsidRDefault="00C54FCD" w:rsidP="00C54FCD">
      <w:pPr>
        <w:rPr>
          <w:rFonts w:ascii="Arial" w:hAnsi="Arial" w:cs="Arial"/>
          <w:sz w:val="22"/>
          <w:szCs w:val="22"/>
        </w:rPr>
      </w:pPr>
    </w:p>
    <w:p w14:paraId="4F6E5A72" w14:textId="77777777" w:rsidR="00C54FCD" w:rsidRPr="00552B3A" w:rsidRDefault="00C54FCD" w:rsidP="00C54FCD">
      <w:pPr>
        <w:spacing w:line="360" w:lineRule="auto"/>
        <w:rPr>
          <w:rFonts w:ascii="Arial" w:hAnsi="Arial" w:cs="Arial"/>
          <w:sz w:val="22"/>
          <w:szCs w:val="22"/>
        </w:rPr>
      </w:pPr>
      <w:bookmarkStart w:id="0" w:name="_Hlk146388528"/>
      <w:r w:rsidRPr="00552B3A">
        <w:rPr>
          <w:rFonts w:ascii="Arial" w:hAnsi="Arial" w:cs="Arial"/>
          <w:sz w:val="22"/>
          <w:szCs w:val="22"/>
        </w:rPr>
        <w:t>*These principal investigators contributed equally</w:t>
      </w:r>
    </w:p>
    <w:bookmarkEnd w:id="0"/>
    <w:p w14:paraId="54164EE9" w14:textId="77777777" w:rsidR="004E20A0" w:rsidRPr="00552B3A" w:rsidRDefault="004E20A0">
      <w:pPr>
        <w:spacing w:after="160" w:line="259" w:lineRule="auto"/>
        <w:rPr>
          <w:rFonts w:ascii="Arial" w:hAnsi="Arial" w:cs="Arial"/>
          <w:sz w:val="22"/>
          <w:szCs w:val="22"/>
        </w:rPr>
      </w:pPr>
      <w:r w:rsidRPr="00552B3A">
        <w:rPr>
          <w:rFonts w:ascii="Arial" w:hAnsi="Arial" w:cs="Arial"/>
          <w:sz w:val="22"/>
          <w:szCs w:val="22"/>
        </w:rPr>
        <w:br w:type="page"/>
      </w:r>
    </w:p>
    <w:p w14:paraId="2063FADE" w14:textId="57C5A34B" w:rsidR="00317A65" w:rsidRPr="00552B3A" w:rsidRDefault="00F444C5" w:rsidP="004E20A0">
      <w:pPr>
        <w:spacing w:line="259" w:lineRule="auto"/>
        <w:rPr>
          <w:rStyle w:val="normaltextrun"/>
          <w:rFonts w:ascii="Arial" w:hAnsi="Arial" w:cs="Arial"/>
          <w:sz w:val="22"/>
          <w:szCs w:val="22"/>
        </w:rPr>
      </w:pPr>
      <w:r w:rsidRPr="00552B3A">
        <w:rPr>
          <w:rStyle w:val="normaltextrun"/>
          <w:rFonts w:ascii="Arial" w:hAnsi="Arial" w:cs="Arial"/>
          <w:i/>
          <w:iCs/>
          <w:color w:val="000000"/>
          <w:sz w:val="22"/>
          <w:szCs w:val="22"/>
          <w:u w:val="single"/>
          <w:shd w:val="clear" w:color="auto" w:fill="FFFFFF"/>
        </w:rPr>
        <w:lastRenderedPageBreak/>
        <w:t>1</w:t>
      </w:r>
      <w:r w:rsidR="00820120" w:rsidRPr="00552B3A">
        <w:rPr>
          <w:rStyle w:val="normaltextrun"/>
          <w:rFonts w:ascii="Arial" w:hAnsi="Arial" w:cs="Arial"/>
          <w:i/>
          <w:iCs/>
          <w:color w:val="000000"/>
          <w:sz w:val="22"/>
          <w:szCs w:val="22"/>
          <w:u w:val="single"/>
          <w:shd w:val="clear" w:color="auto" w:fill="FFFFFF"/>
        </w:rPr>
        <w:t xml:space="preserve">.) </w:t>
      </w:r>
      <w:r w:rsidR="00317A65" w:rsidRPr="00552B3A">
        <w:rPr>
          <w:rStyle w:val="normaltextrun"/>
          <w:rFonts w:ascii="Arial" w:hAnsi="Arial" w:cs="Arial"/>
          <w:i/>
          <w:iCs/>
          <w:color w:val="000000"/>
          <w:sz w:val="22"/>
          <w:szCs w:val="22"/>
          <w:u w:val="single"/>
          <w:shd w:val="clear" w:color="auto" w:fill="FFFFFF"/>
        </w:rPr>
        <w:t>Supplemental</w:t>
      </w:r>
      <w:r w:rsidR="00820120" w:rsidRPr="00552B3A">
        <w:rPr>
          <w:rStyle w:val="normaltextrun"/>
          <w:rFonts w:ascii="Arial" w:hAnsi="Arial" w:cs="Arial"/>
          <w:i/>
          <w:iCs/>
          <w:color w:val="000000"/>
          <w:sz w:val="22"/>
          <w:szCs w:val="22"/>
          <w:u w:val="single"/>
          <w:shd w:val="clear" w:color="auto" w:fill="FFFFFF"/>
        </w:rPr>
        <w:t xml:space="preserve"> Analysis</w:t>
      </w:r>
    </w:p>
    <w:p w14:paraId="03A7021D" w14:textId="02B449FC" w:rsidR="003121CC" w:rsidRPr="00552B3A" w:rsidRDefault="00F444C5" w:rsidP="004E20A0">
      <w:pPr>
        <w:contextualSpacing/>
        <w:mirrorIndents/>
        <w:rPr>
          <w:rStyle w:val="normaltextrun"/>
          <w:rFonts w:ascii="Arial" w:hAnsi="Arial" w:cs="Arial"/>
          <w:sz w:val="22"/>
          <w:szCs w:val="22"/>
          <w:u w:val="single"/>
        </w:rPr>
      </w:pPr>
      <w:r w:rsidRPr="00552B3A">
        <w:rPr>
          <w:rFonts w:ascii="Arial" w:hAnsi="Arial" w:cs="Arial"/>
          <w:i/>
          <w:iCs/>
          <w:sz w:val="22"/>
          <w:szCs w:val="22"/>
          <w:u w:val="single"/>
        </w:rPr>
        <w:t>1</w:t>
      </w:r>
      <w:r w:rsidR="00317A65" w:rsidRPr="00552B3A">
        <w:rPr>
          <w:rFonts w:ascii="Arial" w:hAnsi="Arial" w:cs="Arial"/>
          <w:i/>
          <w:iCs/>
          <w:sz w:val="22"/>
          <w:szCs w:val="22"/>
          <w:u w:val="single"/>
        </w:rPr>
        <w:t xml:space="preserve">.1) </w:t>
      </w:r>
      <w:r w:rsidR="003121CC" w:rsidRPr="00552B3A">
        <w:rPr>
          <w:rFonts w:ascii="Arial" w:hAnsi="Arial" w:cs="Arial"/>
          <w:i/>
          <w:iCs/>
          <w:sz w:val="22"/>
          <w:szCs w:val="22"/>
          <w:u w:val="single"/>
        </w:rPr>
        <w:t xml:space="preserve">Cross-covariance analysis </w:t>
      </w:r>
    </w:p>
    <w:p w14:paraId="0308DA8A" w14:textId="2A0B32F4" w:rsidR="003121CC" w:rsidRPr="00552B3A" w:rsidRDefault="003121CC" w:rsidP="003121CC">
      <w:pPr>
        <w:contextualSpacing/>
        <w:mirrorIndents/>
        <w:rPr>
          <w:rStyle w:val="normaltextrun"/>
          <w:rFonts w:ascii="Arial" w:hAnsi="Arial" w:cs="Arial"/>
          <w:sz w:val="22"/>
          <w:szCs w:val="22"/>
        </w:rPr>
      </w:pPr>
      <w:r w:rsidRPr="00552B3A">
        <w:rPr>
          <w:rStyle w:val="normaltextrun"/>
          <w:rFonts w:ascii="Arial" w:hAnsi="Arial" w:cs="Arial"/>
          <w:sz w:val="22"/>
          <w:szCs w:val="22"/>
        </w:rPr>
        <w:t xml:space="preserve">For each cortical region, cross-covariance functions of calcium and HbT signals were calculated. To obtain global estimates, regional functions were averaged. Using these </w:t>
      </w:r>
      <w:r w:rsidR="00C52965" w:rsidRPr="00552B3A">
        <w:rPr>
          <w:rStyle w:val="normaltextrun"/>
          <w:rFonts w:ascii="Arial" w:hAnsi="Arial" w:cs="Arial"/>
          <w:sz w:val="22"/>
          <w:szCs w:val="22"/>
        </w:rPr>
        <w:t>results, peak</w:t>
      </w:r>
      <w:r w:rsidRPr="00552B3A">
        <w:rPr>
          <w:rStyle w:val="normaltextrun"/>
          <w:rFonts w:ascii="Arial" w:hAnsi="Arial" w:cs="Arial"/>
          <w:sz w:val="22"/>
          <w:szCs w:val="22"/>
        </w:rPr>
        <w:t xml:space="preserve"> and TTP were calculated. The frequency-dependent content of cross-covariance functions were estimated by as the cross-spectral density, quantified as magnitude-squared coherence (MSC):</w:t>
      </w:r>
    </w:p>
    <w:p w14:paraId="05B4884C" w14:textId="77777777" w:rsidR="003121CC" w:rsidRPr="00552B3A" w:rsidRDefault="003121CC" w:rsidP="003121CC">
      <w:pPr>
        <w:contextualSpacing/>
        <w:mirrorIndents/>
        <w:rPr>
          <w:rStyle w:val="normaltextrun"/>
          <w:rFonts w:ascii="Arial" w:hAnsi="Arial" w:cs="Arial"/>
          <w:sz w:val="22"/>
          <w:szCs w:val="22"/>
        </w:rPr>
      </w:pPr>
    </w:p>
    <w:p w14:paraId="79DD8CDF" w14:textId="4CA02F0A" w:rsidR="003121CC" w:rsidRPr="00552B3A" w:rsidRDefault="003121CC" w:rsidP="003121CC">
      <w:pPr>
        <w:ind w:firstLine="720"/>
        <w:contextualSpacing/>
        <w:mirrorIndents/>
        <w:rPr>
          <w:rStyle w:val="normaltextrun"/>
          <w:rFonts w:ascii="Arial" w:hAnsi="Arial" w:cs="Arial"/>
          <w:sz w:val="22"/>
          <w:szCs w:val="22"/>
        </w:rPr>
      </w:pPr>
      <m:oMath>
        <m:r>
          <w:rPr>
            <w:rStyle w:val="normaltextrun"/>
            <w:rFonts w:ascii="Cambria Math" w:hAnsi="Cambria Math" w:cs="Arial"/>
            <w:sz w:val="22"/>
            <w:szCs w:val="22"/>
          </w:rPr>
          <m:t>M</m:t>
        </m:r>
        <m:r>
          <w:rPr>
            <w:rFonts w:ascii="Cambria Math" w:hAnsi="Cambria Math" w:cs="Arial"/>
            <w:sz w:val="22"/>
            <w:szCs w:val="22"/>
          </w:rPr>
          <m:t>SC=</m:t>
        </m:r>
        <m:f>
          <m:fPr>
            <m:ctrlPr>
              <w:rPr>
                <w:rFonts w:ascii="Cambria Math" w:eastAsia="Times New Roman" w:hAnsi="Cambria Math" w:cs="Arial"/>
                <w:i/>
                <w:sz w:val="22"/>
                <w:szCs w:val="22"/>
              </w:rPr>
            </m:ctrlPr>
          </m:fPr>
          <m:num>
            <m:sSubSup>
              <m:sSubSupPr>
                <m:ctrlPr>
                  <w:rPr>
                    <w:rFonts w:ascii="Cambria Math" w:eastAsia="Times New Roman" w:hAnsi="Cambria Math" w:cs="Arial"/>
                    <w:i/>
                    <w:sz w:val="22"/>
                    <w:szCs w:val="22"/>
                  </w:rPr>
                </m:ctrlPr>
              </m:sSubSupPr>
              <m:e>
                <m:r>
                  <w:rPr>
                    <w:rFonts w:ascii="Cambria Math" w:eastAsia="Times New Roman" w:hAnsi="Cambria Math" w:cs="Arial"/>
                    <w:sz w:val="22"/>
                    <w:szCs w:val="22"/>
                  </w:rPr>
                  <m:t>P</m:t>
                </m:r>
              </m:e>
              <m:sub>
                <m:r>
                  <w:rPr>
                    <w:rFonts w:ascii="Cambria Math" w:eastAsia="Times New Roman" w:hAnsi="Cambria Math" w:cs="Arial"/>
                    <w:sz w:val="22"/>
                    <w:szCs w:val="22"/>
                  </w:rPr>
                  <m:t>xy</m:t>
                </m:r>
              </m:sub>
              <m:sup>
                <m:r>
                  <w:rPr>
                    <w:rFonts w:ascii="Cambria Math" w:eastAsia="Times New Roman" w:hAnsi="Cambria Math" w:cs="Arial"/>
                    <w:sz w:val="22"/>
                    <w:szCs w:val="22"/>
                  </w:rPr>
                  <m:t>2</m:t>
                </m:r>
              </m:sup>
            </m:sSubSup>
          </m:num>
          <m:den>
            <m:sSub>
              <m:sSubPr>
                <m:ctrlPr>
                  <w:rPr>
                    <w:rFonts w:ascii="Cambria Math" w:eastAsia="Times New Roman" w:hAnsi="Cambria Math" w:cs="Arial"/>
                    <w:i/>
                    <w:sz w:val="22"/>
                    <w:szCs w:val="22"/>
                  </w:rPr>
                </m:ctrlPr>
              </m:sSubPr>
              <m:e>
                <m:r>
                  <w:rPr>
                    <w:rFonts w:ascii="Cambria Math" w:eastAsia="Times New Roman" w:hAnsi="Cambria Math" w:cs="Arial"/>
                    <w:sz w:val="22"/>
                    <w:szCs w:val="22"/>
                  </w:rPr>
                  <m:t>P</m:t>
                </m:r>
              </m:e>
              <m:sub>
                <m:r>
                  <w:rPr>
                    <w:rFonts w:ascii="Cambria Math" w:eastAsia="Times New Roman" w:hAnsi="Cambria Math" w:cs="Arial"/>
                    <w:sz w:val="22"/>
                    <w:szCs w:val="22"/>
                  </w:rPr>
                  <m:t>xx</m:t>
                </m:r>
              </m:sub>
            </m:sSub>
            <m:sSub>
              <m:sSubPr>
                <m:ctrlPr>
                  <w:rPr>
                    <w:rFonts w:ascii="Cambria Math" w:eastAsia="Times New Roman" w:hAnsi="Cambria Math" w:cs="Arial"/>
                    <w:i/>
                    <w:sz w:val="22"/>
                    <w:szCs w:val="22"/>
                  </w:rPr>
                </m:ctrlPr>
              </m:sSubPr>
              <m:e>
                <m:r>
                  <w:rPr>
                    <w:rFonts w:ascii="Cambria Math" w:eastAsia="Times New Roman" w:hAnsi="Cambria Math" w:cs="Arial"/>
                    <w:sz w:val="22"/>
                    <w:szCs w:val="22"/>
                  </w:rPr>
                  <m:t>P</m:t>
                </m:r>
              </m:e>
              <m:sub>
                <m:r>
                  <w:rPr>
                    <w:rFonts w:ascii="Cambria Math" w:eastAsia="Times New Roman" w:hAnsi="Cambria Math" w:cs="Arial"/>
                    <w:sz w:val="22"/>
                    <w:szCs w:val="22"/>
                  </w:rPr>
                  <m:t>yy</m:t>
                </m:r>
              </m:sub>
            </m:sSub>
          </m:den>
        </m:f>
      </m:oMath>
      <w:r w:rsidRPr="00552B3A">
        <w:rPr>
          <w:rStyle w:val="normaltextrun"/>
          <w:rFonts w:ascii="Arial" w:eastAsia="Times New Roman" w:hAnsi="Arial" w:cs="Arial"/>
          <w:sz w:val="22"/>
          <w:szCs w:val="22"/>
        </w:rPr>
        <w:t xml:space="preserve"> </w:t>
      </w:r>
      <w:proofErr w:type="gramStart"/>
      <w:r w:rsidRPr="00552B3A">
        <w:rPr>
          <w:rStyle w:val="normaltextrun"/>
          <w:rFonts w:ascii="Arial" w:hAnsi="Arial" w:cs="Arial"/>
          <w:sz w:val="22"/>
          <w:szCs w:val="22"/>
        </w:rPr>
        <w:t xml:space="preserve">,  </w:t>
      </w:r>
      <w:r w:rsidRPr="00552B3A">
        <w:rPr>
          <w:rStyle w:val="normaltextrun"/>
          <w:rFonts w:ascii="Arial" w:hAnsi="Arial" w:cs="Arial"/>
          <w:sz w:val="22"/>
          <w:szCs w:val="22"/>
        </w:rPr>
        <w:tab/>
      </w:r>
      <w:proofErr w:type="gramEnd"/>
      <w:r w:rsidRPr="00552B3A">
        <w:rPr>
          <w:rStyle w:val="normaltextrun"/>
          <w:rFonts w:ascii="Arial" w:hAnsi="Arial" w:cs="Arial"/>
          <w:sz w:val="22"/>
          <w:szCs w:val="22"/>
        </w:rPr>
        <w:tab/>
      </w:r>
      <w:r w:rsidRPr="00552B3A">
        <w:rPr>
          <w:rStyle w:val="normaltextrun"/>
          <w:rFonts w:ascii="Arial" w:hAnsi="Arial" w:cs="Arial"/>
          <w:sz w:val="22"/>
          <w:szCs w:val="22"/>
        </w:rPr>
        <w:tab/>
      </w:r>
      <w:r w:rsidRPr="00552B3A">
        <w:rPr>
          <w:rStyle w:val="normaltextrun"/>
          <w:rFonts w:ascii="Arial" w:hAnsi="Arial" w:cs="Arial"/>
          <w:sz w:val="22"/>
          <w:szCs w:val="22"/>
        </w:rPr>
        <w:tab/>
      </w:r>
      <w:r w:rsidRPr="00552B3A">
        <w:rPr>
          <w:rStyle w:val="normaltextrun"/>
          <w:rFonts w:ascii="Arial" w:hAnsi="Arial" w:cs="Arial"/>
          <w:sz w:val="22"/>
          <w:szCs w:val="22"/>
        </w:rPr>
        <w:tab/>
      </w:r>
      <w:r w:rsidRPr="00552B3A">
        <w:rPr>
          <w:rStyle w:val="normaltextrun"/>
          <w:rFonts w:ascii="Arial" w:hAnsi="Arial" w:cs="Arial"/>
          <w:sz w:val="22"/>
          <w:szCs w:val="22"/>
        </w:rPr>
        <w:tab/>
      </w:r>
      <w:r w:rsidRPr="00552B3A">
        <w:rPr>
          <w:rStyle w:val="normaltextrun"/>
          <w:rFonts w:ascii="Arial" w:hAnsi="Arial" w:cs="Arial"/>
          <w:sz w:val="22"/>
          <w:szCs w:val="22"/>
        </w:rPr>
        <w:tab/>
      </w:r>
      <w:r w:rsidRPr="00552B3A">
        <w:rPr>
          <w:rStyle w:val="normaltextrun"/>
          <w:rFonts w:ascii="Arial" w:hAnsi="Arial" w:cs="Arial"/>
          <w:sz w:val="22"/>
          <w:szCs w:val="22"/>
        </w:rPr>
        <w:tab/>
        <w:t>(</w:t>
      </w:r>
      <w:r w:rsidR="000A679D" w:rsidRPr="00552B3A">
        <w:rPr>
          <w:rStyle w:val="normaltextrun"/>
          <w:rFonts w:ascii="Arial" w:hAnsi="Arial" w:cs="Arial"/>
          <w:sz w:val="22"/>
          <w:szCs w:val="22"/>
        </w:rPr>
        <w:t>1</w:t>
      </w:r>
      <w:r w:rsidRPr="00552B3A">
        <w:rPr>
          <w:rStyle w:val="normaltextrun"/>
          <w:rFonts w:ascii="Arial" w:hAnsi="Arial" w:cs="Arial"/>
          <w:sz w:val="22"/>
          <w:szCs w:val="22"/>
        </w:rPr>
        <w:t>)</w:t>
      </w:r>
    </w:p>
    <w:p w14:paraId="43723FDD" w14:textId="77777777" w:rsidR="003121CC" w:rsidRPr="00552B3A" w:rsidRDefault="003121CC" w:rsidP="003121CC">
      <w:pPr>
        <w:contextualSpacing/>
        <w:mirrorIndents/>
        <w:rPr>
          <w:rStyle w:val="normaltextrun"/>
          <w:rFonts w:ascii="Arial" w:hAnsi="Arial" w:cs="Arial"/>
          <w:sz w:val="22"/>
          <w:szCs w:val="22"/>
        </w:rPr>
      </w:pPr>
    </w:p>
    <w:p w14:paraId="1108CB64" w14:textId="77777777" w:rsidR="003121CC" w:rsidRPr="00552B3A" w:rsidRDefault="003121CC" w:rsidP="003121CC">
      <w:pPr>
        <w:contextualSpacing/>
        <w:mirrorIndents/>
        <w:rPr>
          <w:rStyle w:val="normaltextrun"/>
          <w:rFonts w:ascii="Arial" w:eastAsia="Times New Roman" w:hAnsi="Arial" w:cs="Arial"/>
          <w:sz w:val="22"/>
          <w:szCs w:val="22"/>
        </w:rPr>
      </w:pPr>
      <w:r w:rsidRPr="00552B3A">
        <w:rPr>
          <w:rStyle w:val="normaltextrun"/>
          <w:rFonts w:ascii="Arial" w:hAnsi="Arial" w:cs="Arial"/>
          <w:sz w:val="22"/>
          <w:szCs w:val="22"/>
        </w:rPr>
        <w:t xml:space="preserve">where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xy</m:t>
            </m:r>
          </m:sub>
        </m:sSub>
      </m:oMath>
      <w:r w:rsidRPr="00552B3A">
        <w:rPr>
          <w:rStyle w:val="normaltextrun"/>
          <w:rFonts w:ascii="Arial" w:eastAsia="Times New Roman" w:hAnsi="Arial" w:cs="Arial"/>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xx</m:t>
            </m:r>
          </m:sub>
        </m:sSub>
      </m:oMath>
      <w:r w:rsidRPr="00552B3A">
        <w:rPr>
          <w:rStyle w:val="normaltextrun"/>
          <w:rFonts w:ascii="Arial" w:eastAsia="Times New Roman" w:hAnsi="Arial" w:cs="Arial"/>
          <w:sz w:val="22"/>
          <w:szCs w:val="22"/>
        </w:rPr>
        <w:t xml:space="preserve"> ,</w:t>
      </w:r>
      <w:r w:rsidRPr="00552B3A">
        <w:rPr>
          <w:rStyle w:val="normaltextrun"/>
          <w:rFonts w:ascii="Arial" w:hAnsi="Arial" w:cs="Arial"/>
          <w:i/>
          <w:sz w:val="22"/>
          <w:szCs w:val="22"/>
        </w:rPr>
        <w:t xml:space="preserve"> </w:t>
      </w:r>
      <w:r w:rsidRPr="00552B3A">
        <w:rPr>
          <w:rStyle w:val="normaltextrun"/>
          <w:rFonts w:ascii="Arial" w:eastAsia="Times New Roman" w:hAnsi="Arial" w:cs="Arial"/>
          <w:iCs/>
          <w:sz w:val="22"/>
          <w:szCs w:val="22"/>
        </w:rPr>
        <w:t>and</w:t>
      </w:r>
      <w:r w:rsidRPr="00552B3A">
        <w:rPr>
          <w:rStyle w:val="normaltextrun"/>
          <w:rFonts w:ascii="Arial" w:eastAsia="Times New Roman" w:hAnsi="Arial" w:cs="Arial"/>
          <w:i/>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yy</m:t>
            </m:r>
          </m:sub>
        </m:sSub>
      </m:oMath>
      <w:r w:rsidRPr="00552B3A">
        <w:rPr>
          <w:rStyle w:val="normaltextrun"/>
          <w:rFonts w:ascii="Arial" w:eastAsia="Times New Roman" w:hAnsi="Arial" w:cs="Arial"/>
          <w:sz w:val="22"/>
          <w:szCs w:val="22"/>
        </w:rPr>
        <w:t xml:space="preserve"> are the cross-spectrum power density and </w:t>
      </w:r>
      <m:oMath>
        <m:r>
          <w:rPr>
            <w:rStyle w:val="normaltextrun"/>
            <w:rFonts w:ascii="Cambria Math" w:eastAsia="Times New Roman" w:hAnsi="Cambria Math" w:cs="Arial"/>
            <w:sz w:val="22"/>
            <w:szCs w:val="22"/>
          </w:rPr>
          <m:t>x</m:t>
        </m:r>
      </m:oMath>
      <w:r w:rsidRPr="00552B3A">
        <w:rPr>
          <w:rStyle w:val="normaltextrun"/>
          <w:rFonts w:ascii="Arial" w:eastAsia="Times New Roman" w:hAnsi="Arial" w:cs="Arial"/>
          <w:sz w:val="22"/>
          <w:szCs w:val="22"/>
        </w:rPr>
        <w:t xml:space="preserve">- and </w:t>
      </w:r>
      <m:oMath>
        <m:r>
          <w:rPr>
            <w:rStyle w:val="normaltextrun"/>
            <w:rFonts w:ascii="Cambria Math" w:eastAsia="Times New Roman" w:hAnsi="Cambria Math" w:cs="Arial"/>
            <w:sz w:val="22"/>
            <w:szCs w:val="22"/>
          </w:rPr>
          <m:t>y</m:t>
        </m:r>
      </m:oMath>
      <w:r w:rsidRPr="00552B3A">
        <w:rPr>
          <w:rStyle w:val="normaltextrun"/>
          <w:rFonts w:ascii="Arial" w:eastAsia="Times New Roman" w:hAnsi="Arial" w:cs="Arial"/>
          <w:sz w:val="22"/>
          <w:szCs w:val="22"/>
        </w:rPr>
        <w:t xml:space="preserve">- PSDs, respectively. </w:t>
      </w:r>
    </w:p>
    <w:p w14:paraId="4056CFFE" w14:textId="77777777" w:rsidR="002316ED" w:rsidRPr="00552B3A" w:rsidRDefault="002316ED" w:rsidP="003121CC">
      <w:pPr>
        <w:contextualSpacing/>
        <w:mirrorIndents/>
        <w:rPr>
          <w:rStyle w:val="normaltextrun"/>
          <w:rFonts w:ascii="Arial" w:eastAsia="Times New Roman" w:hAnsi="Arial" w:cs="Arial"/>
          <w:sz w:val="22"/>
          <w:szCs w:val="22"/>
        </w:rPr>
      </w:pPr>
    </w:p>
    <w:p w14:paraId="0D96A5BB" w14:textId="49554961" w:rsidR="003121CC" w:rsidRPr="00552B3A" w:rsidRDefault="002316ED" w:rsidP="00470E82">
      <w:pPr>
        <w:contextualSpacing/>
        <w:mirrorIndents/>
        <w:rPr>
          <w:rFonts w:ascii="Arial" w:eastAsia="Times New Roman" w:hAnsi="Arial" w:cs="Arial"/>
          <w:sz w:val="22"/>
          <w:szCs w:val="22"/>
        </w:rPr>
      </w:pPr>
      <w:r w:rsidRPr="00552B3A">
        <w:rPr>
          <w:rStyle w:val="cf01"/>
          <w:rFonts w:ascii="Arial" w:hAnsi="Arial" w:cs="Arial"/>
          <w:sz w:val="22"/>
          <w:szCs w:val="22"/>
        </w:rPr>
        <w:t>Phase information between calcium and hemodynamics were investigated through the angle between the real and imaginary parts</w:t>
      </w:r>
      <w:r w:rsidR="00AB619B" w:rsidRPr="00552B3A">
        <w:rPr>
          <w:rStyle w:val="cf01"/>
          <w:rFonts w:ascii="Arial" w:hAnsi="Arial" w:cs="Arial"/>
          <w:sz w:val="22"/>
          <w:szCs w:val="22"/>
        </w:rPr>
        <w:t xml:space="preserve"> of the cross-spectrum power density,</w:t>
      </w:r>
      <w:r w:rsidRPr="00552B3A">
        <w:rPr>
          <w:rStyle w:val="cf01"/>
          <w:rFonts w:ascii="Arial" w:hAnsi="Arial" w:cs="Arial"/>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xy</m:t>
            </m:r>
          </m:sub>
        </m:sSub>
      </m:oMath>
      <w:r w:rsidRPr="00552B3A">
        <w:rPr>
          <w:rStyle w:val="cf01"/>
          <w:rFonts w:ascii="Arial" w:hAnsi="Arial" w:cs="Arial"/>
          <w:sz w:val="22"/>
          <w:szCs w:val="22"/>
        </w:rPr>
        <w:t>. Phase averaging was performed in the complex plain to avoid issues with phase unwrapping</w:t>
      </w:r>
      <w:r w:rsidR="009977A8" w:rsidRPr="00552B3A">
        <w:rPr>
          <w:rStyle w:val="cf01"/>
          <w:rFonts w:ascii="Arial" w:hAnsi="Arial" w:cs="Arial"/>
          <w:sz w:val="22"/>
          <w:szCs w:val="22"/>
        </w:rPr>
        <w:t>.</w:t>
      </w:r>
      <w:r w:rsidR="00E555BA" w:rsidRPr="00552B3A">
        <w:rPr>
          <w:rStyle w:val="normaltextrun"/>
          <w:rFonts w:ascii="Arial" w:eastAsia="Times New Roman" w:hAnsi="Arial" w:cs="Arial"/>
          <w:sz w:val="22"/>
          <w:szCs w:val="22"/>
        </w:rPr>
        <w:t xml:space="preserve"> </w:t>
      </w:r>
      <w:r w:rsidR="00E60D0A" w:rsidRPr="00552B3A">
        <w:rPr>
          <w:rStyle w:val="normaltextrun"/>
          <w:rFonts w:ascii="Arial" w:eastAsia="Times New Roman" w:hAnsi="Arial" w:cs="Arial"/>
          <w:sz w:val="22"/>
          <w:szCs w:val="22"/>
        </w:rPr>
        <w:t xml:space="preserve">Owing to the features observed in the MSC plots (see Results), power was integrated over two frequency bands: between 0.5 Hz and 2 Hz and below 0.5 Hz. </w:t>
      </w:r>
    </w:p>
    <w:p w14:paraId="45762BF7" w14:textId="77777777" w:rsidR="001336B7" w:rsidRPr="00552B3A" w:rsidRDefault="001336B7">
      <w:pPr>
        <w:rPr>
          <w:rFonts w:ascii="Arial" w:hAnsi="Arial" w:cs="Arial"/>
          <w:sz w:val="22"/>
          <w:szCs w:val="22"/>
        </w:rPr>
      </w:pPr>
    </w:p>
    <w:p w14:paraId="1F7BA3EB" w14:textId="2837BE1C" w:rsidR="006B13D8" w:rsidRPr="00552B3A" w:rsidRDefault="00F444C5" w:rsidP="001336B7">
      <w:pPr>
        <w:contextualSpacing/>
        <w:mirrorIndents/>
        <w:rPr>
          <w:rStyle w:val="normaltextrun"/>
          <w:rFonts w:ascii="Arial" w:hAnsi="Arial" w:cs="Arial"/>
          <w:i/>
          <w:iCs/>
          <w:color w:val="000000"/>
          <w:sz w:val="22"/>
          <w:szCs w:val="22"/>
          <w:u w:val="single"/>
          <w:shd w:val="clear" w:color="auto" w:fill="FFFFFF"/>
        </w:rPr>
      </w:pPr>
      <w:r w:rsidRPr="00552B3A">
        <w:rPr>
          <w:rStyle w:val="normaltextrun"/>
          <w:rFonts w:ascii="Arial" w:hAnsi="Arial" w:cs="Arial"/>
          <w:i/>
          <w:iCs/>
          <w:color w:val="000000"/>
          <w:sz w:val="22"/>
          <w:szCs w:val="22"/>
          <w:u w:val="single"/>
          <w:shd w:val="clear" w:color="auto" w:fill="FFFFFF"/>
        </w:rPr>
        <w:t>2</w:t>
      </w:r>
      <w:r w:rsidR="001336B7" w:rsidRPr="00552B3A">
        <w:rPr>
          <w:rStyle w:val="normaltextrun"/>
          <w:rFonts w:ascii="Arial" w:hAnsi="Arial" w:cs="Arial"/>
          <w:i/>
          <w:iCs/>
          <w:color w:val="000000"/>
          <w:sz w:val="22"/>
          <w:szCs w:val="22"/>
          <w:u w:val="single"/>
          <w:shd w:val="clear" w:color="auto" w:fill="FFFFFF"/>
        </w:rPr>
        <w:t>.) Supplemental Results</w:t>
      </w:r>
    </w:p>
    <w:p w14:paraId="7ECEC2D6" w14:textId="7195B6DA" w:rsidR="00574B97" w:rsidRPr="00552B3A" w:rsidRDefault="00F444C5" w:rsidP="00574B97">
      <w:pPr>
        <w:contextualSpacing/>
        <w:mirrorIndents/>
        <w:rPr>
          <w:rFonts w:ascii="Arial" w:hAnsi="Arial" w:cs="Arial"/>
          <w:i/>
          <w:iCs/>
          <w:sz w:val="22"/>
          <w:szCs w:val="22"/>
          <w:u w:val="single"/>
        </w:rPr>
      </w:pPr>
      <w:r w:rsidRPr="00552B3A">
        <w:rPr>
          <w:rFonts w:ascii="Arial" w:hAnsi="Arial" w:cs="Arial"/>
          <w:i/>
          <w:iCs/>
          <w:sz w:val="22"/>
          <w:szCs w:val="22"/>
          <w:u w:val="single"/>
        </w:rPr>
        <w:t>2</w:t>
      </w:r>
      <w:r w:rsidR="00574B97" w:rsidRPr="00552B3A">
        <w:rPr>
          <w:rFonts w:ascii="Arial" w:hAnsi="Arial" w:cs="Arial"/>
          <w:i/>
          <w:iCs/>
          <w:sz w:val="22"/>
          <w:szCs w:val="22"/>
          <w:u w:val="single"/>
        </w:rPr>
        <w:t>.1) Regional r</w:t>
      </w:r>
      <w:r w:rsidR="00361667" w:rsidRPr="00552B3A">
        <w:rPr>
          <w:rFonts w:ascii="Arial" w:hAnsi="Arial" w:cs="Arial"/>
          <w:i/>
          <w:iCs/>
          <w:sz w:val="22"/>
          <w:szCs w:val="22"/>
          <w:u w:val="single"/>
        </w:rPr>
        <w:t>esting-state</w:t>
      </w:r>
      <w:r w:rsidR="00574B97" w:rsidRPr="00552B3A">
        <w:rPr>
          <w:rFonts w:ascii="Arial" w:hAnsi="Arial" w:cs="Arial"/>
          <w:i/>
          <w:iCs/>
          <w:sz w:val="22"/>
          <w:szCs w:val="22"/>
          <w:u w:val="single"/>
        </w:rPr>
        <w:t xml:space="preserve"> activity power</w:t>
      </w:r>
    </w:p>
    <w:p w14:paraId="73F59A0E" w14:textId="0C4AE31D" w:rsidR="00574B97" w:rsidRPr="00552B3A" w:rsidRDefault="00574B97" w:rsidP="00574B97">
      <w:pPr>
        <w:contextualSpacing/>
        <w:mirrorIndents/>
        <w:rPr>
          <w:rFonts w:ascii="Arial" w:hAnsi="Arial" w:cs="Arial"/>
          <w:sz w:val="22"/>
          <w:szCs w:val="22"/>
        </w:rPr>
      </w:pPr>
      <w:bookmarkStart w:id="1" w:name="_Hlk146183799"/>
      <w:r w:rsidRPr="00552B3A">
        <w:rPr>
          <w:rFonts w:ascii="Arial" w:hAnsi="Arial" w:cs="Arial"/>
          <w:sz w:val="22"/>
          <w:szCs w:val="22"/>
        </w:rPr>
        <w:t xml:space="preserve">Supplemental </w:t>
      </w:r>
      <w:r w:rsidR="008058BE" w:rsidRPr="00552B3A">
        <w:rPr>
          <w:rFonts w:ascii="Arial" w:hAnsi="Arial" w:cs="Arial"/>
          <w:sz w:val="22"/>
          <w:szCs w:val="22"/>
        </w:rPr>
        <w:t xml:space="preserve">Figure </w:t>
      </w:r>
      <w:r w:rsidR="00A741C4" w:rsidRPr="00552B3A">
        <w:rPr>
          <w:rFonts w:ascii="Arial" w:hAnsi="Arial" w:cs="Arial"/>
          <w:sz w:val="22"/>
          <w:szCs w:val="22"/>
        </w:rPr>
        <w:t>4</w:t>
      </w:r>
      <w:r w:rsidRPr="00552B3A">
        <w:rPr>
          <w:rFonts w:ascii="Arial" w:hAnsi="Arial" w:cs="Arial"/>
          <w:sz w:val="22"/>
          <w:szCs w:val="22"/>
        </w:rPr>
        <w:t xml:space="preserve"> reflects the same data shown in </w:t>
      </w:r>
      <w:r w:rsidR="00A741C4" w:rsidRPr="00552B3A">
        <w:rPr>
          <w:rFonts w:ascii="Arial" w:hAnsi="Arial" w:cs="Arial"/>
          <w:sz w:val="22"/>
          <w:szCs w:val="22"/>
        </w:rPr>
        <w:t>F</w:t>
      </w:r>
      <w:r w:rsidRPr="00552B3A">
        <w:rPr>
          <w:rFonts w:ascii="Arial" w:hAnsi="Arial" w:cs="Arial"/>
          <w:sz w:val="22"/>
          <w:szCs w:val="22"/>
        </w:rPr>
        <w:t>igure 4</w:t>
      </w:r>
      <w:r w:rsidR="00A741C4" w:rsidRPr="00552B3A">
        <w:rPr>
          <w:rFonts w:ascii="Arial" w:hAnsi="Arial" w:cs="Arial"/>
          <w:sz w:val="22"/>
          <w:szCs w:val="22"/>
        </w:rPr>
        <w:t>c</w:t>
      </w:r>
      <w:r w:rsidRPr="00552B3A">
        <w:rPr>
          <w:rFonts w:ascii="Arial" w:hAnsi="Arial" w:cs="Arial"/>
          <w:sz w:val="22"/>
          <w:szCs w:val="22"/>
        </w:rPr>
        <w:t xml:space="preserve">, reformatted to emphasize topography. </w:t>
      </w:r>
      <w:r w:rsidR="006269E2" w:rsidRPr="00552B3A">
        <w:rPr>
          <w:rFonts w:ascii="Arial" w:hAnsi="Arial" w:cs="Arial"/>
          <w:sz w:val="22"/>
          <w:szCs w:val="22"/>
        </w:rPr>
        <w:t>DOI-induced a</w:t>
      </w:r>
      <w:r w:rsidRPr="00552B3A">
        <w:rPr>
          <w:rFonts w:ascii="Arial" w:hAnsi="Arial" w:cs="Arial"/>
          <w:sz w:val="22"/>
          <w:szCs w:val="22"/>
        </w:rPr>
        <w:t>lterations in power often revealed a spatial structure with increasing power in the anterior-to-posterior and in the lateral-to-medial directions. For instance, under DOI, large increases in ISA power were found in cingulate, frontal, and secondary motor networks while much smaller changes were found in somatosensory and visual networks. These alterations were attenuated under DOI+MDL, for instance, in cingulate and frontal networks</w:t>
      </w:r>
      <w:r w:rsidR="00316AA5" w:rsidRPr="00552B3A">
        <w:rPr>
          <w:rFonts w:ascii="Arial" w:hAnsi="Arial" w:cs="Arial"/>
          <w:sz w:val="22"/>
          <w:szCs w:val="22"/>
        </w:rPr>
        <w:t xml:space="preserve">. </w:t>
      </w:r>
      <w:r w:rsidRPr="00552B3A">
        <w:rPr>
          <w:rFonts w:ascii="Arial" w:hAnsi="Arial" w:cs="Arial"/>
          <w:sz w:val="22"/>
          <w:szCs w:val="22"/>
        </w:rPr>
        <w:t>Additionally, the DOI-induced spatial structure of increasing power in the anterior-to-posterior and in the lateral-to-medial directions, was effectively eliminated with DOI+MDL. Calcium intermediate band power maps revealed similar structure as ISA band but were significantly smaller in magnitude. For instance, DOI and DOI+MDL minimally increased cingulate</w:t>
      </w:r>
      <w:r w:rsidR="00DA15C6" w:rsidRPr="00552B3A">
        <w:rPr>
          <w:rFonts w:ascii="Arial" w:hAnsi="Arial" w:cs="Arial"/>
          <w:sz w:val="22"/>
          <w:szCs w:val="22"/>
        </w:rPr>
        <w:t xml:space="preserve">, </w:t>
      </w:r>
      <w:r w:rsidRPr="00552B3A">
        <w:rPr>
          <w:rFonts w:ascii="Arial" w:hAnsi="Arial" w:cs="Arial"/>
          <w:sz w:val="22"/>
          <w:szCs w:val="22"/>
        </w:rPr>
        <w:t>frontal, and secondary motor networks. Lastly, in the delta-band, DOI increased medial networks, with the largest increases in the cingulate and secondary motor networks</w:t>
      </w:r>
      <w:r w:rsidR="002A27AF" w:rsidRPr="00552B3A">
        <w:rPr>
          <w:rFonts w:ascii="Arial" w:hAnsi="Arial" w:cs="Arial"/>
          <w:sz w:val="22"/>
          <w:szCs w:val="22"/>
        </w:rPr>
        <w:t xml:space="preserve">, </w:t>
      </w:r>
      <w:r w:rsidRPr="00552B3A">
        <w:rPr>
          <w:rFonts w:ascii="Arial" w:hAnsi="Arial" w:cs="Arial"/>
          <w:sz w:val="22"/>
          <w:szCs w:val="22"/>
        </w:rPr>
        <w:t>while DOI+MDL largely reversed these changes</w:t>
      </w:r>
      <w:r w:rsidR="002A27AF" w:rsidRPr="00552B3A">
        <w:rPr>
          <w:rFonts w:ascii="Arial" w:hAnsi="Arial" w:cs="Arial"/>
          <w:sz w:val="22"/>
          <w:szCs w:val="22"/>
        </w:rPr>
        <w:t>.</w:t>
      </w:r>
      <w:r w:rsidRPr="00552B3A">
        <w:rPr>
          <w:rFonts w:ascii="Arial" w:hAnsi="Arial" w:cs="Arial"/>
          <w:sz w:val="22"/>
          <w:szCs w:val="22"/>
        </w:rPr>
        <w:t xml:space="preserve"> </w:t>
      </w:r>
    </w:p>
    <w:bookmarkEnd w:id="1"/>
    <w:p w14:paraId="3023F257" w14:textId="77777777" w:rsidR="00574B97" w:rsidRPr="00552B3A" w:rsidRDefault="00574B97" w:rsidP="00574B97">
      <w:pPr>
        <w:contextualSpacing/>
        <w:mirrorIndents/>
        <w:rPr>
          <w:rFonts w:ascii="Arial" w:hAnsi="Arial" w:cs="Arial"/>
          <w:sz w:val="22"/>
          <w:szCs w:val="22"/>
        </w:rPr>
      </w:pPr>
    </w:p>
    <w:p w14:paraId="6E14B2C4" w14:textId="1E14B930" w:rsidR="00574B97" w:rsidRPr="00552B3A" w:rsidRDefault="00574B97" w:rsidP="00574B97">
      <w:pPr>
        <w:contextualSpacing/>
        <w:mirrorIndents/>
        <w:rPr>
          <w:rFonts w:ascii="Arial" w:hAnsi="Arial" w:cs="Arial"/>
          <w:sz w:val="22"/>
          <w:szCs w:val="22"/>
        </w:rPr>
      </w:pPr>
      <w:bookmarkStart w:id="2" w:name="_Hlk146183802"/>
      <w:r w:rsidRPr="00552B3A">
        <w:rPr>
          <w:rFonts w:ascii="Arial" w:hAnsi="Arial" w:cs="Arial"/>
          <w:sz w:val="22"/>
          <w:szCs w:val="22"/>
        </w:rPr>
        <w:t xml:space="preserve">Hemodynamics reveal differential alterations when compared to calcium. Under DOI, ISA band activity massively increased over the somatosensory networks </w:t>
      </w:r>
      <w:r w:rsidR="00230FC5" w:rsidRPr="00552B3A">
        <w:rPr>
          <w:rFonts w:ascii="Arial" w:hAnsi="Arial" w:cs="Arial"/>
          <w:sz w:val="22"/>
          <w:szCs w:val="22"/>
        </w:rPr>
        <w:t xml:space="preserve">which </w:t>
      </w:r>
      <w:r w:rsidRPr="00552B3A">
        <w:rPr>
          <w:rFonts w:ascii="Arial" w:hAnsi="Arial" w:cs="Arial"/>
          <w:sz w:val="22"/>
          <w:szCs w:val="22"/>
        </w:rPr>
        <w:t xml:space="preserve">was attenuated with DOI+MDL. Under both DOI and DOI+MDL, intermediate band activity largely reflected ISA topography but was decreased by a factor of approximately three. Interestingly, delta-band activity was present in hemodynamic signaling under the DOI condition, with </w:t>
      </w:r>
      <w:r w:rsidR="0045268B" w:rsidRPr="00552B3A">
        <w:rPr>
          <w:rFonts w:ascii="Arial" w:hAnsi="Arial" w:cs="Arial"/>
          <w:sz w:val="22"/>
          <w:szCs w:val="22"/>
        </w:rPr>
        <w:t>large</w:t>
      </w:r>
      <w:r w:rsidRPr="00552B3A">
        <w:rPr>
          <w:rFonts w:ascii="Arial" w:hAnsi="Arial" w:cs="Arial"/>
          <w:sz w:val="22"/>
          <w:szCs w:val="22"/>
        </w:rPr>
        <w:t xml:space="preserve"> increase in the whisker-barrel cortex. These findings in the context of interwoven task and resting-state imaging, suggest a slower degree of recovery to baseline hemodynamic levels after stimulus conditions as well as increased delta-band transduction. </w:t>
      </w:r>
    </w:p>
    <w:bookmarkEnd w:id="2"/>
    <w:p w14:paraId="6FBCC28F" w14:textId="77777777" w:rsidR="005C54EA" w:rsidRPr="00552B3A" w:rsidRDefault="005C54EA" w:rsidP="00574B97">
      <w:pPr>
        <w:contextualSpacing/>
        <w:mirrorIndents/>
        <w:rPr>
          <w:rFonts w:ascii="Arial" w:hAnsi="Arial" w:cs="Arial"/>
          <w:sz w:val="22"/>
          <w:szCs w:val="22"/>
        </w:rPr>
      </w:pPr>
    </w:p>
    <w:p w14:paraId="7D675E07" w14:textId="3DE8CEE0" w:rsidR="005C54EA" w:rsidRPr="00552B3A" w:rsidRDefault="00F444C5" w:rsidP="005C54EA">
      <w:pPr>
        <w:contextualSpacing/>
        <w:mirrorIndents/>
        <w:rPr>
          <w:rFonts w:ascii="Arial" w:hAnsi="Arial" w:cs="Arial"/>
          <w:i/>
          <w:iCs/>
          <w:sz w:val="22"/>
          <w:szCs w:val="22"/>
          <w:u w:val="single"/>
        </w:rPr>
      </w:pPr>
      <w:r w:rsidRPr="00552B3A">
        <w:rPr>
          <w:rFonts w:ascii="Arial" w:hAnsi="Arial" w:cs="Arial"/>
          <w:i/>
          <w:iCs/>
          <w:sz w:val="22"/>
          <w:szCs w:val="22"/>
          <w:u w:val="single"/>
        </w:rPr>
        <w:t>2</w:t>
      </w:r>
      <w:r w:rsidR="005C54EA" w:rsidRPr="00552B3A">
        <w:rPr>
          <w:rFonts w:ascii="Arial" w:hAnsi="Arial" w:cs="Arial"/>
          <w:i/>
          <w:iCs/>
          <w:sz w:val="22"/>
          <w:szCs w:val="22"/>
          <w:u w:val="single"/>
        </w:rPr>
        <w:t>.2) Regional r</w:t>
      </w:r>
      <w:r w:rsidR="00361667" w:rsidRPr="00552B3A">
        <w:rPr>
          <w:rFonts w:ascii="Arial" w:hAnsi="Arial" w:cs="Arial"/>
          <w:i/>
          <w:iCs/>
          <w:sz w:val="22"/>
          <w:szCs w:val="22"/>
          <w:u w:val="single"/>
        </w:rPr>
        <w:t>esting-state</w:t>
      </w:r>
      <w:r w:rsidR="005C54EA" w:rsidRPr="00552B3A">
        <w:rPr>
          <w:rFonts w:ascii="Arial" w:hAnsi="Arial" w:cs="Arial"/>
          <w:i/>
          <w:iCs/>
          <w:sz w:val="22"/>
          <w:szCs w:val="22"/>
          <w:u w:val="single"/>
        </w:rPr>
        <w:t xml:space="preserve"> neurovascular coupling</w:t>
      </w:r>
    </w:p>
    <w:p w14:paraId="1EE2E8E1" w14:textId="77777777" w:rsidR="005C54EA" w:rsidRPr="00552B3A" w:rsidRDefault="005C54EA" w:rsidP="005C54EA">
      <w:pPr>
        <w:contextualSpacing/>
        <w:mirrorIndents/>
        <w:rPr>
          <w:rFonts w:ascii="Arial" w:hAnsi="Arial" w:cs="Arial"/>
          <w:color w:val="000000" w:themeColor="text1"/>
          <w:sz w:val="22"/>
          <w:szCs w:val="22"/>
        </w:rPr>
      </w:pPr>
      <w:r w:rsidRPr="00552B3A">
        <w:rPr>
          <w:rFonts w:ascii="Arial" w:hAnsi="Arial" w:cs="Arial"/>
          <w:color w:val="000000" w:themeColor="text1"/>
          <w:sz w:val="22"/>
          <w:szCs w:val="22"/>
        </w:rPr>
        <w:t>Prior to administration of drugs, HRFs varied across the cortex (</w:t>
      </w:r>
      <w:r w:rsidRPr="00552B3A">
        <w:rPr>
          <w:rFonts w:ascii="Arial" w:hAnsi="Arial" w:cs="Arial"/>
          <w:b/>
          <w:bCs/>
          <w:color w:val="000000" w:themeColor="text1"/>
          <w:sz w:val="22"/>
          <w:szCs w:val="22"/>
        </w:rPr>
        <w:t>Fig. S5a</w:t>
      </w:r>
      <w:r w:rsidRPr="00552B3A">
        <w:rPr>
          <w:rFonts w:ascii="Arial" w:hAnsi="Arial" w:cs="Arial"/>
          <w:color w:val="000000" w:themeColor="text1"/>
          <w:sz w:val="22"/>
          <w:szCs w:val="22"/>
        </w:rPr>
        <w:t>, left). Strong calcium-to-hemodynamic coupling (reflected in higher peaks in the HRF) was observed in somatosensory and parietal regions; weaker coupling was observed in frontal, cingulate, and retrosplenial regions. After administering DOI, HRFs and TFs differed across the cortex (</w:t>
      </w:r>
      <w:r w:rsidRPr="00552B3A">
        <w:rPr>
          <w:rFonts w:ascii="Arial" w:hAnsi="Arial" w:cs="Arial"/>
          <w:b/>
          <w:bCs/>
          <w:color w:val="000000" w:themeColor="text1"/>
          <w:sz w:val="22"/>
          <w:szCs w:val="22"/>
        </w:rPr>
        <w:t xml:space="preserve">Fig. </w:t>
      </w:r>
      <w:r w:rsidRPr="00552B3A">
        <w:rPr>
          <w:rFonts w:ascii="Arial" w:hAnsi="Arial" w:cs="Arial"/>
          <w:b/>
          <w:bCs/>
          <w:color w:val="000000" w:themeColor="text1"/>
          <w:sz w:val="22"/>
          <w:szCs w:val="22"/>
        </w:rPr>
        <w:lastRenderedPageBreak/>
        <w:t>S5</w:t>
      </w:r>
      <w:r w:rsidRPr="00552B3A">
        <w:rPr>
          <w:rFonts w:ascii="Arial" w:hAnsi="Arial" w:cs="Arial"/>
          <w:color w:val="000000" w:themeColor="text1"/>
          <w:sz w:val="22"/>
          <w:szCs w:val="22"/>
        </w:rPr>
        <w:t xml:space="preserve">). As reflected in global HRF measures (main text </w:t>
      </w:r>
      <w:r w:rsidRPr="00552B3A">
        <w:rPr>
          <w:rFonts w:ascii="Arial" w:hAnsi="Arial" w:cs="Arial"/>
          <w:b/>
          <w:bCs/>
          <w:color w:val="000000" w:themeColor="text1"/>
          <w:sz w:val="22"/>
          <w:szCs w:val="22"/>
        </w:rPr>
        <w:t>Fig. 5a</w:t>
      </w:r>
      <w:r w:rsidRPr="00552B3A">
        <w:rPr>
          <w:rFonts w:ascii="Arial" w:hAnsi="Arial" w:cs="Arial"/>
          <w:color w:val="000000" w:themeColor="text1"/>
          <w:sz w:val="22"/>
          <w:szCs w:val="22"/>
        </w:rPr>
        <w:t>), DOI caused HRFs to deviate from canonical form ubiquitously across the cortex (</w:t>
      </w:r>
      <w:r w:rsidRPr="00552B3A">
        <w:rPr>
          <w:rFonts w:ascii="Arial" w:hAnsi="Arial" w:cs="Arial"/>
          <w:b/>
          <w:bCs/>
          <w:color w:val="000000" w:themeColor="text1"/>
          <w:sz w:val="22"/>
          <w:szCs w:val="22"/>
        </w:rPr>
        <w:t>Fig. S5a</w:t>
      </w:r>
      <w:r w:rsidRPr="00552B3A">
        <w:rPr>
          <w:rFonts w:ascii="Arial" w:hAnsi="Arial" w:cs="Arial"/>
          <w:color w:val="000000" w:themeColor="text1"/>
          <w:sz w:val="22"/>
          <w:szCs w:val="22"/>
        </w:rPr>
        <w:t>, middle). Moreover, following administration of DOI, HRFs were narrower (</w:t>
      </w:r>
      <w:r w:rsidRPr="00552B3A">
        <w:rPr>
          <w:rFonts w:ascii="Arial" w:hAnsi="Arial" w:cs="Arial"/>
          <w:i/>
          <w:iCs/>
          <w:color w:val="000000" w:themeColor="text1"/>
          <w:sz w:val="22"/>
          <w:szCs w:val="22"/>
        </w:rPr>
        <w:t>i.e.</w:t>
      </w:r>
      <w:r w:rsidRPr="00552B3A">
        <w:rPr>
          <w:rFonts w:ascii="Arial" w:hAnsi="Arial" w:cs="Arial"/>
          <w:color w:val="000000" w:themeColor="text1"/>
          <w:sz w:val="22"/>
          <w:szCs w:val="22"/>
        </w:rPr>
        <w:t>, more prompt) and calcium-to-hemodynamics coupling was stronger in somatosensory and parietal regions. Furthermore, after DOI, all networks exhibited a broadening of spectral content in frequencies approaching 1 Hz (</w:t>
      </w:r>
      <w:r w:rsidRPr="00552B3A">
        <w:rPr>
          <w:rFonts w:ascii="Arial" w:hAnsi="Arial" w:cs="Arial"/>
          <w:b/>
          <w:bCs/>
          <w:color w:val="000000" w:themeColor="text1"/>
          <w:sz w:val="22"/>
          <w:szCs w:val="22"/>
        </w:rPr>
        <w:t>Fig. S5b</w:t>
      </w:r>
      <w:r w:rsidRPr="00552B3A">
        <w:rPr>
          <w:rFonts w:ascii="Arial" w:hAnsi="Arial" w:cs="Arial"/>
          <w:color w:val="000000" w:themeColor="text1"/>
          <w:sz w:val="22"/>
          <w:szCs w:val="22"/>
        </w:rPr>
        <w:t xml:space="preserve">, middle). As reflected in other measures (main text </w:t>
      </w:r>
      <w:r w:rsidRPr="00552B3A">
        <w:rPr>
          <w:rFonts w:ascii="Arial" w:hAnsi="Arial" w:cs="Arial"/>
          <w:b/>
          <w:bCs/>
          <w:color w:val="000000" w:themeColor="text1"/>
          <w:sz w:val="22"/>
          <w:szCs w:val="22"/>
        </w:rPr>
        <w:t>Figs. 2-5</w:t>
      </w:r>
      <w:r w:rsidRPr="00552B3A">
        <w:rPr>
          <w:rFonts w:ascii="Arial" w:hAnsi="Arial" w:cs="Arial"/>
          <w:color w:val="000000" w:themeColor="text1"/>
          <w:sz w:val="22"/>
          <w:szCs w:val="22"/>
        </w:rPr>
        <w:t>), DOI+MDL HRFs and TFs closely resembled characteristics following saline.</w:t>
      </w:r>
    </w:p>
    <w:p w14:paraId="2176EB2D" w14:textId="77777777" w:rsidR="00A429EF" w:rsidRPr="00552B3A" w:rsidRDefault="00A429EF" w:rsidP="005C54EA">
      <w:pPr>
        <w:contextualSpacing/>
        <w:mirrorIndents/>
        <w:rPr>
          <w:rFonts w:ascii="Arial" w:hAnsi="Arial" w:cs="Arial"/>
          <w:color w:val="000000" w:themeColor="text1"/>
          <w:sz w:val="22"/>
          <w:szCs w:val="22"/>
        </w:rPr>
      </w:pPr>
    </w:p>
    <w:p w14:paraId="5D1104F4" w14:textId="2D6B7C7B" w:rsidR="00F444C5" w:rsidRPr="00552B3A" w:rsidRDefault="00F444C5" w:rsidP="00F444C5">
      <w:pPr>
        <w:rPr>
          <w:rFonts w:ascii="Arial" w:hAnsi="Arial" w:cs="Arial"/>
          <w:i/>
          <w:iCs/>
          <w:sz w:val="22"/>
          <w:szCs w:val="22"/>
          <w:u w:val="single"/>
        </w:rPr>
      </w:pPr>
      <w:r w:rsidRPr="00552B3A">
        <w:rPr>
          <w:rFonts w:ascii="Arial" w:hAnsi="Arial" w:cs="Arial"/>
          <w:i/>
          <w:iCs/>
          <w:sz w:val="22"/>
          <w:szCs w:val="22"/>
          <w:u w:val="single"/>
        </w:rPr>
        <w:t>2.3) Lagged cross-covariance analysis</w:t>
      </w:r>
    </w:p>
    <w:p w14:paraId="70F7DFD3" w14:textId="77777777" w:rsidR="00F444C5" w:rsidRPr="00552B3A" w:rsidRDefault="00F444C5" w:rsidP="00F444C5">
      <w:pPr>
        <w:contextualSpacing/>
        <w:mirrorIndents/>
        <w:rPr>
          <w:rFonts w:ascii="Arial" w:hAnsi="Arial" w:cs="Arial"/>
          <w:sz w:val="22"/>
          <w:szCs w:val="22"/>
        </w:rPr>
      </w:pPr>
      <w:r w:rsidRPr="00552B3A">
        <w:rPr>
          <w:rFonts w:ascii="Arial" w:hAnsi="Arial" w:cs="Arial"/>
          <w:sz w:val="22"/>
          <w:szCs w:val="22"/>
        </w:rPr>
        <w:t>Global (</w:t>
      </w:r>
      <w:r w:rsidRPr="00552B3A">
        <w:rPr>
          <w:rFonts w:ascii="Arial" w:hAnsi="Arial" w:cs="Arial"/>
          <w:b/>
          <w:bCs/>
          <w:sz w:val="22"/>
          <w:szCs w:val="22"/>
        </w:rPr>
        <w:t>Fig. S6</w:t>
      </w:r>
      <w:r w:rsidRPr="00552B3A">
        <w:rPr>
          <w:rFonts w:ascii="Arial" w:hAnsi="Arial" w:cs="Arial"/>
          <w:sz w:val="22"/>
          <w:szCs w:val="22"/>
        </w:rPr>
        <w:t>) and regional (</w:t>
      </w:r>
      <w:r w:rsidRPr="00552B3A">
        <w:rPr>
          <w:rFonts w:ascii="Arial" w:hAnsi="Arial" w:cs="Arial"/>
          <w:b/>
          <w:bCs/>
          <w:sz w:val="22"/>
          <w:szCs w:val="22"/>
        </w:rPr>
        <w:t>Fig. S7</w:t>
      </w:r>
      <w:r w:rsidRPr="00552B3A">
        <w:rPr>
          <w:rFonts w:ascii="Arial" w:hAnsi="Arial" w:cs="Arial"/>
          <w:sz w:val="22"/>
          <w:szCs w:val="22"/>
        </w:rPr>
        <w:t xml:space="preserve">) lagged cross-covariance functions (CCF) and coherence were calculated to better understand the observed resting-state changes in the relationship between calcium and total hemoglobin. </w:t>
      </w:r>
    </w:p>
    <w:p w14:paraId="3F21C3E2" w14:textId="77777777" w:rsidR="001336B7" w:rsidRPr="00552B3A" w:rsidRDefault="001336B7">
      <w:pPr>
        <w:rPr>
          <w:rFonts w:ascii="Arial" w:hAnsi="Arial" w:cs="Arial"/>
          <w:sz w:val="22"/>
          <w:szCs w:val="22"/>
        </w:rPr>
      </w:pPr>
    </w:p>
    <w:p w14:paraId="74EE590B" w14:textId="414FD5B9" w:rsidR="0040218B" w:rsidRPr="00552B3A" w:rsidRDefault="0030127D" w:rsidP="0040218B">
      <w:pPr>
        <w:contextualSpacing/>
        <w:mirrorIndents/>
        <w:rPr>
          <w:rFonts w:ascii="Arial" w:hAnsi="Arial" w:cs="Arial"/>
          <w:i/>
          <w:iCs/>
          <w:sz w:val="22"/>
          <w:szCs w:val="22"/>
          <w:u w:val="single"/>
        </w:rPr>
      </w:pPr>
      <w:r w:rsidRPr="00552B3A">
        <w:rPr>
          <w:rFonts w:ascii="Arial" w:hAnsi="Arial" w:cs="Arial"/>
          <w:i/>
          <w:iCs/>
          <w:sz w:val="22"/>
          <w:szCs w:val="22"/>
          <w:u w:val="single"/>
        </w:rPr>
        <w:t>2.</w:t>
      </w:r>
      <w:r w:rsidR="00FF0BED" w:rsidRPr="00552B3A">
        <w:rPr>
          <w:rFonts w:ascii="Arial" w:hAnsi="Arial" w:cs="Arial"/>
          <w:i/>
          <w:iCs/>
          <w:sz w:val="22"/>
          <w:szCs w:val="22"/>
          <w:u w:val="single"/>
        </w:rPr>
        <w:t>3</w:t>
      </w:r>
      <w:r w:rsidR="0040218B" w:rsidRPr="00552B3A">
        <w:rPr>
          <w:rFonts w:ascii="Arial" w:hAnsi="Arial" w:cs="Arial"/>
          <w:i/>
          <w:iCs/>
          <w:sz w:val="22"/>
          <w:szCs w:val="22"/>
          <w:u w:val="single"/>
        </w:rPr>
        <w:t>.1) Global lagged c</w:t>
      </w:r>
      <w:r w:rsidR="00E64188" w:rsidRPr="00552B3A">
        <w:rPr>
          <w:rFonts w:ascii="Arial" w:hAnsi="Arial" w:cs="Arial"/>
          <w:i/>
          <w:iCs/>
          <w:sz w:val="22"/>
          <w:szCs w:val="22"/>
          <w:u w:val="single"/>
        </w:rPr>
        <w:t>ross-covariance</w:t>
      </w:r>
      <w:r w:rsidR="0040218B" w:rsidRPr="00552B3A">
        <w:rPr>
          <w:rFonts w:ascii="Arial" w:hAnsi="Arial" w:cs="Arial"/>
          <w:i/>
          <w:iCs/>
          <w:sz w:val="22"/>
          <w:szCs w:val="22"/>
          <w:u w:val="single"/>
        </w:rPr>
        <w:t xml:space="preserve"> analysis</w:t>
      </w:r>
    </w:p>
    <w:p w14:paraId="439B6C76" w14:textId="16070277" w:rsidR="0040218B" w:rsidRPr="00552B3A" w:rsidRDefault="0040218B" w:rsidP="0040218B">
      <w:pPr>
        <w:contextualSpacing/>
        <w:mirrorIndents/>
        <w:rPr>
          <w:rFonts w:ascii="Arial" w:hAnsi="Arial" w:cs="Arial"/>
          <w:sz w:val="22"/>
          <w:szCs w:val="22"/>
        </w:rPr>
      </w:pPr>
      <w:r w:rsidRPr="00552B3A">
        <w:rPr>
          <w:rFonts w:ascii="Arial" w:hAnsi="Arial" w:cs="Arial"/>
          <w:sz w:val="22"/>
          <w:szCs w:val="22"/>
        </w:rPr>
        <w:t>Cortical averaged CCFs</w:t>
      </w:r>
      <w:r w:rsidRPr="00552B3A" w:rsidDel="00EB6C3F">
        <w:rPr>
          <w:rFonts w:ascii="Arial" w:hAnsi="Arial" w:cs="Arial"/>
          <w:sz w:val="22"/>
          <w:szCs w:val="22"/>
        </w:rPr>
        <w:t xml:space="preserve"> </w:t>
      </w:r>
      <w:r w:rsidRPr="00552B3A">
        <w:rPr>
          <w:rFonts w:ascii="Arial" w:hAnsi="Arial" w:cs="Arial"/>
          <w:sz w:val="22"/>
          <w:szCs w:val="22"/>
        </w:rPr>
        <w:t>were compared before and after injection of all drugs (</w:t>
      </w:r>
      <w:r w:rsidRPr="00552B3A">
        <w:rPr>
          <w:rFonts w:ascii="Arial" w:hAnsi="Arial" w:cs="Arial"/>
          <w:b/>
          <w:bCs/>
          <w:sz w:val="22"/>
          <w:szCs w:val="22"/>
        </w:rPr>
        <w:t>Fig. S6a</w:t>
      </w:r>
      <w:r w:rsidRPr="00552B3A">
        <w:rPr>
          <w:rFonts w:ascii="Arial" w:hAnsi="Arial" w:cs="Arial"/>
          <w:sz w:val="22"/>
          <w:szCs w:val="22"/>
        </w:rPr>
        <w:t>). Before injection of any drug (“Pre”), global CCFs reflected a simple, causal (</w:t>
      </w:r>
      <w:r w:rsidRPr="00552B3A">
        <w:rPr>
          <w:rFonts w:ascii="Arial" w:hAnsi="Arial" w:cs="Arial"/>
          <w:i/>
          <w:iCs/>
          <w:sz w:val="22"/>
          <w:szCs w:val="22"/>
        </w:rPr>
        <w:t>i.e.</w:t>
      </w:r>
      <w:r w:rsidRPr="00552B3A">
        <w:rPr>
          <w:rFonts w:ascii="Arial" w:hAnsi="Arial" w:cs="Arial"/>
          <w:sz w:val="22"/>
          <w:szCs w:val="22"/>
        </w:rPr>
        <w:t xml:space="preserve">, </w:t>
      </w:r>
      <w:r w:rsidR="003907AC" w:rsidRPr="00552B3A">
        <w:rPr>
          <w:rFonts w:ascii="Arial" w:hAnsi="Arial" w:cs="Arial"/>
          <w:sz w:val="22"/>
          <w:szCs w:val="22"/>
        </w:rPr>
        <w:t>calcium leading hemodynamics</w:t>
      </w:r>
      <w:r w:rsidRPr="00552B3A">
        <w:rPr>
          <w:rFonts w:ascii="Arial" w:hAnsi="Arial" w:cs="Arial"/>
          <w:sz w:val="22"/>
          <w:szCs w:val="22"/>
        </w:rPr>
        <w:t xml:space="preserve">) relation. </w:t>
      </w:r>
      <w:r w:rsidR="00C71D32" w:rsidRPr="00552B3A">
        <w:rPr>
          <w:rFonts w:ascii="Arial" w:hAnsi="Arial" w:cs="Arial"/>
          <w:sz w:val="22"/>
          <w:szCs w:val="22"/>
        </w:rPr>
        <w:t>I</w:t>
      </w:r>
      <w:r w:rsidR="003C4E11" w:rsidRPr="00552B3A">
        <w:rPr>
          <w:rFonts w:ascii="Arial" w:hAnsi="Arial" w:cs="Arial"/>
          <w:sz w:val="22"/>
          <w:szCs w:val="22"/>
        </w:rPr>
        <w:t>njection of s</w:t>
      </w:r>
      <w:r w:rsidRPr="00552B3A">
        <w:rPr>
          <w:rFonts w:ascii="Arial" w:hAnsi="Arial" w:cs="Arial"/>
          <w:sz w:val="22"/>
          <w:szCs w:val="22"/>
        </w:rPr>
        <w:t xml:space="preserve">aline and DOI+MDL (“Post”) minimally altered this relation. </w:t>
      </w:r>
      <w:r w:rsidR="001D2CDC" w:rsidRPr="00552B3A">
        <w:rPr>
          <w:rFonts w:ascii="Arial" w:hAnsi="Arial" w:cs="Arial"/>
          <w:sz w:val="22"/>
          <w:szCs w:val="22"/>
        </w:rPr>
        <w:t xml:space="preserve">DOI decreased </w:t>
      </w:r>
      <w:r w:rsidR="00820A35" w:rsidRPr="00552B3A">
        <w:rPr>
          <w:rFonts w:ascii="Arial" w:hAnsi="Arial" w:cs="Arial"/>
          <w:sz w:val="22"/>
          <w:szCs w:val="22"/>
        </w:rPr>
        <w:t>calcium</w:t>
      </w:r>
      <w:r w:rsidR="001D2CDC" w:rsidRPr="00552B3A">
        <w:rPr>
          <w:rFonts w:ascii="Arial" w:hAnsi="Arial" w:cs="Arial"/>
          <w:sz w:val="22"/>
          <w:szCs w:val="22"/>
        </w:rPr>
        <w:t xml:space="preserve">-to-hemodynamic </w:t>
      </w:r>
      <w:r w:rsidR="009B24D1" w:rsidRPr="00552B3A">
        <w:rPr>
          <w:rFonts w:ascii="Arial" w:hAnsi="Arial" w:cs="Arial"/>
          <w:sz w:val="22"/>
          <w:szCs w:val="22"/>
        </w:rPr>
        <w:t xml:space="preserve">lagged </w:t>
      </w:r>
      <w:r w:rsidR="00E37B6C" w:rsidRPr="00552B3A">
        <w:rPr>
          <w:rFonts w:ascii="Arial" w:hAnsi="Arial" w:cs="Arial"/>
          <w:sz w:val="22"/>
          <w:szCs w:val="22"/>
        </w:rPr>
        <w:t>synchrony</w:t>
      </w:r>
      <w:r w:rsidR="00520606" w:rsidRPr="00552B3A">
        <w:rPr>
          <w:rFonts w:ascii="Arial" w:hAnsi="Arial" w:cs="Arial"/>
          <w:sz w:val="22"/>
          <w:szCs w:val="22"/>
        </w:rPr>
        <w:t xml:space="preserve">, </w:t>
      </w:r>
      <w:r w:rsidR="00682E2C" w:rsidRPr="00552B3A">
        <w:rPr>
          <w:rFonts w:ascii="Arial" w:hAnsi="Arial" w:cs="Arial"/>
          <w:sz w:val="22"/>
          <w:szCs w:val="22"/>
        </w:rPr>
        <w:t xml:space="preserve">as </w:t>
      </w:r>
      <w:r w:rsidR="00820A35" w:rsidRPr="00552B3A">
        <w:rPr>
          <w:rFonts w:ascii="Arial" w:hAnsi="Arial" w:cs="Arial"/>
          <w:sz w:val="22"/>
          <w:szCs w:val="22"/>
        </w:rPr>
        <w:t xml:space="preserve">reflected in </w:t>
      </w:r>
      <w:r w:rsidR="00007F06" w:rsidRPr="00552B3A">
        <w:rPr>
          <w:rFonts w:ascii="Arial" w:hAnsi="Arial" w:cs="Arial"/>
          <w:sz w:val="22"/>
          <w:szCs w:val="22"/>
        </w:rPr>
        <w:t xml:space="preserve">a </w:t>
      </w:r>
      <w:r w:rsidR="007536AD" w:rsidRPr="00552B3A">
        <w:rPr>
          <w:rFonts w:ascii="Arial" w:hAnsi="Arial" w:cs="Arial"/>
          <w:sz w:val="22"/>
          <w:szCs w:val="22"/>
        </w:rPr>
        <w:t>decreased</w:t>
      </w:r>
      <w:r w:rsidR="007B2953" w:rsidRPr="00552B3A">
        <w:rPr>
          <w:rFonts w:ascii="Arial" w:hAnsi="Arial" w:cs="Arial"/>
          <w:sz w:val="22"/>
          <w:szCs w:val="22"/>
        </w:rPr>
        <w:t xml:space="preserve"> CCF</w:t>
      </w:r>
      <w:r w:rsidR="00820A35" w:rsidRPr="00552B3A">
        <w:rPr>
          <w:rFonts w:ascii="Arial" w:hAnsi="Arial" w:cs="Arial"/>
          <w:sz w:val="22"/>
          <w:szCs w:val="22"/>
        </w:rPr>
        <w:t xml:space="preserve"> </w:t>
      </w:r>
      <w:r w:rsidR="007536AD" w:rsidRPr="00552B3A">
        <w:rPr>
          <w:rFonts w:ascii="Arial" w:hAnsi="Arial" w:cs="Arial"/>
          <w:color w:val="000000" w:themeColor="text1"/>
          <w:sz w:val="22"/>
          <w:szCs w:val="22"/>
        </w:rPr>
        <w:t>peak value</w:t>
      </w:r>
      <w:r w:rsidR="008F5A70" w:rsidRPr="00552B3A">
        <w:rPr>
          <w:rFonts w:ascii="Arial" w:hAnsi="Arial" w:cs="Arial"/>
          <w:sz w:val="22"/>
          <w:szCs w:val="22"/>
        </w:rPr>
        <w:t xml:space="preserve">. </w:t>
      </w:r>
      <w:r w:rsidR="001D2CDC" w:rsidRPr="00552B3A">
        <w:rPr>
          <w:rFonts w:ascii="Arial" w:hAnsi="Arial" w:cs="Arial"/>
          <w:sz w:val="22"/>
          <w:szCs w:val="22"/>
        </w:rPr>
        <w:t xml:space="preserve">Moreover, </w:t>
      </w:r>
      <w:r w:rsidR="005F193A" w:rsidRPr="00552B3A">
        <w:rPr>
          <w:rFonts w:ascii="Arial" w:hAnsi="Arial" w:cs="Arial"/>
          <w:sz w:val="22"/>
          <w:szCs w:val="22"/>
        </w:rPr>
        <w:t xml:space="preserve">the </w:t>
      </w:r>
      <w:r w:rsidR="00D14113" w:rsidRPr="00552B3A">
        <w:rPr>
          <w:rFonts w:ascii="Arial" w:hAnsi="Arial" w:cs="Arial"/>
          <w:sz w:val="22"/>
          <w:szCs w:val="22"/>
        </w:rPr>
        <w:t xml:space="preserve">DOI </w:t>
      </w:r>
      <w:r w:rsidR="00E90B9D" w:rsidRPr="00552B3A">
        <w:rPr>
          <w:rFonts w:ascii="Arial" w:hAnsi="Arial" w:cs="Arial"/>
          <w:sz w:val="22"/>
          <w:szCs w:val="22"/>
        </w:rPr>
        <w:t>global CCF</w:t>
      </w:r>
      <w:r w:rsidR="00AE06FF" w:rsidRPr="00552B3A">
        <w:rPr>
          <w:rFonts w:ascii="Arial" w:hAnsi="Arial" w:cs="Arial"/>
          <w:sz w:val="22"/>
          <w:szCs w:val="22"/>
        </w:rPr>
        <w:t xml:space="preserve"> </w:t>
      </w:r>
      <w:r w:rsidR="00E90B9D" w:rsidRPr="00552B3A">
        <w:rPr>
          <w:rFonts w:ascii="Arial" w:hAnsi="Arial" w:cs="Arial"/>
          <w:sz w:val="22"/>
          <w:szCs w:val="22"/>
        </w:rPr>
        <w:t xml:space="preserve">decayed faster, indicating a dampening of low-frequency coupling. </w:t>
      </w:r>
      <w:r w:rsidR="00193625" w:rsidRPr="00552B3A">
        <w:rPr>
          <w:rFonts w:ascii="Arial" w:hAnsi="Arial" w:cs="Arial"/>
          <w:sz w:val="22"/>
          <w:szCs w:val="22"/>
        </w:rPr>
        <w:t>T</w:t>
      </w:r>
      <w:r w:rsidRPr="00552B3A">
        <w:rPr>
          <w:rFonts w:ascii="Arial" w:hAnsi="Arial" w:cs="Arial"/>
          <w:sz w:val="22"/>
          <w:szCs w:val="22"/>
        </w:rPr>
        <w:t xml:space="preserve">he CCF observed in the DOI condition included a </w:t>
      </w:r>
      <w:r w:rsidR="006C7A61" w:rsidRPr="00552B3A">
        <w:rPr>
          <w:rFonts w:ascii="Arial" w:hAnsi="Arial" w:cs="Arial"/>
          <w:sz w:val="22"/>
          <w:szCs w:val="22"/>
        </w:rPr>
        <w:t>notch</w:t>
      </w:r>
      <w:r w:rsidRPr="00552B3A">
        <w:rPr>
          <w:rFonts w:ascii="Arial" w:hAnsi="Arial" w:cs="Arial"/>
          <w:sz w:val="22"/>
          <w:szCs w:val="22"/>
        </w:rPr>
        <w:t xml:space="preserve"> </w:t>
      </w:r>
      <w:r w:rsidR="00DE5B4D" w:rsidRPr="00552B3A">
        <w:rPr>
          <w:rFonts w:ascii="Arial" w:hAnsi="Arial" w:cs="Arial"/>
          <w:sz w:val="22"/>
          <w:szCs w:val="22"/>
        </w:rPr>
        <w:t xml:space="preserve">at </w:t>
      </w:r>
      <w:r w:rsidRPr="00552B3A">
        <w:rPr>
          <w:rFonts w:ascii="Arial" w:hAnsi="Arial" w:cs="Arial"/>
          <w:sz w:val="22"/>
          <w:szCs w:val="22"/>
        </w:rPr>
        <w:t>zero lag (</w:t>
      </w:r>
      <w:r w:rsidR="006F60DB" w:rsidRPr="00552B3A">
        <w:rPr>
          <w:rFonts w:ascii="Arial" w:hAnsi="Arial" w:cs="Arial"/>
          <w:b/>
          <w:bCs/>
          <w:sz w:val="22"/>
          <w:szCs w:val="22"/>
        </w:rPr>
        <w:t>Fig. S6a</w:t>
      </w:r>
      <w:r w:rsidR="006F60DB" w:rsidRPr="00552B3A">
        <w:rPr>
          <w:rFonts w:ascii="Arial" w:hAnsi="Arial" w:cs="Arial"/>
          <w:sz w:val="22"/>
          <w:szCs w:val="22"/>
        </w:rPr>
        <w:t xml:space="preserve">, middle, </w:t>
      </w:r>
      <w:r w:rsidRPr="00552B3A">
        <w:rPr>
          <w:rFonts w:ascii="Arial" w:hAnsi="Arial" w:cs="Arial"/>
          <w:sz w:val="22"/>
          <w:szCs w:val="22"/>
        </w:rPr>
        <w:t>black arrow). The significance of this feature is uncertain</w:t>
      </w:r>
      <w:r w:rsidR="008D746C" w:rsidRPr="00552B3A">
        <w:rPr>
          <w:rFonts w:ascii="Arial" w:hAnsi="Arial" w:cs="Arial"/>
          <w:sz w:val="22"/>
          <w:szCs w:val="22"/>
        </w:rPr>
        <w:t>;</w:t>
      </w:r>
      <w:r w:rsidRPr="00552B3A">
        <w:rPr>
          <w:rFonts w:ascii="Arial" w:hAnsi="Arial" w:cs="Arial"/>
          <w:sz w:val="22"/>
          <w:szCs w:val="22"/>
        </w:rPr>
        <w:t xml:space="preserve"> </w:t>
      </w:r>
      <w:r w:rsidR="008D746C" w:rsidRPr="00552B3A">
        <w:rPr>
          <w:rFonts w:ascii="Arial" w:hAnsi="Arial" w:cs="Arial"/>
          <w:sz w:val="22"/>
          <w:szCs w:val="22"/>
        </w:rPr>
        <w:t>a</w:t>
      </w:r>
      <w:r w:rsidRPr="00552B3A">
        <w:rPr>
          <w:rFonts w:ascii="Arial" w:hAnsi="Arial" w:cs="Arial"/>
          <w:sz w:val="22"/>
          <w:szCs w:val="22"/>
        </w:rPr>
        <w:t xml:space="preserve"> hypothetical account of this feature is discussed </w:t>
      </w:r>
      <w:r w:rsidR="00091438" w:rsidRPr="00552B3A">
        <w:rPr>
          <w:rFonts w:ascii="Arial" w:hAnsi="Arial" w:cs="Arial"/>
          <w:sz w:val="22"/>
          <w:szCs w:val="22"/>
        </w:rPr>
        <w:t xml:space="preserve">in </w:t>
      </w:r>
      <w:r w:rsidR="001A7C0D" w:rsidRPr="00552B3A">
        <w:rPr>
          <w:rFonts w:ascii="Arial" w:hAnsi="Arial" w:cs="Arial"/>
          <w:sz w:val="22"/>
          <w:szCs w:val="22"/>
        </w:rPr>
        <w:t xml:space="preserve">main text, section </w:t>
      </w:r>
      <w:r w:rsidR="00E87771" w:rsidRPr="00552B3A">
        <w:rPr>
          <w:rFonts w:ascii="Arial" w:hAnsi="Arial" w:cs="Arial"/>
          <w:sz w:val="22"/>
          <w:szCs w:val="22"/>
        </w:rPr>
        <w:t>5</w:t>
      </w:r>
      <w:r w:rsidR="001A7C0D" w:rsidRPr="00552B3A">
        <w:rPr>
          <w:rFonts w:ascii="Arial" w:hAnsi="Arial" w:cs="Arial"/>
          <w:sz w:val="22"/>
          <w:szCs w:val="22"/>
        </w:rPr>
        <w:t>.3.1</w:t>
      </w:r>
      <w:r w:rsidRPr="00552B3A">
        <w:rPr>
          <w:rFonts w:ascii="Arial" w:hAnsi="Arial" w:cs="Arial"/>
          <w:sz w:val="22"/>
          <w:szCs w:val="22"/>
        </w:rPr>
        <w:t>.</w:t>
      </w:r>
    </w:p>
    <w:p w14:paraId="3C9CB340" w14:textId="77777777" w:rsidR="0040218B" w:rsidRPr="00552B3A" w:rsidRDefault="0040218B" w:rsidP="0040218B">
      <w:pPr>
        <w:contextualSpacing/>
        <w:mirrorIndents/>
        <w:rPr>
          <w:rFonts w:ascii="Arial" w:hAnsi="Arial" w:cs="Arial"/>
          <w:sz w:val="22"/>
          <w:szCs w:val="22"/>
        </w:rPr>
      </w:pPr>
    </w:p>
    <w:p w14:paraId="6295638F" w14:textId="3FE695AE" w:rsidR="0040218B" w:rsidRPr="00552B3A" w:rsidRDefault="0040218B" w:rsidP="0040218B">
      <w:pPr>
        <w:contextualSpacing/>
        <w:mirrorIndents/>
        <w:rPr>
          <w:rFonts w:ascii="Arial" w:hAnsi="Arial" w:cs="Arial"/>
          <w:sz w:val="22"/>
          <w:szCs w:val="22"/>
        </w:rPr>
      </w:pPr>
      <w:r w:rsidRPr="00552B3A">
        <w:rPr>
          <w:rFonts w:ascii="Arial" w:hAnsi="Arial" w:cs="Arial"/>
          <w:sz w:val="22"/>
          <w:szCs w:val="22"/>
        </w:rPr>
        <w:t xml:space="preserve">Magnitude squared coherence functions (MSC) were calculated to assess the frequency content </w:t>
      </w:r>
      <w:r w:rsidR="00F27C69" w:rsidRPr="00552B3A">
        <w:rPr>
          <w:rFonts w:ascii="Arial" w:hAnsi="Arial" w:cs="Arial"/>
          <w:sz w:val="22"/>
          <w:szCs w:val="22"/>
        </w:rPr>
        <w:t xml:space="preserve">present </w:t>
      </w:r>
      <w:r w:rsidRPr="00552B3A">
        <w:rPr>
          <w:rFonts w:ascii="Arial" w:hAnsi="Arial" w:cs="Arial"/>
          <w:sz w:val="22"/>
          <w:szCs w:val="22"/>
        </w:rPr>
        <w:t>in global CCFs (</w:t>
      </w:r>
      <w:r w:rsidRPr="00552B3A">
        <w:rPr>
          <w:rFonts w:ascii="Arial" w:hAnsi="Arial" w:cs="Arial"/>
          <w:b/>
          <w:bCs/>
          <w:sz w:val="22"/>
          <w:szCs w:val="22"/>
        </w:rPr>
        <w:t>Fig. S6b</w:t>
      </w:r>
      <w:r w:rsidRPr="00552B3A">
        <w:rPr>
          <w:rFonts w:ascii="Arial" w:hAnsi="Arial" w:cs="Arial"/>
          <w:sz w:val="22"/>
          <w:szCs w:val="22"/>
        </w:rPr>
        <w:t xml:space="preserve">). Before injection of drugs, the global MSC exhibited a peak at 0.2 Hz, indicating </w:t>
      </w:r>
      <w:r w:rsidR="007A5FD9" w:rsidRPr="00552B3A">
        <w:rPr>
          <w:rFonts w:ascii="Arial" w:hAnsi="Arial" w:cs="Arial"/>
          <w:sz w:val="22"/>
          <w:szCs w:val="22"/>
        </w:rPr>
        <w:t xml:space="preserve">the </w:t>
      </w:r>
      <w:r w:rsidRPr="00552B3A">
        <w:rPr>
          <w:rFonts w:ascii="Arial" w:hAnsi="Arial" w:cs="Arial"/>
          <w:sz w:val="22"/>
          <w:szCs w:val="22"/>
        </w:rPr>
        <w:t>band-limited</w:t>
      </w:r>
      <w:r w:rsidR="007A5FD9" w:rsidRPr="00552B3A">
        <w:rPr>
          <w:rFonts w:ascii="Arial" w:hAnsi="Arial" w:cs="Arial"/>
          <w:sz w:val="22"/>
          <w:szCs w:val="22"/>
        </w:rPr>
        <w:t xml:space="preserve"> nature of NVC</w:t>
      </w:r>
      <w:r w:rsidRPr="00552B3A">
        <w:rPr>
          <w:rFonts w:ascii="Arial" w:hAnsi="Arial" w:cs="Arial"/>
          <w:sz w:val="22"/>
          <w:szCs w:val="22"/>
        </w:rPr>
        <w:t>. After injection of DOI, a 0.8 Hz coherence peak (~0.5 Hz half-bandwidth) emerged</w:t>
      </w:r>
      <w:r w:rsidR="00474D27" w:rsidRPr="00552B3A">
        <w:rPr>
          <w:rFonts w:ascii="Arial" w:hAnsi="Arial" w:cs="Arial"/>
          <w:sz w:val="22"/>
          <w:szCs w:val="22"/>
        </w:rPr>
        <w:t xml:space="preserve"> and the 0.2 Hz peak largely diminished</w:t>
      </w:r>
      <w:r w:rsidRPr="00552B3A">
        <w:rPr>
          <w:rFonts w:ascii="Arial" w:hAnsi="Arial" w:cs="Arial"/>
          <w:sz w:val="22"/>
          <w:szCs w:val="22"/>
        </w:rPr>
        <w:t>, as reflected in the time domain DOI results (</w:t>
      </w:r>
      <w:r w:rsidRPr="00552B3A">
        <w:rPr>
          <w:rFonts w:ascii="Arial" w:hAnsi="Arial" w:cs="Arial"/>
          <w:i/>
          <w:iCs/>
          <w:sz w:val="22"/>
          <w:szCs w:val="22"/>
        </w:rPr>
        <w:t>i.e.</w:t>
      </w:r>
      <w:r w:rsidRPr="00552B3A">
        <w:rPr>
          <w:rFonts w:ascii="Arial" w:hAnsi="Arial" w:cs="Arial"/>
          <w:sz w:val="22"/>
          <w:szCs w:val="22"/>
        </w:rPr>
        <w:t xml:space="preserve">, CCFs, </w:t>
      </w:r>
      <w:r w:rsidRPr="00552B3A">
        <w:rPr>
          <w:rFonts w:ascii="Arial" w:hAnsi="Arial" w:cs="Arial"/>
          <w:b/>
          <w:bCs/>
          <w:sz w:val="22"/>
          <w:szCs w:val="22"/>
        </w:rPr>
        <w:t>Fig. S6a</w:t>
      </w:r>
      <w:r w:rsidRPr="00552B3A">
        <w:rPr>
          <w:rFonts w:ascii="Arial" w:hAnsi="Arial" w:cs="Arial"/>
          <w:sz w:val="22"/>
          <w:szCs w:val="22"/>
        </w:rPr>
        <w:t xml:space="preserve">). This phenomenon </w:t>
      </w:r>
      <w:r w:rsidR="00B72E9C" w:rsidRPr="00552B3A">
        <w:rPr>
          <w:rFonts w:ascii="Arial" w:hAnsi="Arial" w:cs="Arial"/>
          <w:sz w:val="22"/>
          <w:szCs w:val="22"/>
        </w:rPr>
        <w:t>signifies</w:t>
      </w:r>
      <w:r w:rsidRPr="00552B3A">
        <w:rPr>
          <w:rFonts w:ascii="Arial" w:hAnsi="Arial" w:cs="Arial"/>
          <w:sz w:val="22"/>
          <w:szCs w:val="22"/>
        </w:rPr>
        <w:t xml:space="preserve"> a DOI-induced shift in the NVC frequency band.</w:t>
      </w:r>
      <w:r w:rsidR="00E034C4" w:rsidRPr="00552B3A">
        <w:rPr>
          <w:rFonts w:ascii="Arial" w:hAnsi="Arial" w:cs="Arial"/>
          <w:sz w:val="22"/>
          <w:szCs w:val="22"/>
        </w:rPr>
        <w:t xml:space="preserve"> </w:t>
      </w:r>
      <w:r w:rsidR="00411038" w:rsidRPr="00552B3A">
        <w:rPr>
          <w:rFonts w:ascii="Arial" w:hAnsi="Arial" w:cs="Arial"/>
          <w:sz w:val="22"/>
          <w:szCs w:val="22"/>
        </w:rPr>
        <w:t xml:space="preserve">As demonstrated </w:t>
      </w:r>
      <w:r w:rsidR="0082747C" w:rsidRPr="00552B3A">
        <w:rPr>
          <w:rFonts w:ascii="Arial" w:hAnsi="Arial" w:cs="Arial"/>
          <w:sz w:val="22"/>
          <w:szCs w:val="22"/>
        </w:rPr>
        <w:t>in</w:t>
      </w:r>
      <w:r w:rsidR="00411038" w:rsidRPr="00552B3A">
        <w:rPr>
          <w:rFonts w:ascii="Arial" w:hAnsi="Arial" w:cs="Arial"/>
          <w:sz w:val="22"/>
          <w:szCs w:val="22"/>
        </w:rPr>
        <w:t xml:space="preserve"> other analytical measures, </w:t>
      </w:r>
      <w:r w:rsidR="00057EE2" w:rsidRPr="00552B3A">
        <w:rPr>
          <w:rFonts w:ascii="Arial" w:hAnsi="Arial" w:cs="Arial"/>
          <w:sz w:val="22"/>
          <w:szCs w:val="22"/>
        </w:rPr>
        <w:t xml:space="preserve">the </w:t>
      </w:r>
      <w:r w:rsidR="002A7AE0" w:rsidRPr="00552B3A">
        <w:rPr>
          <w:rFonts w:ascii="Arial" w:hAnsi="Arial" w:cs="Arial"/>
          <w:sz w:val="22"/>
          <w:szCs w:val="22"/>
        </w:rPr>
        <w:t xml:space="preserve">addition of </w:t>
      </w:r>
      <w:r w:rsidRPr="00552B3A">
        <w:rPr>
          <w:rFonts w:ascii="Arial" w:hAnsi="Arial" w:cs="Arial"/>
          <w:sz w:val="22"/>
          <w:szCs w:val="22"/>
        </w:rPr>
        <w:t xml:space="preserve">MDL </w:t>
      </w:r>
      <w:r w:rsidR="002A7AE0" w:rsidRPr="00552B3A">
        <w:rPr>
          <w:rFonts w:ascii="Arial" w:hAnsi="Arial" w:cs="Arial"/>
          <w:sz w:val="22"/>
          <w:szCs w:val="22"/>
        </w:rPr>
        <w:t>largely reversed the effects of DOI</w:t>
      </w:r>
      <w:r w:rsidRPr="00552B3A">
        <w:rPr>
          <w:rFonts w:ascii="Arial" w:hAnsi="Arial" w:cs="Arial"/>
          <w:sz w:val="22"/>
          <w:szCs w:val="22"/>
        </w:rPr>
        <w:t>.</w:t>
      </w:r>
    </w:p>
    <w:p w14:paraId="55FD9EC8" w14:textId="77777777" w:rsidR="001E12A2" w:rsidRPr="00552B3A" w:rsidRDefault="001E12A2" w:rsidP="0040218B">
      <w:pPr>
        <w:contextualSpacing/>
        <w:mirrorIndents/>
        <w:rPr>
          <w:rFonts w:ascii="Arial" w:hAnsi="Arial" w:cs="Arial"/>
          <w:sz w:val="22"/>
          <w:szCs w:val="22"/>
        </w:rPr>
      </w:pPr>
    </w:p>
    <w:p w14:paraId="7EA5DCD8" w14:textId="664BF9C3" w:rsidR="001E12A2" w:rsidRPr="00552B3A" w:rsidRDefault="001E12A2" w:rsidP="001E12A2">
      <w:pPr>
        <w:contextualSpacing/>
        <w:mirrorIndents/>
        <w:rPr>
          <w:rFonts w:ascii="Arial" w:hAnsi="Arial" w:cs="Arial"/>
          <w:sz w:val="22"/>
          <w:szCs w:val="22"/>
        </w:rPr>
      </w:pPr>
      <w:r w:rsidRPr="00552B3A">
        <w:rPr>
          <w:rFonts w:ascii="Arial" w:hAnsi="Arial" w:cs="Arial"/>
          <w:sz w:val="22"/>
          <w:szCs w:val="22"/>
        </w:rPr>
        <w:t xml:space="preserve">To quantitate the above observations, coherence was integrated from (1) 0.5 Hz to 2.0 Hz and (2) below 0.5 Hz for all drugs. Saline did not alter coherence. There was a decrease in low frequency (&lt;0.5 Hz) coherence after injection of DOI and DOI+MDL. </w:t>
      </w:r>
      <w:r w:rsidR="00FD27B4" w:rsidRPr="00552B3A">
        <w:rPr>
          <w:rFonts w:ascii="Arial" w:hAnsi="Arial" w:cs="Arial"/>
          <w:sz w:val="22"/>
          <w:szCs w:val="22"/>
        </w:rPr>
        <w:t>Furthermore, i</w:t>
      </w:r>
      <w:r w:rsidRPr="00552B3A">
        <w:rPr>
          <w:rFonts w:ascii="Arial" w:hAnsi="Arial" w:cs="Arial"/>
          <w:sz w:val="22"/>
          <w:szCs w:val="22"/>
        </w:rPr>
        <w:t>njection of DOI increased 0.5 Hz - 2.0 Hz global coherence.</w:t>
      </w:r>
    </w:p>
    <w:p w14:paraId="344B147B" w14:textId="77777777" w:rsidR="00A969D4" w:rsidRPr="00552B3A" w:rsidRDefault="00A969D4" w:rsidP="0040218B">
      <w:pPr>
        <w:contextualSpacing/>
        <w:mirrorIndents/>
        <w:rPr>
          <w:rFonts w:ascii="Arial" w:hAnsi="Arial" w:cs="Arial"/>
          <w:sz w:val="22"/>
          <w:szCs w:val="22"/>
        </w:rPr>
      </w:pPr>
    </w:p>
    <w:p w14:paraId="18193F77" w14:textId="38B86844" w:rsidR="0040218B" w:rsidRPr="00552B3A" w:rsidRDefault="009E6675" w:rsidP="0040218B">
      <w:pPr>
        <w:contextualSpacing/>
        <w:mirrorIndents/>
        <w:rPr>
          <w:rFonts w:ascii="Arial" w:hAnsi="Arial" w:cs="Arial"/>
          <w:sz w:val="22"/>
          <w:szCs w:val="22"/>
        </w:rPr>
      </w:pPr>
      <w:r w:rsidRPr="00552B3A">
        <w:rPr>
          <w:rFonts w:ascii="Arial" w:hAnsi="Arial" w:cs="Arial"/>
          <w:sz w:val="22"/>
          <w:szCs w:val="22"/>
        </w:rPr>
        <w:t xml:space="preserve">Across all drug conditions, </w:t>
      </w:r>
      <w:r w:rsidR="00B41480" w:rsidRPr="00552B3A">
        <w:rPr>
          <w:rFonts w:ascii="Arial" w:hAnsi="Arial" w:cs="Arial"/>
          <w:sz w:val="22"/>
          <w:szCs w:val="22"/>
        </w:rPr>
        <w:t xml:space="preserve">phase exhibited a </w:t>
      </w:r>
      <w:r w:rsidR="00585624" w:rsidRPr="00552B3A">
        <w:rPr>
          <w:rFonts w:ascii="Arial" w:hAnsi="Arial" w:cs="Arial"/>
          <w:sz w:val="22"/>
          <w:szCs w:val="22"/>
        </w:rPr>
        <w:t>calcium</w:t>
      </w:r>
      <w:r w:rsidR="00587E03" w:rsidRPr="00552B3A">
        <w:rPr>
          <w:rFonts w:ascii="Arial" w:hAnsi="Arial" w:cs="Arial"/>
          <w:sz w:val="22"/>
          <w:szCs w:val="22"/>
        </w:rPr>
        <w:t xml:space="preserve"> lag-</w:t>
      </w:r>
      <w:r w:rsidR="00585624" w:rsidRPr="00552B3A">
        <w:rPr>
          <w:rFonts w:ascii="Arial" w:hAnsi="Arial" w:cs="Arial"/>
          <w:sz w:val="22"/>
          <w:szCs w:val="22"/>
        </w:rPr>
        <w:t>lead</w:t>
      </w:r>
      <w:r w:rsidR="00B41480" w:rsidRPr="00552B3A">
        <w:rPr>
          <w:rFonts w:ascii="Arial" w:hAnsi="Arial" w:cs="Arial"/>
          <w:sz w:val="22"/>
          <w:szCs w:val="22"/>
        </w:rPr>
        <w:t xml:space="preserve"> relation, reflected in the positive slope </w:t>
      </w:r>
      <w:r w:rsidR="005735C0" w:rsidRPr="00552B3A">
        <w:rPr>
          <w:rFonts w:ascii="Arial" w:hAnsi="Arial" w:cs="Arial"/>
          <w:sz w:val="22"/>
          <w:szCs w:val="22"/>
        </w:rPr>
        <w:t xml:space="preserve">at frequencies below </w:t>
      </w:r>
      <w:r w:rsidR="00106DD0" w:rsidRPr="00552B3A">
        <w:rPr>
          <w:rFonts w:ascii="Arial" w:hAnsi="Arial" w:cs="Arial"/>
          <w:sz w:val="22"/>
          <w:szCs w:val="22"/>
        </w:rPr>
        <w:t>~</w:t>
      </w:r>
      <w:r w:rsidR="00B41480" w:rsidRPr="00552B3A">
        <w:rPr>
          <w:rFonts w:ascii="Arial" w:hAnsi="Arial" w:cs="Arial"/>
          <w:sz w:val="22"/>
          <w:szCs w:val="22"/>
        </w:rPr>
        <w:t>1 Hz</w:t>
      </w:r>
      <w:r w:rsidR="00082956" w:rsidRPr="00552B3A">
        <w:rPr>
          <w:rFonts w:ascii="Arial" w:hAnsi="Arial" w:cs="Arial"/>
          <w:sz w:val="22"/>
          <w:szCs w:val="22"/>
        </w:rPr>
        <w:t xml:space="preserve"> (</w:t>
      </w:r>
      <w:r w:rsidR="00082956" w:rsidRPr="00552B3A">
        <w:rPr>
          <w:rFonts w:ascii="Arial" w:hAnsi="Arial" w:cs="Arial"/>
          <w:b/>
          <w:bCs/>
          <w:sz w:val="22"/>
          <w:szCs w:val="22"/>
        </w:rPr>
        <w:t>Fig. S6c</w:t>
      </w:r>
      <w:r w:rsidR="00082956" w:rsidRPr="00552B3A">
        <w:rPr>
          <w:rFonts w:ascii="Arial" w:hAnsi="Arial" w:cs="Arial"/>
          <w:sz w:val="22"/>
          <w:szCs w:val="22"/>
        </w:rPr>
        <w:t>)</w:t>
      </w:r>
      <w:r w:rsidR="00B41480" w:rsidRPr="00552B3A">
        <w:rPr>
          <w:rFonts w:ascii="Arial" w:hAnsi="Arial" w:cs="Arial"/>
          <w:sz w:val="22"/>
          <w:szCs w:val="22"/>
        </w:rPr>
        <w:t>.</w:t>
      </w:r>
      <w:r w:rsidR="00464D9C" w:rsidRPr="00552B3A">
        <w:rPr>
          <w:rFonts w:ascii="Arial" w:hAnsi="Arial" w:cs="Arial"/>
          <w:sz w:val="22"/>
          <w:szCs w:val="22"/>
        </w:rPr>
        <w:t xml:space="preserve"> </w:t>
      </w:r>
      <w:r w:rsidR="007705FC" w:rsidRPr="00552B3A">
        <w:rPr>
          <w:rFonts w:ascii="Arial" w:hAnsi="Arial" w:cs="Arial"/>
          <w:sz w:val="22"/>
          <w:szCs w:val="22"/>
        </w:rPr>
        <w:t>Notably,</w:t>
      </w:r>
      <w:r w:rsidR="00244B48" w:rsidRPr="00552B3A">
        <w:rPr>
          <w:rFonts w:ascii="Arial" w:hAnsi="Arial" w:cs="Arial"/>
          <w:sz w:val="22"/>
          <w:szCs w:val="22"/>
        </w:rPr>
        <w:t xml:space="preserve"> uncertainty in</w:t>
      </w:r>
      <w:r w:rsidR="007705FC" w:rsidRPr="00552B3A">
        <w:rPr>
          <w:rFonts w:ascii="Arial" w:hAnsi="Arial" w:cs="Arial"/>
          <w:sz w:val="22"/>
          <w:szCs w:val="22"/>
        </w:rPr>
        <w:t xml:space="preserve"> the phase measure </w:t>
      </w:r>
      <w:r w:rsidR="00244B48" w:rsidRPr="00552B3A">
        <w:rPr>
          <w:rFonts w:ascii="Arial" w:hAnsi="Arial" w:cs="Arial"/>
          <w:sz w:val="22"/>
          <w:szCs w:val="22"/>
        </w:rPr>
        <w:t>remained low at frequencies up to 5 Hz.</w:t>
      </w:r>
      <w:r w:rsidR="002E7E19" w:rsidRPr="00552B3A">
        <w:rPr>
          <w:rFonts w:ascii="Arial" w:hAnsi="Arial" w:cs="Arial"/>
          <w:sz w:val="22"/>
          <w:szCs w:val="22"/>
        </w:rPr>
        <w:t xml:space="preserve"> </w:t>
      </w:r>
      <w:r w:rsidR="007C5E31" w:rsidRPr="00552B3A">
        <w:rPr>
          <w:rFonts w:ascii="Arial" w:hAnsi="Arial" w:cs="Arial"/>
          <w:sz w:val="22"/>
          <w:szCs w:val="22"/>
        </w:rPr>
        <w:t xml:space="preserve">The significance of this observation </w:t>
      </w:r>
      <w:r w:rsidR="008A0260" w:rsidRPr="00552B3A">
        <w:rPr>
          <w:rFonts w:ascii="Arial" w:hAnsi="Arial" w:cs="Arial"/>
          <w:sz w:val="22"/>
          <w:szCs w:val="22"/>
        </w:rPr>
        <w:t>speaks</w:t>
      </w:r>
      <w:r w:rsidR="00FE3F90" w:rsidRPr="00552B3A">
        <w:rPr>
          <w:rFonts w:ascii="Arial" w:hAnsi="Arial" w:cs="Arial"/>
          <w:sz w:val="22"/>
          <w:szCs w:val="22"/>
        </w:rPr>
        <w:t xml:space="preserve"> to </w:t>
      </w:r>
      <w:r w:rsidR="00BE1F7B" w:rsidRPr="00552B3A">
        <w:rPr>
          <w:rFonts w:ascii="Arial" w:hAnsi="Arial" w:cs="Arial"/>
          <w:sz w:val="22"/>
          <w:szCs w:val="22"/>
        </w:rPr>
        <w:t>the fidelity</w:t>
      </w:r>
      <w:r w:rsidR="008A0260" w:rsidRPr="00552B3A">
        <w:rPr>
          <w:rFonts w:ascii="Arial" w:hAnsi="Arial" w:cs="Arial"/>
          <w:sz w:val="22"/>
          <w:szCs w:val="22"/>
        </w:rPr>
        <w:t xml:space="preserve"> and temporal-resolution</w:t>
      </w:r>
      <w:r w:rsidR="00BE1F7B" w:rsidRPr="00552B3A">
        <w:rPr>
          <w:rFonts w:ascii="Arial" w:hAnsi="Arial" w:cs="Arial"/>
          <w:sz w:val="22"/>
          <w:szCs w:val="22"/>
        </w:rPr>
        <w:t xml:space="preserve"> of high-frequency hemodynamics </w:t>
      </w:r>
      <w:r w:rsidR="00AB7517" w:rsidRPr="00552B3A">
        <w:rPr>
          <w:rFonts w:ascii="Arial" w:hAnsi="Arial" w:cs="Arial"/>
          <w:sz w:val="22"/>
          <w:szCs w:val="22"/>
        </w:rPr>
        <w:t>in</w:t>
      </w:r>
      <w:r w:rsidR="00BE1F7B" w:rsidRPr="00552B3A">
        <w:rPr>
          <w:rFonts w:ascii="Arial" w:hAnsi="Arial" w:cs="Arial"/>
          <w:sz w:val="22"/>
          <w:szCs w:val="22"/>
        </w:rPr>
        <w:t xml:space="preserve"> optical imaging </w:t>
      </w:r>
      <w:r w:rsidR="00385871" w:rsidRPr="00552B3A">
        <w:rPr>
          <w:rFonts w:ascii="Arial" w:hAnsi="Arial" w:cs="Arial"/>
          <w:sz w:val="22"/>
          <w:szCs w:val="22"/>
        </w:rPr>
        <w:t>relative</w:t>
      </w:r>
      <w:r w:rsidR="00BE1F7B" w:rsidRPr="00552B3A">
        <w:rPr>
          <w:rFonts w:ascii="Arial" w:hAnsi="Arial" w:cs="Arial"/>
          <w:sz w:val="22"/>
          <w:szCs w:val="22"/>
        </w:rPr>
        <w:t xml:space="preserve"> to </w:t>
      </w:r>
      <w:r w:rsidR="002409D6" w:rsidRPr="00552B3A">
        <w:rPr>
          <w:rFonts w:ascii="Arial" w:hAnsi="Arial" w:cs="Arial"/>
          <w:sz w:val="22"/>
          <w:szCs w:val="22"/>
        </w:rPr>
        <w:t>BOLD</w:t>
      </w:r>
      <w:r w:rsidR="00804150" w:rsidRPr="00552B3A">
        <w:rPr>
          <w:rFonts w:ascii="Arial" w:hAnsi="Arial" w:cs="Arial"/>
          <w:sz w:val="22"/>
          <w:szCs w:val="22"/>
        </w:rPr>
        <w:t xml:space="preserve"> fMRI</w:t>
      </w:r>
      <w:r w:rsidR="00BE1F7B" w:rsidRPr="00552B3A">
        <w:rPr>
          <w:rFonts w:ascii="Arial" w:hAnsi="Arial" w:cs="Arial"/>
          <w:sz w:val="22"/>
          <w:szCs w:val="22"/>
        </w:rPr>
        <w:t>.</w:t>
      </w:r>
    </w:p>
    <w:p w14:paraId="4AFDB295" w14:textId="77777777" w:rsidR="009D36F3" w:rsidRPr="00552B3A" w:rsidRDefault="009D36F3" w:rsidP="009D36F3">
      <w:pPr>
        <w:contextualSpacing/>
        <w:mirrorIndents/>
        <w:rPr>
          <w:rFonts w:ascii="Arial" w:hAnsi="Arial" w:cs="Arial"/>
          <w:sz w:val="22"/>
          <w:szCs w:val="22"/>
        </w:rPr>
      </w:pPr>
    </w:p>
    <w:p w14:paraId="01B8DA72" w14:textId="23536D9A" w:rsidR="009D36F3" w:rsidRPr="00552B3A" w:rsidRDefault="0030127D" w:rsidP="009D36F3">
      <w:pPr>
        <w:contextualSpacing/>
        <w:mirrorIndents/>
        <w:rPr>
          <w:rFonts w:ascii="Arial" w:hAnsi="Arial" w:cs="Arial"/>
          <w:i/>
          <w:iCs/>
          <w:sz w:val="22"/>
          <w:szCs w:val="22"/>
          <w:u w:val="single"/>
        </w:rPr>
      </w:pPr>
      <w:bookmarkStart w:id="3" w:name="_Hlk136167176"/>
      <w:r w:rsidRPr="00552B3A">
        <w:rPr>
          <w:rFonts w:ascii="Arial" w:hAnsi="Arial" w:cs="Arial"/>
          <w:i/>
          <w:iCs/>
          <w:sz w:val="22"/>
          <w:szCs w:val="22"/>
          <w:u w:val="single"/>
        </w:rPr>
        <w:t>2.</w:t>
      </w:r>
      <w:r w:rsidR="00527378" w:rsidRPr="00552B3A">
        <w:rPr>
          <w:rFonts w:ascii="Arial" w:hAnsi="Arial" w:cs="Arial"/>
          <w:i/>
          <w:iCs/>
          <w:sz w:val="22"/>
          <w:szCs w:val="22"/>
          <w:u w:val="single"/>
        </w:rPr>
        <w:t>3</w:t>
      </w:r>
      <w:r w:rsidR="009D36F3" w:rsidRPr="00552B3A">
        <w:rPr>
          <w:rFonts w:ascii="Arial" w:hAnsi="Arial" w:cs="Arial"/>
          <w:i/>
          <w:iCs/>
          <w:sz w:val="22"/>
          <w:szCs w:val="22"/>
          <w:u w:val="single"/>
        </w:rPr>
        <w:t>.2) Regional c</w:t>
      </w:r>
      <w:r w:rsidR="00E64188" w:rsidRPr="00552B3A">
        <w:rPr>
          <w:rFonts w:ascii="Arial" w:hAnsi="Arial" w:cs="Arial"/>
          <w:i/>
          <w:iCs/>
          <w:sz w:val="22"/>
          <w:szCs w:val="22"/>
          <w:u w:val="single"/>
        </w:rPr>
        <w:t>ross-covariance</w:t>
      </w:r>
      <w:r w:rsidR="009D36F3" w:rsidRPr="00552B3A">
        <w:rPr>
          <w:rFonts w:ascii="Arial" w:hAnsi="Arial" w:cs="Arial"/>
          <w:i/>
          <w:iCs/>
          <w:sz w:val="22"/>
          <w:szCs w:val="22"/>
          <w:u w:val="single"/>
        </w:rPr>
        <w:t xml:space="preserve"> analysis</w:t>
      </w:r>
    </w:p>
    <w:bookmarkEnd w:id="3"/>
    <w:p w14:paraId="268C8132" w14:textId="53E624DD" w:rsidR="00D60DC8" w:rsidRPr="00552B3A" w:rsidRDefault="00B31F81" w:rsidP="009D36F3">
      <w:pPr>
        <w:contextualSpacing/>
        <w:mirrorIndents/>
        <w:rPr>
          <w:rFonts w:ascii="Arial" w:hAnsi="Arial" w:cs="Arial"/>
          <w:sz w:val="22"/>
          <w:szCs w:val="22"/>
        </w:rPr>
      </w:pPr>
      <w:r w:rsidRPr="00552B3A">
        <w:rPr>
          <w:rFonts w:ascii="Arial" w:hAnsi="Arial" w:cs="Arial"/>
          <w:sz w:val="22"/>
          <w:szCs w:val="22"/>
        </w:rPr>
        <w:t>Regional CCF and MSC were calculated t</w:t>
      </w:r>
      <w:r w:rsidR="009D36F3" w:rsidRPr="00552B3A">
        <w:rPr>
          <w:rFonts w:ascii="Arial" w:hAnsi="Arial" w:cs="Arial"/>
          <w:sz w:val="22"/>
          <w:szCs w:val="22"/>
        </w:rPr>
        <w:t xml:space="preserve">o </w:t>
      </w:r>
      <w:r w:rsidR="00D23054" w:rsidRPr="00552B3A">
        <w:rPr>
          <w:rFonts w:ascii="Arial" w:hAnsi="Arial" w:cs="Arial"/>
          <w:sz w:val="22"/>
          <w:szCs w:val="22"/>
        </w:rPr>
        <w:t>assess</w:t>
      </w:r>
      <w:r w:rsidR="009D36F3" w:rsidRPr="00552B3A">
        <w:rPr>
          <w:rFonts w:ascii="Arial" w:hAnsi="Arial" w:cs="Arial"/>
          <w:sz w:val="22"/>
          <w:szCs w:val="22"/>
        </w:rPr>
        <w:t xml:space="preserve"> </w:t>
      </w:r>
      <w:r w:rsidR="00C36C98" w:rsidRPr="00552B3A">
        <w:rPr>
          <w:rFonts w:ascii="Arial" w:hAnsi="Arial" w:cs="Arial"/>
          <w:sz w:val="22"/>
          <w:szCs w:val="22"/>
        </w:rPr>
        <w:t xml:space="preserve">the topography of </w:t>
      </w:r>
      <w:r w:rsidR="00A74916" w:rsidRPr="00552B3A">
        <w:rPr>
          <w:rFonts w:ascii="Arial" w:hAnsi="Arial" w:cs="Arial"/>
          <w:sz w:val="22"/>
          <w:szCs w:val="22"/>
        </w:rPr>
        <w:t>drug-induced effects</w:t>
      </w:r>
      <w:r w:rsidR="005F032D" w:rsidRPr="00552B3A">
        <w:rPr>
          <w:rFonts w:ascii="Arial" w:hAnsi="Arial" w:cs="Arial"/>
          <w:sz w:val="22"/>
          <w:szCs w:val="22"/>
        </w:rPr>
        <w:t xml:space="preserve"> </w:t>
      </w:r>
      <w:r w:rsidR="00695EE7" w:rsidRPr="00552B3A">
        <w:rPr>
          <w:rFonts w:ascii="Arial" w:hAnsi="Arial" w:cs="Arial"/>
          <w:sz w:val="22"/>
          <w:szCs w:val="22"/>
        </w:rPr>
        <w:t>(</w:t>
      </w:r>
      <w:r w:rsidR="009D36F3" w:rsidRPr="00552B3A">
        <w:rPr>
          <w:rFonts w:ascii="Arial" w:hAnsi="Arial" w:cs="Arial"/>
          <w:b/>
          <w:bCs/>
          <w:sz w:val="22"/>
          <w:szCs w:val="22"/>
        </w:rPr>
        <w:t>Fig. S7</w:t>
      </w:r>
      <w:r w:rsidR="009D36F3" w:rsidRPr="00552B3A">
        <w:rPr>
          <w:rFonts w:ascii="Arial" w:hAnsi="Arial" w:cs="Arial"/>
          <w:sz w:val="22"/>
          <w:szCs w:val="22"/>
        </w:rPr>
        <w:t xml:space="preserve">). </w:t>
      </w:r>
      <w:bookmarkStart w:id="4" w:name="_Hlk146191862"/>
      <w:r w:rsidR="009D36F3" w:rsidRPr="00552B3A">
        <w:rPr>
          <w:rFonts w:ascii="Arial" w:hAnsi="Arial" w:cs="Arial"/>
          <w:sz w:val="22"/>
          <w:szCs w:val="22"/>
        </w:rPr>
        <w:t>Before drugs</w:t>
      </w:r>
      <w:r w:rsidR="00DE18A5" w:rsidRPr="00552B3A">
        <w:rPr>
          <w:rFonts w:ascii="Arial" w:hAnsi="Arial" w:cs="Arial"/>
          <w:sz w:val="22"/>
          <w:szCs w:val="22"/>
        </w:rPr>
        <w:t xml:space="preserve"> (“Pre”)</w:t>
      </w:r>
      <w:r w:rsidR="00A92133" w:rsidRPr="00552B3A">
        <w:rPr>
          <w:rFonts w:ascii="Arial" w:hAnsi="Arial" w:cs="Arial"/>
          <w:sz w:val="22"/>
          <w:szCs w:val="22"/>
        </w:rPr>
        <w:t>,</w:t>
      </w:r>
      <w:r w:rsidR="009D36F3" w:rsidRPr="00552B3A">
        <w:rPr>
          <w:rFonts w:ascii="Arial" w:hAnsi="Arial" w:cs="Arial"/>
          <w:sz w:val="22"/>
          <w:szCs w:val="22"/>
        </w:rPr>
        <w:t xml:space="preserve"> </w:t>
      </w:r>
      <w:r w:rsidR="00BC4F42" w:rsidRPr="00552B3A">
        <w:rPr>
          <w:rFonts w:ascii="Arial" w:hAnsi="Arial" w:cs="Arial"/>
          <w:sz w:val="22"/>
          <w:szCs w:val="22"/>
        </w:rPr>
        <w:t>coupling was</w:t>
      </w:r>
      <w:r w:rsidR="009D36F3" w:rsidRPr="00552B3A">
        <w:rPr>
          <w:rFonts w:ascii="Arial" w:hAnsi="Arial" w:cs="Arial"/>
          <w:sz w:val="22"/>
          <w:szCs w:val="22"/>
        </w:rPr>
        <w:t xml:space="preserve"> </w:t>
      </w:r>
      <w:r w:rsidR="00BC4F42" w:rsidRPr="00552B3A">
        <w:rPr>
          <w:rFonts w:ascii="Arial" w:hAnsi="Arial" w:cs="Arial"/>
          <w:sz w:val="22"/>
          <w:szCs w:val="22"/>
        </w:rPr>
        <w:t xml:space="preserve">strongest </w:t>
      </w:r>
      <w:r w:rsidR="009D36F3" w:rsidRPr="00552B3A">
        <w:rPr>
          <w:rFonts w:ascii="Arial" w:hAnsi="Arial" w:cs="Arial"/>
          <w:sz w:val="22"/>
          <w:szCs w:val="22"/>
        </w:rPr>
        <w:t xml:space="preserve">in somatosensory and parietal </w:t>
      </w:r>
      <w:r w:rsidR="006D3033" w:rsidRPr="00552B3A">
        <w:rPr>
          <w:rFonts w:ascii="Arial" w:hAnsi="Arial" w:cs="Arial"/>
          <w:sz w:val="22"/>
          <w:szCs w:val="22"/>
        </w:rPr>
        <w:t xml:space="preserve">regions </w:t>
      </w:r>
      <w:r w:rsidR="009D36F3" w:rsidRPr="00552B3A">
        <w:rPr>
          <w:rFonts w:ascii="Arial" w:hAnsi="Arial" w:cs="Arial"/>
          <w:sz w:val="22"/>
          <w:szCs w:val="22"/>
        </w:rPr>
        <w:t xml:space="preserve">and </w:t>
      </w:r>
      <w:r w:rsidR="003E7889" w:rsidRPr="00552B3A">
        <w:rPr>
          <w:rFonts w:ascii="Arial" w:hAnsi="Arial" w:cs="Arial"/>
          <w:sz w:val="22"/>
          <w:szCs w:val="22"/>
        </w:rPr>
        <w:t>weakest</w:t>
      </w:r>
      <w:r w:rsidR="009D36F3" w:rsidRPr="00552B3A">
        <w:rPr>
          <w:rFonts w:ascii="Arial" w:hAnsi="Arial" w:cs="Arial"/>
          <w:sz w:val="22"/>
          <w:szCs w:val="22"/>
        </w:rPr>
        <w:t xml:space="preserve"> in frontal, cingulate, retrosplenial, and motor </w:t>
      </w:r>
      <w:r w:rsidR="006D3033" w:rsidRPr="00552B3A">
        <w:rPr>
          <w:rFonts w:ascii="Arial" w:hAnsi="Arial" w:cs="Arial"/>
          <w:sz w:val="22"/>
          <w:szCs w:val="22"/>
        </w:rPr>
        <w:t>regions</w:t>
      </w:r>
      <w:bookmarkEnd w:id="4"/>
      <w:r w:rsidR="006D3033" w:rsidRPr="00552B3A">
        <w:rPr>
          <w:rFonts w:ascii="Arial" w:hAnsi="Arial" w:cs="Arial"/>
          <w:sz w:val="22"/>
          <w:szCs w:val="22"/>
        </w:rPr>
        <w:t xml:space="preserve"> </w:t>
      </w:r>
      <w:r w:rsidR="009D36F3" w:rsidRPr="00552B3A">
        <w:rPr>
          <w:rFonts w:ascii="Arial" w:hAnsi="Arial" w:cs="Arial"/>
          <w:sz w:val="22"/>
          <w:szCs w:val="22"/>
        </w:rPr>
        <w:t>(</w:t>
      </w:r>
      <w:r w:rsidR="009D36F3" w:rsidRPr="00552B3A">
        <w:rPr>
          <w:rFonts w:ascii="Arial" w:hAnsi="Arial" w:cs="Arial"/>
          <w:b/>
          <w:bCs/>
          <w:sz w:val="22"/>
          <w:szCs w:val="22"/>
        </w:rPr>
        <w:t>Fig. S7a</w:t>
      </w:r>
      <w:r w:rsidR="00B209FA" w:rsidRPr="00552B3A">
        <w:rPr>
          <w:rFonts w:ascii="Arial" w:hAnsi="Arial" w:cs="Arial"/>
          <w:sz w:val="22"/>
          <w:szCs w:val="22"/>
        </w:rPr>
        <w:t>, left</w:t>
      </w:r>
      <w:r w:rsidR="009D36F3" w:rsidRPr="00552B3A">
        <w:rPr>
          <w:rFonts w:ascii="Arial" w:hAnsi="Arial" w:cs="Arial"/>
          <w:sz w:val="22"/>
          <w:szCs w:val="22"/>
        </w:rPr>
        <w:t>).</w:t>
      </w:r>
      <w:r w:rsidR="00625A14" w:rsidRPr="00552B3A">
        <w:rPr>
          <w:rFonts w:ascii="Arial" w:hAnsi="Arial" w:cs="Arial"/>
          <w:sz w:val="22"/>
          <w:szCs w:val="22"/>
        </w:rPr>
        <w:t xml:space="preserve"> </w:t>
      </w:r>
    </w:p>
    <w:p w14:paraId="33AAC913" w14:textId="77777777" w:rsidR="00D60DC8" w:rsidRPr="00552B3A" w:rsidRDefault="00D60DC8" w:rsidP="009D36F3">
      <w:pPr>
        <w:contextualSpacing/>
        <w:mirrorIndents/>
        <w:rPr>
          <w:rFonts w:ascii="Arial" w:hAnsi="Arial" w:cs="Arial"/>
          <w:sz w:val="22"/>
          <w:szCs w:val="22"/>
        </w:rPr>
      </w:pPr>
    </w:p>
    <w:p w14:paraId="2BA0F280" w14:textId="799A0B07" w:rsidR="009D36F3" w:rsidRPr="00552B3A" w:rsidRDefault="004265E3" w:rsidP="003D1F25">
      <w:pPr>
        <w:contextualSpacing/>
        <w:mirrorIndents/>
        <w:rPr>
          <w:rFonts w:ascii="Arial" w:hAnsi="Arial" w:cs="Arial"/>
          <w:sz w:val="22"/>
          <w:szCs w:val="22"/>
        </w:rPr>
      </w:pPr>
      <w:bookmarkStart w:id="5" w:name="_Hlk146191900"/>
      <w:r w:rsidRPr="00552B3A">
        <w:rPr>
          <w:rFonts w:ascii="Arial" w:hAnsi="Arial" w:cs="Arial"/>
          <w:sz w:val="22"/>
          <w:szCs w:val="22"/>
        </w:rPr>
        <w:t xml:space="preserve">As </w:t>
      </w:r>
      <w:r w:rsidR="00F438F7" w:rsidRPr="00552B3A">
        <w:rPr>
          <w:rFonts w:ascii="Arial" w:hAnsi="Arial" w:cs="Arial"/>
          <w:sz w:val="22"/>
          <w:szCs w:val="22"/>
        </w:rPr>
        <w:t xml:space="preserve">evident </w:t>
      </w:r>
      <w:r w:rsidR="00C96C16" w:rsidRPr="00552B3A">
        <w:rPr>
          <w:rFonts w:ascii="Arial" w:hAnsi="Arial" w:cs="Arial"/>
          <w:sz w:val="22"/>
          <w:szCs w:val="22"/>
        </w:rPr>
        <w:t xml:space="preserve">in </w:t>
      </w:r>
      <w:r w:rsidR="00185B1D" w:rsidRPr="00552B3A">
        <w:rPr>
          <w:rFonts w:ascii="Arial" w:hAnsi="Arial" w:cs="Arial"/>
          <w:sz w:val="22"/>
          <w:szCs w:val="22"/>
        </w:rPr>
        <w:t xml:space="preserve">post-injection DOI </w:t>
      </w:r>
      <w:r w:rsidR="00246C0F" w:rsidRPr="00552B3A">
        <w:rPr>
          <w:rFonts w:ascii="Arial" w:hAnsi="Arial" w:cs="Arial"/>
          <w:sz w:val="22"/>
          <w:szCs w:val="22"/>
        </w:rPr>
        <w:t xml:space="preserve">regional </w:t>
      </w:r>
      <w:r w:rsidR="00C96C16" w:rsidRPr="00552B3A">
        <w:rPr>
          <w:rFonts w:ascii="Arial" w:hAnsi="Arial" w:cs="Arial"/>
          <w:sz w:val="22"/>
          <w:szCs w:val="22"/>
        </w:rPr>
        <w:t>HRFs (</w:t>
      </w:r>
      <w:r w:rsidR="00C96C16" w:rsidRPr="00552B3A">
        <w:rPr>
          <w:rFonts w:ascii="Arial" w:hAnsi="Arial" w:cs="Arial"/>
          <w:b/>
          <w:bCs/>
          <w:sz w:val="22"/>
          <w:szCs w:val="22"/>
        </w:rPr>
        <w:t>Fig. S5a</w:t>
      </w:r>
      <w:r w:rsidR="00C96C16" w:rsidRPr="00552B3A">
        <w:rPr>
          <w:rFonts w:ascii="Arial" w:hAnsi="Arial" w:cs="Arial"/>
          <w:sz w:val="22"/>
          <w:szCs w:val="22"/>
        </w:rPr>
        <w:t>)</w:t>
      </w:r>
      <w:r w:rsidR="009D36F3" w:rsidRPr="00552B3A">
        <w:rPr>
          <w:rFonts w:ascii="Arial" w:hAnsi="Arial" w:cs="Arial"/>
          <w:sz w:val="22"/>
          <w:szCs w:val="22"/>
        </w:rPr>
        <w:t xml:space="preserve">, DOI </w:t>
      </w:r>
      <w:r w:rsidR="0041318D" w:rsidRPr="00552B3A">
        <w:rPr>
          <w:rFonts w:ascii="Arial" w:hAnsi="Arial" w:cs="Arial"/>
          <w:sz w:val="22"/>
          <w:szCs w:val="22"/>
        </w:rPr>
        <w:t>decreased coupling strength</w:t>
      </w:r>
      <w:r w:rsidR="00A84A26" w:rsidRPr="00552B3A">
        <w:rPr>
          <w:rFonts w:ascii="Arial" w:hAnsi="Arial" w:cs="Arial"/>
          <w:sz w:val="22"/>
          <w:szCs w:val="22"/>
        </w:rPr>
        <w:t xml:space="preserve"> </w:t>
      </w:r>
      <w:r w:rsidR="00233E59" w:rsidRPr="00552B3A">
        <w:rPr>
          <w:rFonts w:ascii="Arial" w:hAnsi="Arial" w:cs="Arial"/>
          <w:sz w:val="22"/>
          <w:szCs w:val="22"/>
        </w:rPr>
        <w:t xml:space="preserve">across the cortex. </w:t>
      </w:r>
      <w:r w:rsidR="003E65CD" w:rsidRPr="00552B3A">
        <w:rPr>
          <w:rFonts w:ascii="Arial" w:hAnsi="Arial" w:cs="Arial"/>
          <w:sz w:val="22"/>
          <w:szCs w:val="22"/>
        </w:rPr>
        <w:t>Moreover, a</w:t>
      </w:r>
      <w:r w:rsidR="00B0382C" w:rsidRPr="00552B3A">
        <w:rPr>
          <w:rFonts w:ascii="Arial" w:hAnsi="Arial" w:cs="Arial"/>
          <w:sz w:val="22"/>
          <w:szCs w:val="22"/>
        </w:rPr>
        <w:t>s observed in the DOI global CCFs (</w:t>
      </w:r>
      <w:r w:rsidR="00B0382C" w:rsidRPr="00552B3A">
        <w:rPr>
          <w:rFonts w:ascii="Arial" w:hAnsi="Arial" w:cs="Arial"/>
          <w:b/>
          <w:bCs/>
          <w:sz w:val="22"/>
          <w:szCs w:val="22"/>
        </w:rPr>
        <w:t>Fig. S6a</w:t>
      </w:r>
      <w:r w:rsidR="00B0382C" w:rsidRPr="00552B3A">
        <w:rPr>
          <w:rFonts w:ascii="Arial" w:hAnsi="Arial" w:cs="Arial"/>
          <w:sz w:val="22"/>
          <w:szCs w:val="22"/>
        </w:rPr>
        <w:t xml:space="preserve">), all DOI regional CCFs exhibited a sharp </w:t>
      </w:r>
      <w:r w:rsidR="00901A37" w:rsidRPr="00552B3A">
        <w:rPr>
          <w:rFonts w:ascii="Arial" w:hAnsi="Arial" w:cs="Arial"/>
          <w:sz w:val="22"/>
          <w:szCs w:val="22"/>
        </w:rPr>
        <w:t>notch</w:t>
      </w:r>
      <w:r w:rsidR="001659B5" w:rsidRPr="00552B3A">
        <w:rPr>
          <w:rFonts w:ascii="Arial" w:hAnsi="Arial" w:cs="Arial"/>
          <w:sz w:val="22"/>
          <w:szCs w:val="22"/>
        </w:rPr>
        <w:t xml:space="preserve"> at</w:t>
      </w:r>
      <w:r w:rsidR="00B0382C" w:rsidRPr="00552B3A">
        <w:rPr>
          <w:rFonts w:ascii="Arial" w:hAnsi="Arial" w:cs="Arial"/>
          <w:sz w:val="22"/>
          <w:szCs w:val="22"/>
        </w:rPr>
        <w:t xml:space="preserve"> zero lag. </w:t>
      </w:r>
      <w:r w:rsidR="00623DEB" w:rsidRPr="00552B3A">
        <w:rPr>
          <w:rFonts w:ascii="Arial" w:hAnsi="Arial" w:cs="Arial"/>
          <w:sz w:val="22"/>
          <w:szCs w:val="22"/>
        </w:rPr>
        <w:t>Notably</w:t>
      </w:r>
      <w:r w:rsidR="009D36F3" w:rsidRPr="00552B3A">
        <w:rPr>
          <w:rFonts w:ascii="Arial" w:hAnsi="Arial" w:cs="Arial"/>
          <w:sz w:val="22"/>
          <w:szCs w:val="22"/>
        </w:rPr>
        <w:t xml:space="preserve">, </w:t>
      </w:r>
      <w:r w:rsidR="003F6779" w:rsidRPr="00552B3A">
        <w:rPr>
          <w:rFonts w:ascii="Arial" w:hAnsi="Arial" w:cs="Arial"/>
          <w:sz w:val="22"/>
          <w:szCs w:val="22"/>
        </w:rPr>
        <w:t>the deepest notch</w:t>
      </w:r>
      <w:r w:rsidR="002235AB" w:rsidRPr="00552B3A">
        <w:rPr>
          <w:rFonts w:ascii="Arial" w:hAnsi="Arial" w:cs="Arial"/>
          <w:sz w:val="22"/>
          <w:szCs w:val="22"/>
        </w:rPr>
        <w:t>es</w:t>
      </w:r>
      <w:r w:rsidR="009D36F3" w:rsidRPr="00552B3A">
        <w:rPr>
          <w:rFonts w:ascii="Arial" w:hAnsi="Arial" w:cs="Arial"/>
          <w:sz w:val="22"/>
          <w:szCs w:val="22"/>
        </w:rPr>
        <w:t xml:space="preserve"> were in </w:t>
      </w:r>
      <w:r w:rsidR="00B01E47" w:rsidRPr="00552B3A">
        <w:rPr>
          <w:rFonts w:ascii="Arial" w:hAnsi="Arial" w:cs="Arial"/>
          <w:sz w:val="22"/>
          <w:szCs w:val="22"/>
        </w:rPr>
        <w:t xml:space="preserve">secondary </w:t>
      </w:r>
      <w:r w:rsidR="00517D84" w:rsidRPr="00552B3A">
        <w:rPr>
          <w:rFonts w:ascii="Arial" w:hAnsi="Arial" w:cs="Arial"/>
          <w:sz w:val="22"/>
          <w:szCs w:val="22"/>
        </w:rPr>
        <w:t xml:space="preserve">motor, retrosplenial, and visual regions. </w:t>
      </w:r>
      <w:r w:rsidR="00D533D3" w:rsidRPr="00552B3A">
        <w:rPr>
          <w:rFonts w:ascii="Arial" w:hAnsi="Arial" w:cs="Arial"/>
          <w:sz w:val="22"/>
          <w:szCs w:val="22"/>
        </w:rPr>
        <w:t>Moreover, DOI</w:t>
      </w:r>
      <w:r w:rsidR="003D1F25" w:rsidRPr="00552B3A">
        <w:rPr>
          <w:rFonts w:ascii="Arial" w:hAnsi="Arial" w:cs="Arial"/>
          <w:sz w:val="22"/>
          <w:szCs w:val="22"/>
        </w:rPr>
        <w:t xml:space="preserve"> CCFs </w:t>
      </w:r>
      <w:r w:rsidR="009D36F3" w:rsidRPr="00552B3A">
        <w:rPr>
          <w:rFonts w:ascii="Arial" w:hAnsi="Arial" w:cs="Arial"/>
          <w:sz w:val="22"/>
          <w:szCs w:val="22"/>
        </w:rPr>
        <w:t xml:space="preserve">decayed faster in all critical </w:t>
      </w:r>
      <w:r w:rsidR="009D36F3" w:rsidRPr="00552B3A">
        <w:rPr>
          <w:rFonts w:ascii="Arial" w:hAnsi="Arial" w:cs="Arial"/>
          <w:sz w:val="22"/>
          <w:szCs w:val="22"/>
        </w:rPr>
        <w:lastRenderedPageBreak/>
        <w:t>regions, with stronger decreases in the cingulate and retrosplenial areas.</w:t>
      </w:r>
      <w:r w:rsidR="00873EEF" w:rsidRPr="00552B3A">
        <w:rPr>
          <w:rFonts w:ascii="Arial" w:hAnsi="Arial" w:cs="Arial"/>
          <w:sz w:val="22"/>
          <w:szCs w:val="22"/>
        </w:rPr>
        <w:t xml:space="preserve"> </w:t>
      </w:r>
      <w:r w:rsidR="009D36F3" w:rsidRPr="00552B3A">
        <w:rPr>
          <w:rFonts w:ascii="Arial" w:hAnsi="Arial" w:cs="Arial"/>
          <w:sz w:val="22"/>
          <w:szCs w:val="22"/>
        </w:rPr>
        <w:t xml:space="preserve">DOI+MDL predominantly reflected pre-injection </w:t>
      </w:r>
      <w:r w:rsidR="007F3558" w:rsidRPr="00552B3A">
        <w:rPr>
          <w:rFonts w:ascii="Arial" w:hAnsi="Arial" w:cs="Arial"/>
          <w:sz w:val="22"/>
          <w:szCs w:val="22"/>
        </w:rPr>
        <w:t>CCFs,</w:t>
      </w:r>
      <w:r w:rsidR="009D36F3" w:rsidRPr="00552B3A">
        <w:rPr>
          <w:rFonts w:ascii="Arial" w:hAnsi="Arial" w:cs="Arial"/>
          <w:sz w:val="22"/>
          <w:szCs w:val="22"/>
        </w:rPr>
        <w:t xml:space="preserve"> except for</w:t>
      </w:r>
      <w:r w:rsidR="005E20F0" w:rsidRPr="00552B3A">
        <w:rPr>
          <w:rFonts w:ascii="Arial" w:hAnsi="Arial" w:cs="Arial"/>
          <w:sz w:val="22"/>
          <w:szCs w:val="22"/>
        </w:rPr>
        <w:t xml:space="preserve"> </w:t>
      </w:r>
      <w:r w:rsidR="00447B21" w:rsidRPr="00552B3A">
        <w:rPr>
          <w:rFonts w:ascii="Arial" w:hAnsi="Arial" w:cs="Arial"/>
          <w:sz w:val="22"/>
          <w:szCs w:val="22"/>
        </w:rPr>
        <w:t>negative-lag</w:t>
      </w:r>
      <w:r w:rsidR="001674B6" w:rsidRPr="00552B3A">
        <w:rPr>
          <w:rFonts w:ascii="Arial" w:hAnsi="Arial" w:cs="Arial"/>
          <w:sz w:val="22"/>
          <w:szCs w:val="22"/>
        </w:rPr>
        <w:t>ged</w:t>
      </w:r>
      <w:r w:rsidR="009D36F3" w:rsidRPr="00552B3A">
        <w:rPr>
          <w:rFonts w:ascii="Arial" w:hAnsi="Arial" w:cs="Arial"/>
          <w:sz w:val="22"/>
          <w:szCs w:val="22"/>
        </w:rPr>
        <w:t xml:space="preserve"> </w:t>
      </w:r>
      <w:r w:rsidR="00732D39" w:rsidRPr="00552B3A">
        <w:rPr>
          <w:rFonts w:ascii="Arial" w:hAnsi="Arial" w:cs="Arial"/>
          <w:sz w:val="22"/>
          <w:szCs w:val="22"/>
        </w:rPr>
        <w:t>decreases</w:t>
      </w:r>
      <w:r w:rsidR="00447B21" w:rsidRPr="00552B3A">
        <w:rPr>
          <w:rFonts w:ascii="Arial" w:hAnsi="Arial" w:cs="Arial"/>
          <w:sz w:val="22"/>
          <w:szCs w:val="22"/>
        </w:rPr>
        <w:t xml:space="preserve"> </w:t>
      </w:r>
      <w:r w:rsidR="009D36F3" w:rsidRPr="00552B3A">
        <w:rPr>
          <w:rFonts w:ascii="Arial" w:hAnsi="Arial" w:cs="Arial"/>
          <w:sz w:val="22"/>
          <w:szCs w:val="22"/>
        </w:rPr>
        <w:t xml:space="preserve">in somatosensory and parietal regions. </w:t>
      </w:r>
    </w:p>
    <w:p w14:paraId="5883DCFC" w14:textId="77777777" w:rsidR="009D36F3" w:rsidRPr="00552B3A" w:rsidRDefault="009D36F3" w:rsidP="009D36F3">
      <w:pPr>
        <w:contextualSpacing/>
        <w:mirrorIndents/>
        <w:rPr>
          <w:rFonts w:ascii="Arial" w:hAnsi="Arial" w:cs="Arial"/>
          <w:sz w:val="22"/>
          <w:szCs w:val="22"/>
        </w:rPr>
      </w:pPr>
      <w:bookmarkStart w:id="6" w:name="_Hlk146192132"/>
      <w:bookmarkEnd w:id="5"/>
    </w:p>
    <w:p w14:paraId="01CF8768" w14:textId="77777777" w:rsidR="00153766" w:rsidRPr="00552B3A" w:rsidRDefault="009D36F3" w:rsidP="009D36F3">
      <w:pPr>
        <w:contextualSpacing/>
        <w:mirrorIndents/>
        <w:rPr>
          <w:rFonts w:ascii="Arial" w:hAnsi="Arial" w:cs="Arial"/>
          <w:sz w:val="22"/>
          <w:szCs w:val="22"/>
        </w:rPr>
      </w:pPr>
      <w:r w:rsidRPr="00552B3A">
        <w:rPr>
          <w:rFonts w:ascii="Arial" w:hAnsi="Arial" w:cs="Arial"/>
          <w:sz w:val="22"/>
          <w:szCs w:val="22"/>
        </w:rPr>
        <w:t xml:space="preserve">Regional contributions to global </w:t>
      </w:r>
      <w:r w:rsidR="00277078" w:rsidRPr="00552B3A">
        <w:rPr>
          <w:rFonts w:ascii="Arial" w:hAnsi="Arial" w:cs="Arial"/>
          <w:sz w:val="22"/>
          <w:szCs w:val="22"/>
        </w:rPr>
        <w:t>MSC</w:t>
      </w:r>
      <w:r w:rsidRPr="00552B3A">
        <w:rPr>
          <w:rFonts w:ascii="Arial" w:hAnsi="Arial" w:cs="Arial"/>
          <w:sz w:val="22"/>
          <w:szCs w:val="22"/>
        </w:rPr>
        <w:t xml:space="preserve"> </w:t>
      </w:r>
      <w:r w:rsidR="004B57F1" w:rsidRPr="00552B3A">
        <w:rPr>
          <w:rFonts w:ascii="Arial" w:hAnsi="Arial" w:cs="Arial"/>
          <w:sz w:val="22"/>
          <w:szCs w:val="22"/>
        </w:rPr>
        <w:t>were</w:t>
      </w:r>
      <w:r w:rsidR="00277078" w:rsidRPr="00552B3A">
        <w:rPr>
          <w:rFonts w:ascii="Arial" w:hAnsi="Arial" w:cs="Arial"/>
          <w:sz w:val="22"/>
          <w:szCs w:val="22"/>
        </w:rPr>
        <w:t xml:space="preserve"> evaluated </w:t>
      </w:r>
      <w:r w:rsidRPr="00552B3A">
        <w:rPr>
          <w:rFonts w:ascii="Arial" w:hAnsi="Arial" w:cs="Arial"/>
          <w:sz w:val="22"/>
          <w:szCs w:val="22"/>
        </w:rPr>
        <w:t>(</w:t>
      </w:r>
      <w:r w:rsidRPr="00552B3A">
        <w:rPr>
          <w:rFonts w:ascii="Arial" w:hAnsi="Arial" w:cs="Arial"/>
          <w:b/>
          <w:bCs/>
          <w:sz w:val="22"/>
          <w:szCs w:val="22"/>
        </w:rPr>
        <w:t>Fig. S7b</w:t>
      </w:r>
      <w:r w:rsidRPr="00552B3A">
        <w:rPr>
          <w:rFonts w:ascii="Arial" w:hAnsi="Arial" w:cs="Arial"/>
          <w:sz w:val="22"/>
          <w:szCs w:val="22"/>
        </w:rPr>
        <w:t xml:space="preserve">). </w:t>
      </w:r>
      <w:r w:rsidR="003B2586" w:rsidRPr="00552B3A">
        <w:rPr>
          <w:rFonts w:ascii="Arial" w:hAnsi="Arial" w:cs="Arial"/>
          <w:sz w:val="22"/>
          <w:szCs w:val="22"/>
        </w:rPr>
        <w:t>A</w:t>
      </w:r>
      <w:r w:rsidR="005C4846" w:rsidRPr="00552B3A">
        <w:rPr>
          <w:rFonts w:ascii="Arial" w:hAnsi="Arial" w:cs="Arial"/>
          <w:sz w:val="22"/>
          <w:szCs w:val="22"/>
        </w:rPr>
        <w:t xml:space="preserve">s </w:t>
      </w:r>
      <w:r w:rsidR="0039487A" w:rsidRPr="00552B3A">
        <w:rPr>
          <w:rFonts w:ascii="Arial" w:hAnsi="Arial" w:cs="Arial"/>
          <w:sz w:val="22"/>
          <w:szCs w:val="22"/>
        </w:rPr>
        <w:t>reported</w:t>
      </w:r>
      <w:r w:rsidR="005C4846" w:rsidRPr="00552B3A">
        <w:rPr>
          <w:rFonts w:ascii="Arial" w:hAnsi="Arial" w:cs="Arial"/>
          <w:sz w:val="22"/>
          <w:szCs w:val="22"/>
        </w:rPr>
        <w:t xml:space="preserve"> in global measures,</w:t>
      </w:r>
      <w:r w:rsidR="00277078" w:rsidRPr="00552B3A">
        <w:rPr>
          <w:rFonts w:ascii="Arial" w:hAnsi="Arial" w:cs="Arial"/>
          <w:sz w:val="22"/>
          <w:szCs w:val="22"/>
        </w:rPr>
        <w:t xml:space="preserve"> </w:t>
      </w:r>
      <w:r w:rsidR="003B2586" w:rsidRPr="00552B3A">
        <w:rPr>
          <w:rFonts w:ascii="Arial" w:hAnsi="Arial" w:cs="Arial"/>
          <w:sz w:val="22"/>
          <w:szCs w:val="22"/>
        </w:rPr>
        <w:t>before administration</w:t>
      </w:r>
      <w:r w:rsidR="004B4F38" w:rsidRPr="00552B3A">
        <w:rPr>
          <w:rFonts w:ascii="Arial" w:hAnsi="Arial" w:cs="Arial"/>
          <w:sz w:val="22"/>
          <w:szCs w:val="22"/>
        </w:rPr>
        <w:t xml:space="preserve"> of drugs</w:t>
      </w:r>
      <w:r w:rsidR="003B2586" w:rsidRPr="00552B3A">
        <w:rPr>
          <w:rFonts w:ascii="Arial" w:hAnsi="Arial" w:cs="Arial"/>
          <w:sz w:val="22"/>
          <w:szCs w:val="22"/>
        </w:rPr>
        <w:t xml:space="preserve">, </w:t>
      </w:r>
      <w:r w:rsidR="00910731" w:rsidRPr="00552B3A">
        <w:rPr>
          <w:rFonts w:ascii="Arial" w:hAnsi="Arial" w:cs="Arial"/>
          <w:sz w:val="22"/>
          <w:szCs w:val="22"/>
        </w:rPr>
        <w:t>strong</w:t>
      </w:r>
      <w:r w:rsidRPr="00552B3A">
        <w:rPr>
          <w:rFonts w:ascii="Arial" w:hAnsi="Arial" w:cs="Arial"/>
          <w:sz w:val="22"/>
          <w:szCs w:val="22"/>
        </w:rPr>
        <w:t xml:space="preserve"> </w:t>
      </w:r>
      <w:r w:rsidR="009B14B4" w:rsidRPr="00552B3A">
        <w:rPr>
          <w:rFonts w:ascii="Arial" w:hAnsi="Arial" w:cs="Arial"/>
          <w:sz w:val="22"/>
          <w:szCs w:val="22"/>
        </w:rPr>
        <w:t xml:space="preserve">coherence </w:t>
      </w:r>
      <w:r w:rsidR="00D32BD4" w:rsidRPr="00552B3A">
        <w:rPr>
          <w:rFonts w:ascii="Arial" w:hAnsi="Arial" w:cs="Arial"/>
          <w:sz w:val="22"/>
          <w:szCs w:val="22"/>
        </w:rPr>
        <w:t>was restricted to</w:t>
      </w:r>
      <w:r w:rsidR="00910731" w:rsidRPr="00552B3A">
        <w:rPr>
          <w:rFonts w:ascii="Arial" w:hAnsi="Arial" w:cs="Arial"/>
          <w:sz w:val="22"/>
          <w:szCs w:val="22"/>
        </w:rPr>
        <w:t xml:space="preserve"> </w:t>
      </w:r>
      <w:r w:rsidRPr="00552B3A">
        <w:rPr>
          <w:rFonts w:ascii="Arial" w:hAnsi="Arial" w:cs="Arial"/>
          <w:sz w:val="22"/>
          <w:szCs w:val="22"/>
        </w:rPr>
        <w:t>low frequenc</w:t>
      </w:r>
      <w:r w:rsidR="00FF6446" w:rsidRPr="00552B3A">
        <w:rPr>
          <w:rFonts w:ascii="Arial" w:hAnsi="Arial" w:cs="Arial"/>
          <w:sz w:val="22"/>
          <w:szCs w:val="22"/>
        </w:rPr>
        <w:t>ies</w:t>
      </w:r>
      <w:r w:rsidRPr="00552B3A">
        <w:rPr>
          <w:rFonts w:ascii="Arial" w:hAnsi="Arial" w:cs="Arial"/>
          <w:sz w:val="22"/>
          <w:szCs w:val="22"/>
        </w:rPr>
        <w:t xml:space="preserve"> (&lt;0.5 Hz</w:t>
      </w:r>
      <w:r w:rsidR="00153766" w:rsidRPr="00552B3A">
        <w:rPr>
          <w:rFonts w:ascii="Arial" w:hAnsi="Arial" w:cs="Arial"/>
          <w:sz w:val="22"/>
          <w:szCs w:val="22"/>
        </w:rPr>
        <w:t>) and</w:t>
      </w:r>
      <w:r w:rsidR="00580FA1" w:rsidRPr="00552B3A">
        <w:rPr>
          <w:rFonts w:ascii="Arial" w:hAnsi="Arial" w:cs="Arial"/>
          <w:sz w:val="22"/>
          <w:szCs w:val="22"/>
        </w:rPr>
        <w:t xml:space="preserve"> was strongest in</w:t>
      </w:r>
      <w:r w:rsidR="00BF19B7" w:rsidRPr="00552B3A">
        <w:rPr>
          <w:rFonts w:ascii="Arial" w:hAnsi="Arial" w:cs="Arial"/>
          <w:sz w:val="22"/>
          <w:szCs w:val="22"/>
        </w:rPr>
        <w:t xml:space="preserve"> </w:t>
      </w:r>
      <w:r w:rsidRPr="00552B3A">
        <w:rPr>
          <w:rFonts w:ascii="Arial" w:hAnsi="Arial" w:cs="Arial"/>
          <w:sz w:val="22"/>
          <w:szCs w:val="22"/>
        </w:rPr>
        <w:t>somatosensory and parietal regions</w:t>
      </w:r>
      <w:r w:rsidR="0050070B" w:rsidRPr="00552B3A">
        <w:rPr>
          <w:rFonts w:ascii="Arial" w:hAnsi="Arial" w:cs="Arial"/>
          <w:sz w:val="22"/>
          <w:szCs w:val="22"/>
        </w:rPr>
        <w:t xml:space="preserve">. Coherence was </w:t>
      </w:r>
      <w:r w:rsidR="00216D4A" w:rsidRPr="00552B3A">
        <w:rPr>
          <w:rFonts w:ascii="Arial" w:hAnsi="Arial" w:cs="Arial"/>
          <w:sz w:val="22"/>
          <w:szCs w:val="22"/>
        </w:rPr>
        <w:t xml:space="preserve">weakest </w:t>
      </w:r>
      <w:r w:rsidRPr="00552B3A">
        <w:rPr>
          <w:rFonts w:ascii="Arial" w:hAnsi="Arial" w:cs="Arial"/>
          <w:sz w:val="22"/>
          <w:szCs w:val="22"/>
        </w:rPr>
        <w:t xml:space="preserve">in frontal, cingulate, motor, and retrosplenial regions. </w:t>
      </w:r>
    </w:p>
    <w:p w14:paraId="020042F7" w14:textId="77777777" w:rsidR="00153766" w:rsidRPr="00552B3A" w:rsidRDefault="00153766" w:rsidP="009D36F3">
      <w:pPr>
        <w:contextualSpacing/>
        <w:mirrorIndents/>
        <w:rPr>
          <w:rFonts w:ascii="Arial" w:hAnsi="Arial" w:cs="Arial"/>
          <w:sz w:val="22"/>
          <w:szCs w:val="22"/>
        </w:rPr>
      </w:pPr>
    </w:p>
    <w:p w14:paraId="09A11A9E" w14:textId="06249D64" w:rsidR="009D36F3" w:rsidRPr="00552B3A" w:rsidRDefault="009D36F3" w:rsidP="009D36F3">
      <w:pPr>
        <w:contextualSpacing/>
        <w:mirrorIndents/>
        <w:rPr>
          <w:rFonts w:ascii="Arial" w:hAnsi="Arial" w:cs="Arial"/>
          <w:sz w:val="22"/>
          <w:szCs w:val="22"/>
        </w:rPr>
      </w:pPr>
      <w:r w:rsidRPr="00552B3A">
        <w:rPr>
          <w:rFonts w:ascii="Arial" w:hAnsi="Arial" w:cs="Arial"/>
          <w:sz w:val="22"/>
          <w:szCs w:val="22"/>
        </w:rPr>
        <w:t xml:space="preserve">After injection of DOI, </w:t>
      </w:r>
      <w:r w:rsidR="00DF23FB" w:rsidRPr="00552B3A">
        <w:rPr>
          <w:rFonts w:ascii="Arial" w:hAnsi="Arial" w:cs="Arial"/>
          <w:sz w:val="22"/>
          <w:szCs w:val="22"/>
        </w:rPr>
        <w:t>low-frequency coherence decreased</w:t>
      </w:r>
      <w:r w:rsidRPr="00552B3A">
        <w:rPr>
          <w:rFonts w:ascii="Arial" w:hAnsi="Arial" w:cs="Arial"/>
          <w:sz w:val="22"/>
          <w:szCs w:val="22"/>
        </w:rPr>
        <w:t xml:space="preserve"> and </w:t>
      </w:r>
      <w:r w:rsidR="00DF23FB" w:rsidRPr="00552B3A">
        <w:rPr>
          <w:rFonts w:ascii="Arial" w:hAnsi="Arial" w:cs="Arial"/>
          <w:sz w:val="22"/>
          <w:szCs w:val="22"/>
        </w:rPr>
        <w:t>MSC</w:t>
      </w:r>
      <w:r w:rsidR="009D525B" w:rsidRPr="00552B3A">
        <w:rPr>
          <w:rFonts w:ascii="Arial" w:hAnsi="Arial" w:cs="Arial"/>
          <w:sz w:val="22"/>
          <w:szCs w:val="22"/>
        </w:rPr>
        <w:t>s</w:t>
      </w:r>
      <w:r w:rsidR="00A35C62" w:rsidRPr="00552B3A">
        <w:rPr>
          <w:rFonts w:ascii="Arial" w:hAnsi="Arial" w:cs="Arial"/>
          <w:sz w:val="22"/>
          <w:szCs w:val="22"/>
        </w:rPr>
        <w:t xml:space="preserve"> exhibited </w:t>
      </w:r>
      <w:r w:rsidRPr="00552B3A">
        <w:rPr>
          <w:rFonts w:ascii="Arial" w:hAnsi="Arial" w:cs="Arial"/>
          <w:sz w:val="22"/>
          <w:szCs w:val="22"/>
        </w:rPr>
        <w:t>prominent regional</w:t>
      </w:r>
      <w:r w:rsidR="00D66A9E" w:rsidRPr="00552B3A">
        <w:rPr>
          <w:rFonts w:ascii="Arial" w:hAnsi="Arial" w:cs="Arial"/>
          <w:sz w:val="22"/>
          <w:szCs w:val="22"/>
        </w:rPr>
        <w:t>ly</w:t>
      </w:r>
      <w:r w:rsidR="001C692A" w:rsidRPr="00552B3A">
        <w:rPr>
          <w:rFonts w:ascii="Arial" w:hAnsi="Arial" w:cs="Arial"/>
          <w:sz w:val="22"/>
          <w:szCs w:val="22"/>
        </w:rPr>
        <w:t xml:space="preserve"> </w:t>
      </w:r>
      <w:r w:rsidRPr="00552B3A">
        <w:rPr>
          <w:rFonts w:ascii="Arial" w:hAnsi="Arial" w:cs="Arial"/>
          <w:sz w:val="22"/>
          <w:szCs w:val="22"/>
        </w:rPr>
        <w:t>specific changes. In this view, it</w:t>
      </w:r>
      <w:r w:rsidR="00244765" w:rsidRPr="00552B3A">
        <w:rPr>
          <w:rFonts w:ascii="Arial" w:hAnsi="Arial" w:cs="Arial"/>
          <w:sz w:val="22"/>
          <w:szCs w:val="22"/>
        </w:rPr>
        <w:t xml:space="preserve"> is</w:t>
      </w:r>
      <w:r w:rsidR="00887AF1" w:rsidRPr="00552B3A">
        <w:rPr>
          <w:rFonts w:ascii="Arial" w:hAnsi="Arial" w:cs="Arial"/>
          <w:sz w:val="22"/>
          <w:szCs w:val="22"/>
        </w:rPr>
        <w:t xml:space="preserve"> </w:t>
      </w:r>
      <w:r w:rsidR="00161554" w:rsidRPr="00552B3A">
        <w:rPr>
          <w:rFonts w:ascii="Arial" w:hAnsi="Arial" w:cs="Arial"/>
          <w:sz w:val="22"/>
          <w:szCs w:val="22"/>
        </w:rPr>
        <w:t xml:space="preserve">evident </w:t>
      </w:r>
      <w:r w:rsidRPr="00552B3A">
        <w:rPr>
          <w:rFonts w:ascii="Arial" w:hAnsi="Arial" w:cs="Arial"/>
          <w:sz w:val="22"/>
          <w:szCs w:val="22"/>
        </w:rPr>
        <w:t xml:space="preserve">that the emergent 0.8 Hz global </w:t>
      </w:r>
      <w:r w:rsidR="00672260" w:rsidRPr="00552B3A">
        <w:rPr>
          <w:rFonts w:ascii="Arial" w:hAnsi="Arial" w:cs="Arial"/>
          <w:sz w:val="22"/>
          <w:szCs w:val="22"/>
        </w:rPr>
        <w:t>MSC</w:t>
      </w:r>
      <w:r w:rsidRPr="00552B3A">
        <w:rPr>
          <w:rFonts w:ascii="Arial" w:hAnsi="Arial" w:cs="Arial"/>
          <w:sz w:val="22"/>
          <w:szCs w:val="22"/>
        </w:rPr>
        <w:t xml:space="preserve"> peak </w:t>
      </w:r>
      <w:r w:rsidR="00687A32" w:rsidRPr="00552B3A">
        <w:rPr>
          <w:rFonts w:ascii="Arial" w:hAnsi="Arial" w:cs="Arial"/>
          <w:sz w:val="22"/>
          <w:szCs w:val="22"/>
        </w:rPr>
        <w:t>arose</w:t>
      </w:r>
      <w:r w:rsidRPr="00552B3A">
        <w:rPr>
          <w:rFonts w:ascii="Arial" w:hAnsi="Arial" w:cs="Arial"/>
          <w:sz w:val="22"/>
          <w:szCs w:val="22"/>
        </w:rPr>
        <w:t xml:space="preserve"> </w:t>
      </w:r>
      <w:r w:rsidR="00600AF4" w:rsidRPr="00552B3A">
        <w:rPr>
          <w:rFonts w:ascii="Arial" w:hAnsi="Arial" w:cs="Arial"/>
          <w:sz w:val="22"/>
          <w:szCs w:val="22"/>
        </w:rPr>
        <w:t xml:space="preserve">primarily </w:t>
      </w:r>
      <w:r w:rsidRPr="00552B3A">
        <w:rPr>
          <w:rFonts w:ascii="Arial" w:hAnsi="Arial" w:cs="Arial"/>
          <w:sz w:val="22"/>
          <w:szCs w:val="22"/>
        </w:rPr>
        <w:t xml:space="preserve">from increased coherence in higher association regions </w:t>
      </w:r>
      <w:r w:rsidR="00261D24" w:rsidRPr="00552B3A">
        <w:rPr>
          <w:rFonts w:ascii="Arial" w:hAnsi="Arial" w:cs="Arial"/>
          <w:sz w:val="22"/>
          <w:szCs w:val="22"/>
        </w:rPr>
        <w:t xml:space="preserve">such as </w:t>
      </w:r>
      <w:r w:rsidRPr="00552B3A">
        <w:rPr>
          <w:rFonts w:ascii="Arial" w:hAnsi="Arial" w:cs="Arial"/>
          <w:sz w:val="22"/>
          <w:szCs w:val="22"/>
        </w:rPr>
        <w:t>cingulate, secondary motor, and retrosplenial</w:t>
      </w:r>
      <w:r w:rsidR="00673456" w:rsidRPr="00552B3A">
        <w:rPr>
          <w:rFonts w:ascii="Arial" w:hAnsi="Arial" w:cs="Arial"/>
          <w:sz w:val="22"/>
          <w:szCs w:val="22"/>
        </w:rPr>
        <w:t xml:space="preserve"> cortices</w:t>
      </w:r>
      <w:r w:rsidRPr="00552B3A">
        <w:rPr>
          <w:rFonts w:ascii="Arial" w:hAnsi="Arial" w:cs="Arial"/>
          <w:sz w:val="22"/>
          <w:szCs w:val="22"/>
        </w:rPr>
        <w:t>.</w:t>
      </w:r>
      <w:r w:rsidR="00D13E2B" w:rsidRPr="00552B3A">
        <w:rPr>
          <w:rFonts w:ascii="Arial" w:hAnsi="Arial" w:cs="Arial"/>
          <w:sz w:val="22"/>
          <w:szCs w:val="22"/>
        </w:rPr>
        <w:t xml:space="preserve"> Notably</w:t>
      </w:r>
      <w:r w:rsidRPr="00552B3A">
        <w:rPr>
          <w:rFonts w:ascii="Arial" w:hAnsi="Arial" w:cs="Arial"/>
          <w:sz w:val="22"/>
          <w:szCs w:val="22"/>
        </w:rPr>
        <w:t xml:space="preserve">, before injection of DOI, these </w:t>
      </w:r>
      <w:r w:rsidR="008D39E2" w:rsidRPr="00552B3A">
        <w:rPr>
          <w:rFonts w:ascii="Arial" w:hAnsi="Arial" w:cs="Arial"/>
          <w:sz w:val="22"/>
          <w:szCs w:val="22"/>
        </w:rPr>
        <w:t xml:space="preserve">regions </w:t>
      </w:r>
      <w:r w:rsidR="002573FA" w:rsidRPr="00552B3A">
        <w:rPr>
          <w:rFonts w:ascii="Arial" w:hAnsi="Arial" w:cs="Arial"/>
          <w:sz w:val="22"/>
          <w:szCs w:val="22"/>
        </w:rPr>
        <w:t>showed</w:t>
      </w:r>
      <w:r w:rsidR="00211C4A" w:rsidRPr="00552B3A">
        <w:rPr>
          <w:rFonts w:ascii="Arial" w:hAnsi="Arial" w:cs="Arial"/>
          <w:sz w:val="22"/>
          <w:szCs w:val="22"/>
        </w:rPr>
        <w:t xml:space="preserve"> </w:t>
      </w:r>
      <w:r w:rsidRPr="00552B3A">
        <w:rPr>
          <w:rFonts w:ascii="Arial" w:hAnsi="Arial" w:cs="Arial"/>
          <w:sz w:val="22"/>
          <w:szCs w:val="22"/>
        </w:rPr>
        <w:t>low</w:t>
      </w:r>
      <w:r w:rsidR="00673456" w:rsidRPr="00552B3A">
        <w:rPr>
          <w:rFonts w:ascii="Arial" w:hAnsi="Arial" w:cs="Arial"/>
          <w:sz w:val="22"/>
          <w:szCs w:val="22"/>
        </w:rPr>
        <w:t>,</w:t>
      </w:r>
      <w:r w:rsidRPr="00552B3A">
        <w:rPr>
          <w:rFonts w:ascii="Arial" w:hAnsi="Arial" w:cs="Arial"/>
          <w:sz w:val="22"/>
          <w:szCs w:val="22"/>
        </w:rPr>
        <w:t xml:space="preserve"> broad-band coherence. </w:t>
      </w:r>
      <w:r w:rsidR="00B902A3" w:rsidRPr="00552B3A">
        <w:rPr>
          <w:rFonts w:ascii="Arial" w:hAnsi="Arial" w:cs="Arial"/>
          <w:sz w:val="22"/>
          <w:szCs w:val="22"/>
        </w:rPr>
        <w:t>Following</w:t>
      </w:r>
      <w:r w:rsidRPr="00552B3A">
        <w:rPr>
          <w:rFonts w:ascii="Arial" w:hAnsi="Arial" w:cs="Arial"/>
          <w:sz w:val="22"/>
          <w:szCs w:val="22"/>
        </w:rPr>
        <w:t xml:space="preserve"> injection of DOI+MDL, regional coherence primarily reflected pre-injection </w:t>
      </w:r>
      <w:r w:rsidR="00BC0E3F" w:rsidRPr="00552B3A">
        <w:rPr>
          <w:rFonts w:ascii="Arial" w:hAnsi="Arial" w:cs="Arial"/>
          <w:sz w:val="22"/>
          <w:szCs w:val="22"/>
        </w:rPr>
        <w:t>characteristics.</w:t>
      </w:r>
    </w:p>
    <w:p w14:paraId="0BB78F96" w14:textId="4A9F7276" w:rsidR="00B902A3" w:rsidRPr="00552B3A" w:rsidRDefault="00B902A3" w:rsidP="009D36F3">
      <w:pPr>
        <w:contextualSpacing/>
        <w:mirrorIndents/>
        <w:rPr>
          <w:rFonts w:ascii="Arial" w:hAnsi="Arial" w:cs="Arial"/>
          <w:sz w:val="22"/>
          <w:szCs w:val="22"/>
        </w:rPr>
      </w:pPr>
    </w:p>
    <w:p w14:paraId="6072F752" w14:textId="77777777" w:rsidR="0006669D" w:rsidRPr="00552B3A" w:rsidRDefault="0061016B" w:rsidP="008D76DF">
      <w:pPr>
        <w:contextualSpacing/>
        <w:mirrorIndents/>
        <w:rPr>
          <w:rFonts w:ascii="Arial" w:hAnsi="Arial" w:cs="Arial"/>
          <w:sz w:val="22"/>
          <w:szCs w:val="22"/>
        </w:rPr>
      </w:pPr>
      <w:r w:rsidRPr="00552B3A">
        <w:rPr>
          <w:rFonts w:ascii="Arial" w:hAnsi="Arial" w:cs="Arial"/>
          <w:sz w:val="22"/>
          <w:szCs w:val="22"/>
        </w:rPr>
        <w:t>Before injection</w:t>
      </w:r>
      <w:r w:rsidR="00AD1B14" w:rsidRPr="00552B3A">
        <w:rPr>
          <w:rFonts w:ascii="Arial" w:hAnsi="Arial" w:cs="Arial"/>
          <w:sz w:val="22"/>
          <w:szCs w:val="22"/>
        </w:rPr>
        <w:t xml:space="preserve"> of drugs</w:t>
      </w:r>
      <w:r w:rsidRPr="00552B3A">
        <w:rPr>
          <w:rFonts w:ascii="Arial" w:hAnsi="Arial" w:cs="Arial"/>
          <w:sz w:val="22"/>
          <w:szCs w:val="22"/>
        </w:rPr>
        <w:t xml:space="preserve">, regional phase </w:t>
      </w:r>
      <w:r w:rsidR="00B979CA" w:rsidRPr="00552B3A">
        <w:rPr>
          <w:rFonts w:ascii="Arial" w:hAnsi="Arial" w:cs="Arial"/>
          <w:sz w:val="22"/>
          <w:szCs w:val="22"/>
        </w:rPr>
        <w:t>relations</w:t>
      </w:r>
      <w:r w:rsidRPr="00552B3A">
        <w:rPr>
          <w:rFonts w:ascii="Arial" w:hAnsi="Arial" w:cs="Arial"/>
          <w:sz w:val="22"/>
          <w:szCs w:val="22"/>
        </w:rPr>
        <w:t xml:space="preserve"> </w:t>
      </w:r>
      <w:r w:rsidR="00155523" w:rsidRPr="00552B3A">
        <w:rPr>
          <w:rFonts w:ascii="Arial" w:hAnsi="Arial" w:cs="Arial"/>
          <w:sz w:val="22"/>
          <w:szCs w:val="22"/>
        </w:rPr>
        <w:t xml:space="preserve">did not </w:t>
      </w:r>
      <w:r w:rsidR="00C61AF2" w:rsidRPr="00552B3A">
        <w:rPr>
          <w:rFonts w:ascii="Arial" w:hAnsi="Arial" w:cs="Arial"/>
          <w:sz w:val="22"/>
          <w:szCs w:val="22"/>
        </w:rPr>
        <w:t>show</w:t>
      </w:r>
      <w:r w:rsidR="00155523" w:rsidRPr="00552B3A">
        <w:rPr>
          <w:rFonts w:ascii="Arial" w:hAnsi="Arial" w:cs="Arial"/>
          <w:sz w:val="22"/>
          <w:szCs w:val="22"/>
        </w:rPr>
        <w:t xml:space="preserve"> </w:t>
      </w:r>
      <w:r w:rsidR="00C61AF2" w:rsidRPr="00552B3A">
        <w:rPr>
          <w:rFonts w:ascii="Arial" w:hAnsi="Arial" w:cs="Arial"/>
          <w:sz w:val="22"/>
          <w:szCs w:val="22"/>
        </w:rPr>
        <w:t xml:space="preserve">topographic </w:t>
      </w:r>
      <w:r w:rsidR="00155523" w:rsidRPr="00552B3A">
        <w:rPr>
          <w:rFonts w:ascii="Arial" w:hAnsi="Arial" w:cs="Arial"/>
          <w:sz w:val="22"/>
          <w:szCs w:val="22"/>
        </w:rPr>
        <w:t>specificity</w:t>
      </w:r>
      <w:r w:rsidR="00AC52A8" w:rsidRPr="00552B3A">
        <w:rPr>
          <w:rFonts w:ascii="Arial" w:hAnsi="Arial" w:cs="Arial"/>
          <w:sz w:val="22"/>
          <w:szCs w:val="22"/>
        </w:rPr>
        <w:t xml:space="preserve"> </w:t>
      </w:r>
      <w:r w:rsidRPr="00552B3A">
        <w:rPr>
          <w:rFonts w:ascii="Arial" w:hAnsi="Arial" w:cs="Arial"/>
          <w:sz w:val="22"/>
          <w:szCs w:val="22"/>
        </w:rPr>
        <w:t>(</w:t>
      </w:r>
      <w:r w:rsidRPr="00552B3A">
        <w:rPr>
          <w:rFonts w:ascii="Arial" w:hAnsi="Arial" w:cs="Arial"/>
          <w:b/>
          <w:bCs/>
          <w:sz w:val="22"/>
          <w:szCs w:val="22"/>
        </w:rPr>
        <w:t>Fig. S6c</w:t>
      </w:r>
      <w:r w:rsidRPr="00552B3A">
        <w:rPr>
          <w:rFonts w:ascii="Arial" w:hAnsi="Arial" w:cs="Arial"/>
          <w:sz w:val="22"/>
          <w:szCs w:val="22"/>
        </w:rPr>
        <w:t>)</w:t>
      </w:r>
      <w:r w:rsidR="0088573B" w:rsidRPr="00552B3A">
        <w:rPr>
          <w:rFonts w:ascii="Arial" w:hAnsi="Arial" w:cs="Arial"/>
          <w:sz w:val="22"/>
          <w:szCs w:val="22"/>
        </w:rPr>
        <w:t>.</w:t>
      </w:r>
      <w:r w:rsidR="00AC52A8" w:rsidRPr="00552B3A">
        <w:rPr>
          <w:rFonts w:ascii="Arial" w:hAnsi="Arial" w:cs="Arial"/>
          <w:sz w:val="22"/>
          <w:szCs w:val="22"/>
        </w:rPr>
        <w:t xml:space="preserve"> After injection of DOI</w:t>
      </w:r>
      <w:r w:rsidR="00FF7E6B" w:rsidRPr="00552B3A">
        <w:rPr>
          <w:rFonts w:ascii="Arial" w:hAnsi="Arial" w:cs="Arial"/>
          <w:sz w:val="22"/>
          <w:szCs w:val="22"/>
        </w:rPr>
        <w:t xml:space="preserve"> and DOI+MDL</w:t>
      </w:r>
      <w:r w:rsidR="005B06D9" w:rsidRPr="00552B3A">
        <w:rPr>
          <w:rFonts w:ascii="Arial" w:hAnsi="Arial" w:cs="Arial"/>
          <w:sz w:val="22"/>
          <w:szCs w:val="22"/>
        </w:rPr>
        <w:t xml:space="preserve">, </w:t>
      </w:r>
      <w:r w:rsidR="0066230B" w:rsidRPr="00552B3A">
        <w:rPr>
          <w:rFonts w:ascii="Arial" w:hAnsi="Arial" w:cs="Arial"/>
          <w:sz w:val="22"/>
          <w:szCs w:val="22"/>
        </w:rPr>
        <w:t xml:space="preserve">most regions matched their pre-injection characteristics, </w:t>
      </w:r>
      <w:r w:rsidR="0070070A" w:rsidRPr="00552B3A">
        <w:rPr>
          <w:rFonts w:ascii="Arial" w:hAnsi="Arial" w:cs="Arial"/>
          <w:sz w:val="22"/>
          <w:szCs w:val="22"/>
        </w:rPr>
        <w:t>except for</w:t>
      </w:r>
      <w:r w:rsidR="0066230B" w:rsidRPr="00552B3A">
        <w:rPr>
          <w:rFonts w:ascii="Arial" w:hAnsi="Arial" w:cs="Arial"/>
          <w:sz w:val="22"/>
          <w:szCs w:val="22"/>
        </w:rPr>
        <w:t xml:space="preserve"> frontal, cingulate</w:t>
      </w:r>
      <w:r w:rsidR="003B0C16" w:rsidRPr="00552B3A">
        <w:rPr>
          <w:rFonts w:ascii="Arial" w:hAnsi="Arial" w:cs="Arial"/>
          <w:sz w:val="22"/>
          <w:szCs w:val="22"/>
        </w:rPr>
        <w:t xml:space="preserve">, and retrosplenial </w:t>
      </w:r>
      <w:r w:rsidR="003A606B" w:rsidRPr="00552B3A">
        <w:rPr>
          <w:rFonts w:ascii="Arial" w:hAnsi="Arial" w:cs="Arial"/>
          <w:sz w:val="22"/>
          <w:szCs w:val="22"/>
        </w:rPr>
        <w:t>regions</w:t>
      </w:r>
      <w:r w:rsidR="003B0C16" w:rsidRPr="00552B3A">
        <w:rPr>
          <w:rFonts w:ascii="Arial" w:hAnsi="Arial" w:cs="Arial"/>
          <w:sz w:val="22"/>
          <w:szCs w:val="22"/>
        </w:rPr>
        <w:t xml:space="preserve">. </w:t>
      </w:r>
      <w:bookmarkEnd w:id="6"/>
    </w:p>
    <w:p w14:paraId="145C3E0A" w14:textId="77777777" w:rsidR="0006669D" w:rsidRPr="00552B3A" w:rsidRDefault="0006669D">
      <w:pPr>
        <w:spacing w:after="160" w:line="259" w:lineRule="auto"/>
        <w:rPr>
          <w:rFonts w:ascii="Arial" w:hAnsi="Arial" w:cs="Arial"/>
          <w:sz w:val="22"/>
          <w:szCs w:val="22"/>
        </w:rPr>
      </w:pPr>
      <w:r w:rsidRPr="00552B3A">
        <w:rPr>
          <w:rFonts w:ascii="Arial" w:hAnsi="Arial" w:cs="Arial"/>
          <w:sz w:val="22"/>
          <w:szCs w:val="22"/>
        </w:rPr>
        <w:br w:type="page"/>
      </w:r>
    </w:p>
    <w:p w14:paraId="31C4C433" w14:textId="77777777" w:rsidR="0006669D" w:rsidRPr="00552B3A" w:rsidRDefault="0006669D" w:rsidP="0006669D">
      <w:pPr>
        <w:jc w:val="both"/>
        <w:rPr>
          <w:rFonts w:ascii="Arial" w:hAnsi="Arial" w:cs="Arial"/>
          <w:b/>
          <w:bCs/>
          <w:noProof/>
          <w:sz w:val="22"/>
          <w:szCs w:val="22"/>
        </w:rPr>
      </w:pPr>
      <w:r w:rsidRPr="00552B3A">
        <w:rPr>
          <w:rFonts w:ascii="Arial" w:hAnsi="Arial" w:cs="Arial"/>
          <w:b/>
          <w:bCs/>
          <w:noProof/>
          <w:sz w:val="22"/>
          <w:szCs w:val="22"/>
        </w:rPr>
        <w:lastRenderedPageBreak/>
        <w:drawing>
          <wp:inline distT="0" distB="0" distL="0" distR="0" wp14:anchorId="0E8CC7AE" wp14:editId="49D51728">
            <wp:extent cx="4756150" cy="6653530"/>
            <wp:effectExtent l="0" t="0" r="6350" b="0"/>
            <wp:docPr id="269197011"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197011" name="Picture 2" descr="A screenshot of a computer scree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56150" cy="6653530"/>
                    </a:xfrm>
                    <a:prstGeom prst="rect">
                      <a:avLst/>
                    </a:prstGeom>
                    <a:noFill/>
                    <a:ln>
                      <a:noFill/>
                    </a:ln>
                  </pic:spPr>
                </pic:pic>
              </a:graphicData>
            </a:graphic>
          </wp:inline>
        </w:drawing>
      </w:r>
    </w:p>
    <w:p w14:paraId="64A7A5B4" w14:textId="697459D0" w:rsidR="0006669D" w:rsidRPr="00552B3A" w:rsidRDefault="0006669D" w:rsidP="0006669D">
      <w:pPr>
        <w:jc w:val="both"/>
        <w:rPr>
          <w:rFonts w:ascii="Arial" w:hAnsi="Arial" w:cs="Arial"/>
          <w:sz w:val="22"/>
          <w:szCs w:val="22"/>
        </w:rPr>
      </w:pPr>
      <w:r w:rsidRPr="00552B3A">
        <w:rPr>
          <w:rFonts w:ascii="Arial" w:hAnsi="Arial" w:cs="Arial"/>
          <w:b/>
          <w:bCs/>
          <w:sz w:val="22"/>
          <w:szCs w:val="22"/>
        </w:rPr>
        <w:t xml:space="preserve">Supplemental Figure 1. DOI does not </w:t>
      </w:r>
      <w:r w:rsidR="008A5D83">
        <w:rPr>
          <w:rFonts w:ascii="Arial" w:hAnsi="Arial" w:cs="Arial"/>
          <w:b/>
          <w:bCs/>
          <w:sz w:val="22"/>
          <w:szCs w:val="22"/>
        </w:rPr>
        <w:t>increase</w:t>
      </w:r>
      <w:r w:rsidRPr="00552B3A">
        <w:rPr>
          <w:rFonts w:ascii="Arial" w:hAnsi="Arial" w:cs="Arial"/>
          <w:b/>
          <w:bCs/>
          <w:sz w:val="22"/>
          <w:szCs w:val="22"/>
        </w:rPr>
        <w:t xml:space="preserve"> motion during WFOI. </w:t>
      </w:r>
      <w:r w:rsidRPr="00552B3A">
        <w:rPr>
          <w:rFonts w:ascii="Arial" w:hAnsi="Arial" w:cs="Arial"/>
          <w:sz w:val="22"/>
          <w:szCs w:val="22"/>
        </w:rPr>
        <w:t>A</w:t>
      </w:r>
      <w:r w:rsidRPr="00552B3A">
        <w:rPr>
          <w:rFonts w:ascii="Arial" w:hAnsi="Arial" w:cs="Arial"/>
          <w:b/>
          <w:bCs/>
          <w:sz w:val="22"/>
          <w:szCs w:val="22"/>
        </w:rPr>
        <w:t xml:space="preserve"> </w:t>
      </w:r>
      <w:r w:rsidRPr="00552B3A">
        <w:rPr>
          <w:rFonts w:ascii="Arial" w:hAnsi="Arial" w:cs="Arial"/>
          <w:sz w:val="22"/>
          <w:szCs w:val="22"/>
        </w:rPr>
        <w:t xml:space="preserve">CMOS camera (frame rate: 20 Hz, field-of-view ~7cm-by-7cm), was placed in of the mouse to monitor movement. Frontal illumination was delivered through a 750 nm, near infrared (NIR), LED, and NIR polarizers were used to minimize specular reflection. Movies were recorded and time locked to WFOI. </w:t>
      </w:r>
      <w:r w:rsidRPr="00552B3A">
        <w:rPr>
          <w:rFonts w:ascii="Arial" w:hAnsi="Arial" w:cs="Arial"/>
          <w:b/>
          <w:bCs/>
          <w:sz w:val="22"/>
          <w:szCs w:val="22"/>
        </w:rPr>
        <w:t>a) Analysis pipeline of movement quantification</w:t>
      </w:r>
      <w:r w:rsidRPr="00552B3A">
        <w:rPr>
          <w:rFonts w:ascii="Arial" w:hAnsi="Arial" w:cs="Arial"/>
          <w:sz w:val="22"/>
          <w:szCs w:val="22"/>
        </w:rPr>
        <w:t xml:space="preserve">. Movies were binned by a factor of two to allow for quicker processing time and each pixel was normalized to their mean average intensity over the duration of acquisition. Each pixel was differentiated across time, rectified through squaring, added across all pixels, and then square-rooted to get a single root-sum squared (RSS) trace of movement for a given scan. Scan RSS traces were put into a histogram and averaged across all scans for a </w:t>
      </w:r>
      <w:r w:rsidRPr="00552B3A">
        <w:rPr>
          <w:rFonts w:ascii="Arial" w:hAnsi="Arial" w:cs="Arial"/>
          <w:sz w:val="22"/>
          <w:szCs w:val="22"/>
        </w:rPr>
        <w:lastRenderedPageBreak/>
        <w:t>given mouse and drug group. Movement’s spectral content was calculated using a smoothed estimate of power spectrum densities (</w:t>
      </w:r>
      <w:r w:rsidRPr="00552B3A">
        <w:rPr>
          <w:rFonts w:ascii="Arial" w:hAnsi="Arial" w:cs="Arial"/>
          <w:i/>
          <w:iCs/>
          <w:sz w:val="22"/>
          <w:szCs w:val="22"/>
        </w:rPr>
        <w:t>i.e.</w:t>
      </w:r>
      <w:r w:rsidRPr="00552B3A">
        <w:rPr>
          <w:rFonts w:ascii="Arial" w:hAnsi="Arial" w:cs="Arial"/>
          <w:sz w:val="22"/>
          <w:szCs w:val="22"/>
        </w:rPr>
        <w:t xml:space="preserve">, </w:t>
      </w:r>
      <w:proofErr w:type="spellStart"/>
      <w:r w:rsidRPr="00552B3A">
        <w:rPr>
          <w:rFonts w:ascii="Arial" w:hAnsi="Arial" w:cs="Arial"/>
          <w:sz w:val="22"/>
          <w:szCs w:val="22"/>
        </w:rPr>
        <w:t>pwelch</w:t>
      </w:r>
      <w:proofErr w:type="spellEnd"/>
      <w:r w:rsidRPr="00552B3A">
        <w:rPr>
          <w:rFonts w:ascii="Arial" w:hAnsi="Arial" w:cs="Arial"/>
          <w:sz w:val="22"/>
          <w:szCs w:val="22"/>
        </w:rPr>
        <w:t xml:space="preserve">). </w:t>
      </w:r>
      <w:r w:rsidRPr="00552B3A">
        <w:rPr>
          <w:rFonts w:ascii="Arial" w:hAnsi="Arial" w:cs="Arial"/>
          <w:b/>
          <w:bCs/>
          <w:sz w:val="22"/>
          <w:szCs w:val="22"/>
        </w:rPr>
        <w:t>b) Histograms of movement traces.</w:t>
      </w:r>
      <w:r w:rsidRPr="00552B3A">
        <w:rPr>
          <w:rFonts w:ascii="Arial" w:hAnsi="Arial" w:cs="Arial"/>
          <w:sz w:val="22"/>
          <w:szCs w:val="22"/>
        </w:rPr>
        <w:t xml:space="preserve"> RSS time traces were put into a histogram for each drug, mouse, and scan. Averages across pre- and post-injection were created for each drug condition. No significant differences were found between pre- and post- distributions or across drugs. No significant differences (Kruskal- Wallis</w:t>
      </w:r>
      <w:r w:rsidR="00552B3A">
        <w:rPr>
          <w:rFonts w:ascii="Arial" w:hAnsi="Arial" w:cs="Arial"/>
          <w:sz w:val="22"/>
          <w:szCs w:val="22"/>
        </w:rPr>
        <w:t>:</w:t>
      </w:r>
      <w:r w:rsidRPr="00552B3A">
        <w:rPr>
          <w:rFonts w:ascii="Arial" w:hAnsi="Arial" w:cs="Arial"/>
          <w:sz w:val="22"/>
          <w:szCs w:val="22"/>
        </w:rPr>
        <w:t xml:space="preserve"> p=0.681), were observed across drugs. </w:t>
      </w:r>
      <w:r w:rsidRPr="00552B3A">
        <w:rPr>
          <w:rFonts w:ascii="Arial" w:hAnsi="Arial" w:cs="Arial"/>
          <w:b/>
          <w:bCs/>
          <w:sz w:val="22"/>
          <w:szCs w:val="22"/>
        </w:rPr>
        <w:t>c) Power spectral density estimates of movement traces.</w:t>
      </w:r>
      <w:r w:rsidRPr="00552B3A">
        <w:rPr>
          <w:rFonts w:ascii="Arial" w:hAnsi="Arial" w:cs="Arial"/>
          <w:sz w:val="22"/>
          <w:szCs w:val="22"/>
        </w:rPr>
        <w:t xml:space="preserve"> The spectral content of RSS traces was examined using a smoothing estimator and band-limited integrated power was compared over the infraslow (ISA, 0.01-0.08 Hz), intermediate (0.08-0.50 Hz) and delta-bands (0.5-4.0 Hz). No significant differences were found between pre- and post- distributions or across drugs (Kruskal-Wallis: ISA</w:t>
      </w:r>
      <w:r w:rsidR="00552B3A">
        <w:rPr>
          <w:rFonts w:ascii="Arial" w:hAnsi="Arial" w:cs="Arial"/>
          <w:sz w:val="22"/>
          <w:szCs w:val="22"/>
        </w:rPr>
        <w:t xml:space="preserve">: </w:t>
      </w:r>
      <w:r w:rsidRPr="00552B3A">
        <w:rPr>
          <w:rFonts w:ascii="Arial" w:hAnsi="Arial" w:cs="Arial"/>
          <w:sz w:val="22"/>
          <w:szCs w:val="22"/>
        </w:rPr>
        <w:t>p=0.514; intermediate</w:t>
      </w:r>
      <w:r w:rsidR="00552B3A">
        <w:rPr>
          <w:rFonts w:ascii="Arial" w:hAnsi="Arial" w:cs="Arial"/>
          <w:sz w:val="22"/>
          <w:szCs w:val="22"/>
        </w:rPr>
        <w:t xml:space="preserve">: </w:t>
      </w:r>
      <w:r w:rsidRPr="00552B3A">
        <w:rPr>
          <w:rFonts w:ascii="Arial" w:hAnsi="Arial" w:cs="Arial"/>
          <w:sz w:val="22"/>
          <w:szCs w:val="22"/>
        </w:rPr>
        <w:t>p=0.6189; delta</w:t>
      </w:r>
      <w:r w:rsidR="00552B3A">
        <w:rPr>
          <w:rFonts w:ascii="Arial" w:hAnsi="Arial" w:cs="Arial"/>
          <w:sz w:val="22"/>
          <w:szCs w:val="22"/>
        </w:rPr>
        <w:t>:</w:t>
      </w:r>
      <w:r w:rsidRPr="00552B3A">
        <w:rPr>
          <w:rFonts w:ascii="Arial" w:hAnsi="Arial" w:cs="Arial"/>
          <w:sz w:val="22"/>
          <w:szCs w:val="22"/>
        </w:rPr>
        <w:t xml:space="preserve"> p=0.6407). The number of censored runs per 30-minute session were not significantly different between drugs (Kruskal-Wallis</w:t>
      </w:r>
      <w:r w:rsidR="00DC018C">
        <w:rPr>
          <w:rFonts w:ascii="Arial" w:hAnsi="Arial" w:cs="Arial"/>
          <w:sz w:val="22"/>
          <w:szCs w:val="22"/>
        </w:rPr>
        <w:t>:</w:t>
      </w:r>
      <w:r w:rsidRPr="00552B3A">
        <w:rPr>
          <w:rFonts w:ascii="Arial" w:hAnsi="Arial" w:cs="Arial"/>
          <w:sz w:val="22"/>
          <w:szCs w:val="22"/>
        </w:rPr>
        <w:t xml:space="preserve"> p=0.431).</w:t>
      </w:r>
    </w:p>
    <w:p w14:paraId="11F5611B" w14:textId="77777777" w:rsidR="0006669D" w:rsidRPr="00552B3A" w:rsidRDefault="0006669D" w:rsidP="0006669D">
      <w:pPr>
        <w:rPr>
          <w:rFonts w:ascii="Arial" w:hAnsi="Arial" w:cs="Arial"/>
          <w:noProof/>
          <w:sz w:val="22"/>
          <w:szCs w:val="22"/>
        </w:rPr>
      </w:pPr>
    </w:p>
    <w:p w14:paraId="0D9B0E92" w14:textId="77777777" w:rsidR="0006669D" w:rsidRPr="00552B3A" w:rsidRDefault="0006669D" w:rsidP="0006669D">
      <w:pPr>
        <w:rPr>
          <w:rFonts w:ascii="Arial" w:hAnsi="Arial" w:cs="Arial"/>
          <w:b/>
          <w:bCs/>
          <w:sz w:val="22"/>
          <w:szCs w:val="22"/>
        </w:rPr>
      </w:pPr>
      <w:r w:rsidRPr="00552B3A">
        <w:rPr>
          <w:rFonts w:ascii="Arial" w:hAnsi="Arial" w:cs="Arial"/>
          <w:b/>
          <w:bCs/>
          <w:noProof/>
          <w:sz w:val="22"/>
          <w:szCs w:val="22"/>
        </w:rPr>
        <w:lastRenderedPageBreak/>
        <w:drawing>
          <wp:inline distT="0" distB="0" distL="0" distR="0" wp14:anchorId="335A7483" wp14:editId="3034A281">
            <wp:extent cx="4885690" cy="7731760"/>
            <wp:effectExtent l="0" t="0" r="0" b="0"/>
            <wp:docPr id="1260219548"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219548" name="Picture 1" descr="A screenshot of a comput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85690" cy="7731760"/>
                    </a:xfrm>
                    <a:prstGeom prst="rect">
                      <a:avLst/>
                    </a:prstGeom>
                    <a:noFill/>
                    <a:ln>
                      <a:noFill/>
                    </a:ln>
                  </pic:spPr>
                </pic:pic>
              </a:graphicData>
            </a:graphic>
          </wp:inline>
        </w:drawing>
      </w:r>
    </w:p>
    <w:p w14:paraId="108AAEA4" w14:textId="77777777" w:rsidR="0006669D" w:rsidRPr="00552B3A" w:rsidRDefault="0006669D" w:rsidP="0006669D">
      <w:pPr>
        <w:jc w:val="both"/>
        <w:rPr>
          <w:rFonts w:ascii="Arial" w:hAnsi="Arial" w:cs="Arial"/>
          <w:noProof/>
          <w:sz w:val="22"/>
          <w:szCs w:val="22"/>
        </w:rPr>
      </w:pPr>
      <w:r w:rsidRPr="00552B3A">
        <w:rPr>
          <w:rFonts w:ascii="Arial" w:hAnsi="Arial" w:cs="Arial"/>
          <w:b/>
          <w:bCs/>
          <w:sz w:val="22"/>
          <w:szCs w:val="22"/>
        </w:rPr>
        <w:t>Supplemental Figure 2) Quantification of task-based calcium and hemodynamic, and neurovascular changes induced by 5-HT</w:t>
      </w:r>
      <w:r w:rsidRPr="00552B3A">
        <w:rPr>
          <w:rFonts w:ascii="Arial" w:hAnsi="Arial" w:cs="Arial"/>
          <w:b/>
          <w:bCs/>
          <w:sz w:val="22"/>
          <w:szCs w:val="22"/>
          <w:vertAlign w:val="subscript"/>
        </w:rPr>
        <w:t>2a</w:t>
      </w:r>
      <w:r w:rsidRPr="00552B3A">
        <w:rPr>
          <w:rFonts w:ascii="Arial" w:hAnsi="Arial" w:cs="Arial"/>
          <w:b/>
          <w:bCs/>
          <w:sz w:val="22"/>
          <w:szCs w:val="22"/>
        </w:rPr>
        <w:t xml:space="preserve"> receptor agonism. </w:t>
      </w:r>
      <w:r w:rsidRPr="00552B3A">
        <w:rPr>
          <w:rFonts w:ascii="Arial" w:hAnsi="Arial" w:cs="Arial"/>
          <w:sz w:val="22"/>
          <w:szCs w:val="22"/>
        </w:rPr>
        <w:t xml:space="preserve">For all data presented in Figures 2 and 3, parameters were extracted and compared across drugs. </w:t>
      </w:r>
      <w:r w:rsidRPr="00552B3A">
        <w:rPr>
          <w:rFonts w:ascii="Arial" w:hAnsi="Arial" w:cs="Arial"/>
          <w:b/>
          <w:bCs/>
          <w:sz w:val="22"/>
          <w:szCs w:val="22"/>
        </w:rPr>
        <w:t xml:space="preserve">a.) Pre-injection </w:t>
      </w:r>
      <w:r w:rsidRPr="00552B3A">
        <w:rPr>
          <w:rFonts w:ascii="Arial" w:hAnsi="Arial" w:cs="Arial"/>
          <w:b/>
          <w:bCs/>
          <w:sz w:val="22"/>
          <w:szCs w:val="22"/>
        </w:rPr>
        <w:lastRenderedPageBreak/>
        <w:t xml:space="preserve">stimulus. </w:t>
      </w:r>
      <w:r w:rsidRPr="00552B3A">
        <w:rPr>
          <w:rFonts w:ascii="Arial" w:hAnsi="Arial" w:cs="Arial"/>
          <w:sz w:val="22"/>
          <w:szCs w:val="22"/>
        </w:rPr>
        <w:t xml:space="preserve">Pre-injection effect maps from all experimental conditions (n=24; 8 mice </w:t>
      </w:r>
      <m:oMath>
        <m:r>
          <w:rPr>
            <w:rFonts w:ascii="Cambria Math" w:hAnsi="Cambria Math" w:cs="Arial"/>
            <w:sz w:val="22"/>
            <w:szCs w:val="22"/>
          </w:rPr>
          <m:t>∙</m:t>
        </m:r>
      </m:oMath>
      <w:r w:rsidRPr="00552B3A">
        <w:rPr>
          <w:rFonts w:ascii="Arial" w:hAnsi="Arial" w:cs="Arial"/>
          <w:sz w:val="22"/>
          <w:szCs w:val="22"/>
        </w:rPr>
        <w:t>3 drug conditions) were combined and averaged to create a single, high-signal-to-noise ratio (SNR) response effect map. To establish a response criterion applicable to all mice and drug conditions, this effect map was then thresholded at 75% of the maximum value to create a shared region of interest (ROI) for further analysis across all mice. Time traces within this ROI were averaged together and normalized by their intra-stimulus average.</w:t>
      </w:r>
      <w:r w:rsidRPr="00552B3A">
        <w:rPr>
          <w:rFonts w:ascii="Arial" w:hAnsi="Arial" w:cs="Arial"/>
          <w:b/>
          <w:bCs/>
          <w:sz w:val="22"/>
          <w:szCs w:val="22"/>
        </w:rPr>
        <w:t xml:space="preserve"> </w:t>
      </w:r>
      <w:r w:rsidRPr="00552B3A">
        <w:rPr>
          <w:rFonts w:ascii="Arial" w:hAnsi="Arial" w:cs="Arial"/>
          <w:noProof/>
          <w:sz w:val="22"/>
          <w:szCs w:val="22"/>
        </w:rPr>
        <w:t>Medians and interquarile ranges (IQR) were calculated across mice. Significance of time (</w:t>
      </w:r>
      <w:r w:rsidRPr="00552B3A">
        <w:rPr>
          <w:rFonts w:ascii="Arial" w:hAnsi="Arial" w:cs="Arial"/>
          <w:i/>
          <w:iCs/>
          <w:noProof/>
          <w:sz w:val="22"/>
          <w:szCs w:val="22"/>
        </w:rPr>
        <w:t>i.e.</w:t>
      </w:r>
      <w:r w:rsidRPr="00552B3A">
        <w:rPr>
          <w:rFonts w:ascii="Arial" w:hAnsi="Arial" w:cs="Arial"/>
          <w:noProof/>
          <w:sz w:val="22"/>
          <w:szCs w:val="22"/>
        </w:rPr>
        <w:t xml:space="preserve">, pre- versus post-) was assessed through Wilcoxin’s sign-rank tests (*&lt;0.05, **&lt;0.01, ***&lt;0.001). Effect of drug was tested using an one-way Kruskal-Wallis and post-Hoc Wilcoxon’s sign-rank tests (#&lt;0.05, ##&lt;0.01, ###&lt;0.001). Multiple comparisons was corrected using the Bonferonni method. </w:t>
      </w:r>
      <w:r w:rsidRPr="00552B3A">
        <w:rPr>
          <w:rFonts w:ascii="Arial" w:hAnsi="Arial" w:cs="Arial"/>
          <w:b/>
          <w:bCs/>
          <w:noProof/>
          <w:sz w:val="22"/>
          <w:szCs w:val="22"/>
        </w:rPr>
        <w:t>b) Quantification of calcium and hemodynamic response dynamics.</w:t>
      </w:r>
      <w:r w:rsidRPr="00552B3A">
        <w:rPr>
          <w:rFonts w:ascii="Arial" w:hAnsi="Arial" w:cs="Arial"/>
          <w:noProof/>
          <w:sz w:val="22"/>
          <w:szCs w:val="22"/>
        </w:rPr>
        <w:t xml:space="preserve"> Parameters for calcium and hemodynamic response maps and dynamics were extracted and compared across drugs. Within the ROI, response amplitude, area (</w:t>
      </w:r>
      <w:r w:rsidRPr="00552B3A">
        <w:rPr>
          <w:rFonts w:ascii="Arial" w:hAnsi="Arial" w:cs="Arial"/>
          <w:i/>
          <w:iCs/>
          <w:noProof/>
          <w:sz w:val="22"/>
          <w:szCs w:val="22"/>
        </w:rPr>
        <w:t>i.e.</w:t>
      </w:r>
      <w:r w:rsidRPr="00552B3A">
        <w:rPr>
          <w:rFonts w:ascii="Arial" w:hAnsi="Arial" w:cs="Arial"/>
          <w:noProof/>
          <w:sz w:val="22"/>
          <w:szCs w:val="22"/>
        </w:rPr>
        <w:t>,</w:t>
      </w:r>
      <w:r w:rsidRPr="00552B3A">
        <w:rPr>
          <w:rFonts w:ascii="Arial" w:hAnsi="Arial" w:cs="Arial"/>
          <w:i/>
          <w:iCs/>
          <w:noProof/>
          <w:sz w:val="22"/>
          <w:szCs w:val="22"/>
        </w:rPr>
        <w:t xml:space="preserve"> </w:t>
      </w:r>
      <w:r w:rsidRPr="00552B3A">
        <w:rPr>
          <w:rFonts w:ascii="Arial" w:hAnsi="Arial" w:cs="Arial"/>
          <w:noProof/>
          <w:sz w:val="22"/>
          <w:szCs w:val="22"/>
        </w:rPr>
        <w:t xml:space="preserve">number of pixels over 75% of the maximum), and Cohen D’s effect size were tabulated and visualized. Temporal dynamics were parameterized by extracting the maximum value over the inter-stimulus period, the AUC during the transient response (0-5 seconds) and the sustained response (5-10 seconds), and Cohen’s D effect. </w:t>
      </w:r>
      <w:r w:rsidRPr="00552B3A">
        <w:rPr>
          <w:rFonts w:ascii="Arial" w:hAnsi="Arial" w:cs="Arial"/>
          <w:b/>
          <w:bCs/>
          <w:sz w:val="22"/>
          <w:szCs w:val="22"/>
        </w:rPr>
        <w:t xml:space="preserve">c) Parameter quantification of stimulus evoked neurovascular coupling. </w:t>
      </w:r>
      <w:r w:rsidRPr="00552B3A">
        <w:rPr>
          <w:rFonts w:ascii="Arial" w:hAnsi="Arial" w:cs="Arial"/>
          <w:sz w:val="22"/>
          <w:szCs w:val="22"/>
        </w:rPr>
        <w:t xml:space="preserve">For task-based hemodynamic response functions (HRF), </w:t>
      </w:r>
      <w:r w:rsidRPr="00552B3A">
        <w:rPr>
          <w:rFonts w:ascii="Arial" w:hAnsi="Arial" w:cs="Arial"/>
          <w:bCs/>
          <w:sz w:val="22"/>
          <w:szCs w:val="22"/>
        </w:rPr>
        <w:t xml:space="preserve">peak values (peak), time to peaks (TTP), and full-width-at-half maximums (FWHM) were calculated. </w:t>
      </w:r>
      <w:r w:rsidRPr="00552B3A">
        <w:rPr>
          <w:rFonts w:ascii="Arial" w:hAnsi="Arial" w:cs="Arial"/>
          <w:sz w:val="22"/>
          <w:szCs w:val="22"/>
        </w:rPr>
        <w:t>For transfer functions (TF), b</w:t>
      </w:r>
      <w:r w:rsidRPr="00552B3A">
        <w:rPr>
          <w:rFonts w:ascii="Arial" w:hAnsi="Arial" w:cs="Arial"/>
          <w:bCs/>
          <w:sz w:val="22"/>
          <w:szCs w:val="22"/>
        </w:rPr>
        <w:t>and-limited frequency transduction was parameterized in three frequency bands: infraslow activity (ISA, 0.03 Hz -0.08 Hz), intermediate band (0.08-0.50 Hz), and delta-band (0.5 Hz-4.0 Hz).</w:t>
      </w:r>
      <w:r w:rsidRPr="00552B3A">
        <w:rPr>
          <w:rFonts w:ascii="Arial" w:hAnsi="Arial" w:cs="Arial"/>
          <w:noProof/>
          <w:sz w:val="22"/>
          <w:szCs w:val="22"/>
        </w:rPr>
        <w:t xml:space="preserve"> </w:t>
      </w:r>
    </w:p>
    <w:p w14:paraId="632BCC88" w14:textId="77777777" w:rsidR="0006669D" w:rsidRPr="00552B3A" w:rsidRDefault="0006669D" w:rsidP="0006669D">
      <w:pPr>
        <w:jc w:val="both"/>
        <w:rPr>
          <w:rFonts w:ascii="Arial" w:hAnsi="Arial" w:cs="Arial"/>
          <w:sz w:val="22"/>
          <w:szCs w:val="22"/>
        </w:rPr>
      </w:pPr>
      <w:r w:rsidRPr="00552B3A">
        <w:rPr>
          <w:rFonts w:ascii="Arial" w:hAnsi="Arial" w:cs="Arial"/>
          <w:noProof/>
          <w:sz w:val="22"/>
          <w:szCs w:val="22"/>
        </w:rPr>
        <w:lastRenderedPageBreak/>
        <w:drawing>
          <wp:inline distT="0" distB="0" distL="0" distR="0" wp14:anchorId="4F0339DD" wp14:editId="49CFBA29">
            <wp:extent cx="6344920" cy="7346950"/>
            <wp:effectExtent l="0" t="0" r="0" b="0"/>
            <wp:docPr id="183893523"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93523" name="Picture 5" descr="A screenshot of a computer scree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44920" cy="7346950"/>
                    </a:xfrm>
                    <a:prstGeom prst="rect">
                      <a:avLst/>
                    </a:prstGeom>
                    <a:noFill/>
                    <a:ln>
                      <a:noFill/>
                    </a:ln>
                  </pic:spPr>
                </pic:pic>
              </a:graphicData>
            </a:graphic>
          </wp:inline>
        </w:drawing>
      </w:r>
    </w:p>
    <w:p w14:paraId="22526BED" w14:textId="5373BE55" w:rsidR="0006669D" w:rsidRPr="00552B3A" w:rsidRDefault="0006669D" w:rsidP="0006669D">
      <w:pPr>
        <w:jc w:val="both"/>
        <w:rPr>
          <w:rFonts w:ascii="Arial" w:hAnsi="Arial" w:cs="Arial"/>
          <w:sz w:val="22"/>
          <w:szCs w:val="22"/>
        </w:rPr>
      </w:pPr>
      <w:r w:rsidRPr="00552B3A">
        <w:rPr>
          <w:rFonts w:ascii="Arial" w:hAnsi="Arial" w:cs="Arial"/>
          <w:b/>
          <w:bCs/>
          <w:sz w:val="22"/>
          <w:szCs w:val="22"/>
        </w:rPr>
        <w:t>Supplemental Figure 3) 5-HT</w:t>
      </w:r>
      <w:r w:rsidRPr="00552B3A">
        <w:rPr>
          <w:rFonts w:ascii="Arial" w:hAnsi="Arial" w:cs="Arial"/>
          <w:b/>
          <w:bCs/>
          <w:sz w:val="22"/>
          <w:szCs w:val="22"/>
          <w:vertAlign w:val="subscript"/>
        </w:rPr>
        <w:t>2a</w:t>
      </w:r>
      <w:r w:rsidRPr="00552B3A">
        <w:rPr>
          <w:rFonts w:ascii="Arial" w:hAnsi="Arial" w:cs="Arial"/>
          <w:b/>
          <w:bCs/>
          <w:sz w:val="22"/>
          <w:szCs w:val="22"/>
        </w:rPr>
        <w:t xml:space="preserve"> receptor agonism changes resting-state power and neurovascular coupling.</w:t>
      </w:r>
      <w:r w:rsidRPr="00552B3A">
        <w:rPr>
          <w:rFonts w:ascii="Arial" w:hAnsi="Arial" w:cs="Arial"/>
          <w:sz w:val="22"/>
          <w:szCs w:val="22"/>
        </w:rPr>
        <w:t xml:space="preserve"> </w:t>
      </w:r>
      <w:r w:rsidRPr="00552B3A">
        <w:rPr>
          <w:rFonts w:ascii="Arial" w:hAnsi="Arial" w:cs="Arial"/>
          <w:b/>
          <w:bCs/>
          <w:sz w:val="22"/>
          <w:szCs w:val="22"/>
        </w:rPr>
        <w:t>A-b) Band-limited power of the cortical average resting-state.</w:t>
      </w:r>
      <w:r w:rsidRPr="00552B3A">
        <w:rPr>
          <w:rFonts w:ascii="Arial" w:hAnsi="Arial" w:cs="Arial"/>
          <w:sz w:val="22"/>
          <w:szCs w:val="22"/>
        </w:rPr>
        <w:t xml:space="preserve"> Power spectral density estimates were parameterized and compared across drugs. To calculate band-limited power, power spectral density estimates were integrated over triple-octave bins and compared between drugs for both calcium (</w:t>
      </w:r>
      <w:r w:rsidRPr="00552B3A">
        <w:rPr>
          <w:rFonts w:ascii="Arial" w:hAnsi="Arial" w:cs="Arial"/>
          <w:b/>
          <w:bCs/>
          <w:sz w:val="22"/>
          <w:szCs w:val="22"/>
        </w:rPr>
        <w:t>a</w:t>
      </w:r>
      <w:r w:rsidRPr="00552B3A">
        <w:rPr>
          <w:rFonts w:ascii="Arial" w:hAnsi="Arial" w:cs="Arial"/>
          <w:sz w:val="22"/>
          <w:szCs w:val="22"/>
        </w:rPr>
        <w:t>) and hemodynamic (</w:t>
      </w:r>
      <w:r w:rsidRPr="00552B3A">
        <w:rPr>
          <w:rFonts w:ascii="Arial" w:hAnsi="Arial" w:cs="Arial"/>
          <w:b/>
          <w:bCs/>
          <w:sz w:val="22"/>
          <w:szCs w:val="22"/>
        </w:rPr>
        <w:t>b</w:t>
      </w:r>
      <w:r w:rsidRPr="00552B3A">
        <w:rPr>
          <w:rFonts w:ascii="Arial" w:hAnsi="Arial" w:cs="Arial"/>
          <w:sz w:val="22"/>
          <w:szCs w:val="22"/>
        </w:rPr>
        <w:t xml:space="preserve">) activity. The lowest </w:t>
      </w:r>
      <w:r w:rsidRPr="00552B3A">
        <w:rPr>
          <w:rFonts w:ascii="Arial" w:hAnsi="Arial" w:cs="Arial"/>
          <w:sz w:val="22"/>
          <w:szCs w:val="22"/>
        </w:rPr>
        <w:lastRenderedPageBreak/>
        <w:t>frequency bin was limited by the lower limit of 0.02 Hz due to the tapering window length. All parameters were averaged over the cortex and comparisons were made between pre- and post-injection (</w:t>
      </w:r>
      <w:r w:rsidRPr="00552B3A">
        <w:rPr>
          <w:rFonts w:ascii="Arial" w:hAnsi="Arial" w:cs="Arial"/>
          <w:i/>
          <w:iCs/>
          <w:sz w:val="22"/>
          <w:szCs w:val="22"/>
        </w:rPr>
        <w:t>i.e.</w:t>
      </w:r>
      <w:r w:rsidRPr="00552B3A">
        <w:rPr>
          <w:rFonts w:ascii="Arial" w:hAnsi="Arial" w:cs="Arial"/>
          <w:sz w:val="22"/>
          <w:szCs w:val="22"/>
        </w:rPr>
        <w:t xml:space="preserve">, effect of time) and across drugs using t-tests (*&lt;0.05, **&lt;0.01, and ***&lt;0.001) and one-way ANOVAs with t-test post-hoc tests (#&lt;0.05, ##&lt;0.05, ###&lt;0.001), respectively. Multiple comparisons were corrected for using the Bonferroni method. </w:t>
      </w:r>
      <w:r w:rsidRPr="00552B3A">
        <w:rPr>
          <w:rFonts w:ascii="Arial" w:hAnsi="Arial" w:cs="Arial"/>
          <w:b/>
          <w:bCs/>
          <w:sz w:val="22"/>
          <w:szCs w:val="22"/>
        </w:rPr>
        <w:t xml:space="preserve">c.) Neurovascular coupling quantification. </w:t>
      </w:r>
      <w:r w:rsidRPr="00552B3A">
        <w:rPr>
          <w:rFonts w:ascii="Arial" w:hAnsi="Arial" w:cs="Arial"/>
          <w:sz w:val="22"/>
          <w:szCs w:val="22"/>
        </w:rPr>
        <w:t xml:space="preserve">Hemodynamic response functions (HRFs) were calculated at the regional level and peak value (peak), time to peak amplitude (TTP), and full width at half maximum (FWHM) were extracted and averaged across regions. Predicted hemodynamic activity at each region was calculated by convolving each region’s HRF with the measured calcium activity in that region. Predicted and measured hemodynamic activity were compared </w:t>
      </w:r>
      <w:r w:rsidRPr="00552B3A">
        <w:rPr>
          <w:rFonts w:ascii="Arial" w:hAnsi="Arial" w:cs="Arial"/>
          <w:i/>
          <w:iCs/>
          <w:sz w:val="22"/>
          <w:szCs w:val="22"/>
        </w:rPr>
        <w:t>via</w:t>
      </w:r>
      <w:r w:rsidRPr="00552B3A">
        <w:rPr>
          <w:rFonts w:ascii="Arial" w:hAnsi="Arial" w:cs="Arial"/>
          <w:sz w:val="22"/>
          <w:szCs w:val="22"/>
        </w:rPr>
        <w:t xml:space="preserve"> Pearson correlation coefficient, to get a measure of model fit. </w:t>
      </w:r>
      <w:r w:rsidRPr="00552B3A">
        <w:rPr>
          <w:rFonts w:ascii="Arial" w:hAnsi="Arial" w:cs="Arial"/>
          <w:bCs/>
          <w:sz w:val="22"/>
          <w:szCs w:val="22"/>
        </w:rPr>
        <w:t xml:space="preserve">Band-limited frequency transduction was calculated over three frequency bands: infraslow activity band (ISA, 0.03-0.08Hz), intermediate activity band (0.08 Hz-0.50 Hz), and delta activity band (0.5 Hz-4.0 Hz). </w:t>
      </w:r>
      <w:r w:rsidRPr="00552B3A">
        <w:rPr>
          <w:rFonts w:ascii="Arial" w:hAnsi="Arial" w:cs="Arial"/>
          <w:sz w:val="22"/>
          <w:szCs w:val="22"/>
        </w:rPr>
        <w:t>The lowest frequency bin was limited by the lower limit of 0.03 Hz due to the tapering window length.</w:t>
      </w:r>
    </w:p>
    <w:p w14:paraId="1A59B838" w14:textId="77777777" w:rsidR="0006669D" w:rsidRPr="00552B3A" w:rsidRDefault="0006669D">
      <w:pPr>
        <w:spacing w:after="160" w:line="259" w:lineRule="auto"/>
        <w:rPr>
          <w:rFonts w:ascii="Arial" w:hAnsi="Arial" w:cs="Arial"/>
          <w:sz w:val="22"/>
          <w:szCs w:val="22"/>
        </w:rPr>
      </w:pPr>
      <w:r w:rsidRPr="00552B3A">
        <w:rPr>
          <w:rFonts w:ascii="Arial" w:hAnsi="Arial" w:cs="Arial"/>
          <w:sz w:val="22"/>
          <w:szCs w:val="22"/>
        </w:rPr>
        <w:br w:type="page"/>
      </w:r>
    </w:p>
    <w:p w14:paraId="5C736EEF" w14:textId="77777777" w:rsidR="0006669D" w:rsidRPr="00552B3A" w:rsidRDefault="0006669D" w:rsidP="0006669D">
      <w:pPr>
        <w:jc w:val="both"/>
        <w:rPr>
          <w:rFonts w:ascii="Arial" w:hAnsi="Arial" w:cs="Arial"/>
          <w:b/>
          <w:bCs/>
          <w:sz w:val="22"/>
          <w:szCs w:val="22"/>
        </w:rPr>
      </w:pPr>
    </w:p>
    <w:p w14:paraId="3704356D" w14:textId="77777777" w:rsidR="0006669D" w:rsidRPr="00552B3A" w:rsidRDefault="0006669D" w:rsidP="0006669D">
      <w:pPr>
        <w:rPr>
          <w:rFonts w:ascii="Arial" w:hAnsi="Arial" w:cs="Arial"/>
          <w:b/>
          <w:bCs/>
          <w:sz w:val="22"/>
          <w:szCs w:val="22"/>
        </w:rPr>
      </w:pPr>
      <w:r w:rsidRPr="00552B3A">
        <w:rPr>
          <w:rFonts w:ascii="Arial" w:hAnsi="Arial" w:cs="Arial"/>
          <w:b/>
          <w:bCs/>
          <w:noProof/>
          <w:sz w:val="22"/>
          <w:szCs w:val="22"/>
        </w:rPr>
        <w:drawing>
          <wp:inline distT="0" distB="0" distL="0" distR="0" wp14:anchorId="2154338B" wp14:editId="364A2693">
            <wp:extent cx="6378575" cy="3167380"/>
            <wp:effectExtent l="0" t="0" r="3175" b="0"/>
            <wp:docPr id="1498716214" name="Picture 3" descr="A group of colorful brain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716214" name="Picture 3" descr="A group of colorful brain imag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78575" cy="3167380"/>
                    </a:xfrm>
                    <a:prstGeom prst="rect">
                      <a:avLst/>
                    </a:prstGeom>
                    <a:noFill/>
                    <a:ln>
                      <a:noFill/>
                    </a:ln>
                  </pic:spPr>
                </pic:pic>
              </a:graphicData>
            </a:graphic>
          </wp:inline>
        </w:drawing>
      </w:r>
    </w:p>
    <w:p w14:paraId="37826B1E" w14:textId="77777777" w:rsidR="0006669D" w:rsidRPr="00552B3A" w:rsidRDefault="0006669D" w:rsidP="0006669D">
      <w:pPr>
        <w:jc w:val="both"/>
        <w:rPr>
          <w:rFonts w:ascii="Arial" w:hAnsi="Arial" w:cs="Arial"/>
          <w:sz w:val="22"/>
          <w:szCs w:val="22"/>
        </w:rPr>
      </w:pPr>
      <w:r w:rsidRPr="00552B3A">
        <w:rPr>
          <w:rFonts w:ascii="Arial" w:hAnsi="Arial" w:cs="Arial"/>
          <w:b/>
          <w:bCs/>
          <w:sz w:val="22"/>
          <w:szCs w:val="22"/>
        </w:rPr>
        <w:t>Supplemental Figure 4) Regional changes in calcium and hemodynamic activity attributed to 5-HT</w:t>
      </w:r>
      <w:r w:rsidRPr="00552B3A">
        <w:rPr>
          <w:rFonts w:ascii="Arial" w:hAnsi="Arial" w:cs="Arial"/>
          <w:b/>
          <w:bCs/>
          <w:sz w:val="22"/>
          <w:szCs w:val="22"/>
          <w:vertAlign w:val="subscript"/>
        </w:rPr>
        <w:t>2a</w:t>
      </w:r>
      <w:r w:rsidRPr="00552B3A">
        <w:rPr>
          <w:rFonts w:ascii="Arial" w:hAnsi="Arial" w:cs="Arial"/>
          <w:b/>
          <w:bCs/>
          <w:sz w:val="22"/>
          <w:szCs w:val="22"/>
        </w:rPr>
        <w:t xml:space="preserve"> receptor activity. </w:t>
      </w:r>
      <w:r w:rsidRPr="00552B3A">
        <w:rPr>
          <w:rFonts w:ascii="Arial" w:hAnsi="Arial" w:cs="Arial"/>
          <w:sz w:val="22"/>
          <w:szCs w:val="22"/>
        </w:rPr>
        <w:t xml:space="preserve">Power spectral densities for each functional region (displayed in Fig. 4c), were integrated over standard functional bands: (1) infraslow (ISA, 0.02 Hz-0.08 Hz), (2) intermediate (0.08 Hz- 0.50 Hz) </w:t>
      </w:r>
      <w:r w:rsidRPr="00552B3A">
        <w:rPr>
          <w:rFonts w:ascii="Arial" w:hAnsi="Arial" w:cs="Arial"/>
          <w:noProof/>
          <w:sz w:val="22"/>
          <w:szCs w:val="22"/>
        </w:rPr>
        <w:t>and, (3) delta bands (0.5 Hz-4.0 Hz)</w:t>
      </w:r>
      <w:r w:rsidRPr="00552B3A">
        <w:rPr>
          <w:rFonts w:ascii="Arial" w:hAnsi="Arial" w:cs="Arial"/>
          <w:sz w:val="22"/>
          <w:szCs w:val="22"/>
        </w:rPr>
        <w:t>. Integrated power was displayed on the cortex and maps are displayed as percent changes from baseline (</w:t>
      </w:r>
      <w:r w:rsidRPr="00552B3A">
        <w:rPr>
          <w:rFonts w:ascii="Arial" w:hAnsi="Arial" w:cs="Arial"/>
          <w:i/>
          <w:iCs/>
          <w:sz w:val="22"/>
          <w:szCs w:val="22"/>
        </w:rPr>
        <w:t>i.e.</w:t>
      </w:r>
      <w:r w:rsidRPr="00552B3A">
        <w:rPr>
          <w:rFonts w:ascii="Arial" w:hAnsi="Arial" w:cs="Arial"/>
          <w:sz w:val="22"/>
          <w:szCs w:val="22"/>
        </w:rPr>
        <w:t xml:space="preserve">, pre injection) for each region and contrast. This process was performed on both calcium (left) and hemodynamic (right) activity. </w:t>
      </w:r>
      <w:r w:rsidRPr="00552B3A">
        <w:rPr>
          <w:rFonts w:ascii="Arial" w:hAnsi="Arial" w:cs="Arial"/>
          <w:b/>
          <w:bCs/>
          <w:sz w:val="22"/>
          <w:szCs w:val="22"/>
        </w:rPr>
        <w:t>a</w:t>
      </w:r>
      <w:r w:rsidRPr="00552B3A">
        <w:rPr>
          <w:rFonts w:ascii="Arial" w:hAnsi="Arial" w:cs="Arial"/>
          <w:sz w:val="22"/>
          <w:szCs w:val="22"/>
        </w:rPr>
        <w:t xml:space="preserve">) </w:t>
      </w:r>
      <w:r w:rsidRPr="00552B3A">
        <w:rPr>
          <w:rFonts w:ascii="Arial" w:hAnsi="Arial" w:cs="Arial"/>
          <w:b/>
          <w:bCs/>
          <w:sz w:val="22"/>
          <w:szCs w:val="22"/>
        </w:rPr>
        <w:t>Integrated calcium power.</w:t>
      </w:r>
      <w:r w:rsidRPr="00552B3A">
        <w:rPr>
          <w:rFonts w:ascii="Arial" w:hAnsi="Arial" w:cs="Arial"/>
          <w:sz w:val="22"/>
          <w:szCs w:val="22"/>
        </w:rPr>
        <w:t xml:space="preserve"> DOI gave rise to a spatial structure, with increasing power in the anterior-to-posterior and in the lateral-to-medial directions: DOI increased ISA power in cingulate, frontal, and secondary motor networks (164% [156%, 186%]) but only slightly increased ISA power in somatosensory and visual networks (26% [17%, 57%] and -13% [-17%, -10%], respectively). This feature was attenuated under DOI+MDL, for instance, in cingulate and frontal networks (124% [94%, 157%]). Power maps of intermediate frequencies revealed similar structure as ISA but were significantly smaller in magnitude. For instance, DOI and DOI+MDL minimally increased cingulate (68% and 69%), frontal (33% and 42%), and secondary motor networks (14% and 38%). DOI increased delta-band power in medial networks such as cingulate (197%) and secondary motor networks (153%). DOI+MDL largely reversed these changes (maximum of 49%). </w:t>
      </w:r>
      <w:r w:rsidRPr="00552B3A">
        <w:rPr>
          <w:rFonts w:ascii="Arial" w:hAnsi="Arial" w:cs="Arial"/>
          <w:b/>
          <w:bCs/>
          <w:sz w:val="22"/>
          <w:szCs w:val="22"/>
        </w:rPr>
        <w:t>b</w:t>
      </w:r>
      <w:r w:rsidRPr="00552B3A">
        <w:rPr>
          <w:rFonts w:ascii="Arial" w:hAnsi="Arial" w:cs="Arial"/>
          <w:sz w:val="22"/>
          <w:szCs w:val="22"/>
        </w:rPr>
        <w:t xml:space="preserve">) </w:t>
      </w:r>
      <w:r w:rsidRPr="00552B3A">
        <w:rPr>
          <w:rFonts w:ascii="Arial" w:hAnsi="Arial" w:cs="Arial"/>
          <w:b/>
          <w:bCs/>
          <w:sz w:val="22"/>
          <w:szCs w:val="22"/>
        </w:rPr>
        <w:t>Integrated hemodynamic power.</w:t>
      </w:r>
      <w:r w:rsidRPr="00552B3A">
        <w:rPr>
          <w:rFonts w:ascii="Arial" w:hAnsi="Arial" w:cs="Arial"/>
          <w:sz w:val="22"/>
          <w:szCs w:val="22"/>
        </w:rPr>
        <w:t xml:space="preserve"> Hemodynamics reveal differential alterations compared to calcium. Under DOI, ISA activity massively increased over the somatosensory networks (212% [127%, 237%]), which was attenuated with DOI+MDL (162% [154%, 178%]). Under both DOI and DOI+MDL, intermediate activity reflected ISA topography but was approximately three times smaller. Notably, delta-band activity was present in hemodynamic signaling under the DOI condition, with a 314% increase in the whisker-barrel cortex. These findings in the context of interwoven task and resting-state imaging, suggest a slower degree of recovery to baseline hemodynamic levels after stimulus conditions as well as increased delta-band transduction. </w:t>
      </w:r>
    </w:p>
    <w:p w14:paraId="4A5FA07C" w14:textId="77777777" w:rsidR="0006669D" w:rsidRPr="00552B3A" w:rsidRDefault="0006669D" w:rsidP="0006669D">
      <w:pPr>
        <w:rPr>
          <w:rFonts w:ascii="Arial" w:hAnsi="Arial" w:cs="Arial"/>
          <w:sz w:val="22"/>
          <w:szCs w:val="22"/>
        </w:rPr>
      </w:pPr>
      <w:r w:rsidRPr="00552B3A">
        <w:rPr>
          <w:rFonts w:ascii="Arial" w:hAnsi="Arial" w:cs="Arial"/>
          <w:sz w:val="22"/>
          <w:szCs w:val="22"/>
        </w:rPr>
        <w:br w:type="page"/>
      </w:r>
      <w:r w:rsidRPr="00552B3A">
        <w:rPr>
          <w:rFonts w:ascii="Arial" w:hAnsi="Arial" w:cs="Arial"/>
          <w:noProof/>
          <w:sz w:val="22"/>
          <w:szCs w:val="22"/>
        </w:rPr>
        <w:lastRenderedPageBreak/>
        <w:drawing>
          <wp:inline distT="0" distB="0" distL="0" distR="0" wp14:anchorId="6DE06917" wp14:editId="552C8BB8">
            <wp:extent cx="4667250" cy="8595360"/>
            <wp:effectExtent l="0" t="0" r="0" b="0"/>
            <wp:docPr id="478731973" name="Picture 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731973" name="Picture 7" descr="A screenshot of a computer screen&#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67250" cy="8595360"/>
                    </a:xfrm>
                    <a:prstGeom prst="rect">
                      <a:avLst/>
                    </a:prstGeom>
                    <a:noFill/>
                    <a:ln>
                      <a:noFill/>
                    </a:ln>
                  </pic:spPr>
                </pic:pic>
              </a:graphicData>
            </a:graphic>
          </wp:inline>
        </w:drawing>
      </w:r>
    </w:p>
    <w:p w14:paraId="519C8645" w14:textId="0B1C7476" w:rsidR="0006669D" w:rsidRPr="00552B3A" w:rsidRDefault="0006669D" w:rsidP="00B223BE">
      <w:pPr>
        <w:jc w:val="both"/>
        <w:rPr>
          <w:rFonts w:ascii="Arial" w:hAnsi="Arial" w:cs="Arial"/>
          <w:sz w:val="22"/>
          <w:szCs w:val="22"/>
        </w:rPr>
      </w:pPr>
      <w:r w:rsidRPr="00552B3A">
        <w:rPr>
          <w:rFonts w:ascii="Arial" w:hAnsi="Arial" w:cs="Arial"/>
          <w:b/>
          <w:bCs/>
          <w:sz w:val="22"/>
          <w:szCs w:val="22"/>
        </w:rPr>
        <w:lastRenderedPageBreak/>
        <w:t xml:space="preserve">Supplemental Figure 5) DOI induces regionally specific alterations in NVC. a) </w:t>
      </w:r>
      <w:r w:rsidRPr="00552B3A">
        <w:rPr>
          <w:rFonts w:ascii="Arial" w:hAnsi="Arial" w:cs="Arial"/>
          <w:bCs/>
          <w:sz w:val="22"/>
          <w:szCs w:val="22"/>
        </w:rPr>
        <w:t xml:space="preserve">Estimated HRFs for each region were averaged across mice for each drug condition. </w:t>
      </w:r>
      <w:r w:rsidRPr="00552B3A">
        <w:rPr>
          <w:rFonts w:ascii="Arial" w:hAnsi="Arial" w:cs="Arial"/>
          <w:sz w:val="22"/>
          <w:szCs w:val="22"/>
        </w:rPr>
        <w:t xml:space="preserve">Prior to drug administration, NVC differed across the cortex. For instance, somatosensory and parietal regions exhibited the largest degree of coupling, while frontal and cingulate regions exhibited more modest coupling. DOI caused a zero-lag notch across the cortex, strongest in secondary motor, retrosplenial, and visual regions. Additionally, DOI increased coupling in the somatosensory and parietal regions. These effects were dampened when DOI was administered with DOI. </w:t>
      </w:r>
      <w:r w:rsidR="00DC018C" w:rsidRPr="00552B3A">
        <w:rPr>
          <w:rFonts w:ascii="Arial" w:hAnsi="Arial" w:cs="Arial"/>
          <w:sz w:val="22"/>
          <w:szCs w:val="22"/>
        </w:rPr>
        <w:t xml:space="preserve">The color axis has units of </w:t>
      </w:r>
      <m:oMath>
        <m:r>
          <w:rPr>
            <w:rFonts w:ascii="Cambria Math" w:hAnsi="Cambria Math" w:cs="Arial"/>
            <w:sz w:val="22"/>
            <w:szCs w:val="22"/>
          </w:rPr>
          <m:t>μ</m:t>
        </m:r>
      </m:oMath>
      <w:r w:rsidR="00DC018C" w:rsidRPr="00552B3A">
        <w:rPr>
          <w:rFonts w:ascii="Arial" w:eastAsiaTheme="minorEastAsia" w:hAnsi="Arial" w:cs="Arial"/>
          <w:sz w:val="22"/>
          <w:szCs w:val="22"/>
        </w:rPr>
        <w:t>Mol/(</w:t>
      </w:r>
      <m:oMath>
        <m:r>
          <m:rPr>
            <m:sty m:val="p"/>
          </m:rPr>
          <w:rPr>
            <w:rFonts w:ascii="Cambria Math" w:eastAsiaTheme="minorEastAsia" w:hAnsi="Cambria Math" w:cs="Arial"/>
            <w:sz w:val="22"/>
            <w:szCs w:val="22"/>
          </w:rPr>
          <m:t>Δ</m:t>
        </m:r>
      </m:oMath>
      <w:r w:rsidR="00DC018C" w:rsidRPr="00552B3A">
        <w:rPr>
          <w:rFonts w:ascii="Arial" w:eastAsiaTheme="minorEastAsia" w:hAnsi="Arial" w:cs="Arial"/>
          <w:sz w:val="22"/>
          <w:szCs w:val="22"/>
        </w:rPr>
        <w:t>F/F%).</w:t>
      </w:r>
      <w:r w:rsidR="00DC018C" w:rsidRPr="00552B3A">
        <w:rPr>
          <w:rFonts w:ascii="Arial" w:hAnsi="Arial" w:cs="Arial"/>
          <w:sz w:val="22"/>
          <w:szCs w:val="22"/>
        </w:rPr>
        <w:t xml:space="preserve"> </w:t>
      </w:r>
      <w:r w:rsidRPr="00552B3A">
        <w:rPr>
          <w:rFonts w:ascii="Arial" w:hAnsi="Arial" w:cs="Arial"/>
          <w:b/>
          <w:bCs/>
          <w:sz w:val="22"/>
          <w:szCs w:val="22"/>
        </w:rPr>
        <w:t xml:space="preserve">b) </w:t>
      </w:r>
      <w:r w:rsidRPr="00552B3A">
        <w:rPr>
          <w:rFonts w:ascii="Arial" w:hAnsi="Arial" w:cs="Arial"/>
          <w:bCs/>
          <w:sz w:val="22"/>
          <w:szCs w:val="22"/>
        </w:rPr>
        <w:t>Group averaged, regional transfer functions</w:t>
      </w:r>
      <w:r w:rsidRPr="00552B3A">
        <w:rPr>
          <w:rFonts w:ascii="Arial" w:hAnsi="Arial" w:cs="Arial"/>
          <w:b/>
          <w:bCs/>
          <w:sz w:val="22"/>
          <w:szCs w:val="22"/>
        </w:rPr>
        <w:t xml:space="preserve"> </w:t>
      </w:r>
      <w:r w:rsidRPr="00552B3A">
        <w:rPr>
          <w:rFonts w:ascii="Arial" w:hAnsi="Arial" w:cs="Arial"/>
          <w:bCs/>
          <w:sz w:val="22"/>
          <w:szCs w:val="22"/>
        </w:rPr>
        <w:t xml:space="preserve">of each HRF reported in panel </w:t>
      </w:r>
      <w:r w:rsidR="00D44311">
        <w:rPr>
          <w:rFonts w:ascii="Arial" w:hAnsi="Arial" w:cs="Arial"/>
          <w:bCs/>
          <w:sz w:val="22"/>
          <w:szCs w:val="22"/>
        </w:rPr>
        <w:t>a</w:t>
      </w:r>
      <w:r w:rsidRPr="00552B3A">
        <w:rPr>
          <w:rFonts w:ascii="Arial" w:hAnsi="Arial" w:cs="Arial"/>
          <w:bCs/>
          <w:sz w:val="22"/>
          <w:szCs w:val="22"/>
        </w:rPr>
        <w:t>.</w:t>
      </w:r>
      <w:r w:rsidRPr="00552B3A">
        <w:rPr>
          <w:rFonts w:ascii="Arial" w:hAnsi="Arial" w:cs="Arial"/>
          <w:sz w:val="22"/>
          <w:szCs w:val="22"/>
        </w:rPr>
        <w:t xml:space="preserve"> Regions are organized from posterior-to-anterior and from right-to-left. As seen with HRFs, before drugs, frequency dependent calcium-to-hemodynamic transduction differed across the cortex. For instance, cingulate and retrosplenial regions exhibited broad-band transduction compared to the rest of the cortex. DOI increased transduction in frequencies above 0.1 Hz, for instance, in somatosensory regions. Additionally, DOI gave rise to broader band (power above 0.5 Hz, with a ~1 Hz peak) transduction across the cortex. These effects were largely reversed with MDL.</w:t>
      </w:r>
      <w:r w:rsidR="00DC018C" w:rsidRPr="00DC018C">
        <w:rPr>
          <w:rFonts w:ascii="Arial" w:hAnsi="Arial" w:cs="Arial"/>
          <w:sz w:val="22"/>
          <w:szCs w:val="22"/>
        </w:rPr>
        <w:t xml:space="preserve"> </w:t>
      </w:r>
      <w:r w:rsidR="00DC018C" w:rsidRPr="00552B3A">
        <w:rPr>
          <w:rFonts w:ascii="Arial" w:hAnsi="Arial" w:cs="Arial"/>
          <w:sz w:val="22"/>
          <w:szCs w:val="22"/>
        </w:rPr>
        <w:t xml:space="preserve">The color axis has units </w:t>
      </w:r>
      <w:proofErr w:type="spellStart"/>
      <w:r w:rsidR="00DC018C">
        <w:rPr>
          <w:rFonts w:ascii="Arial" w:hAnsi="Arial" w:cs="Arial"/>
          <w:sz w:val="22"/>
          <w:szCs w:val="22"/>
        </w:rPr>
        <w:t>dB.</w:t>
      </w:r>
      <w:proofErr w:type="spellEnd"/>
    </w:p>
    <w:p w14:paraId="7CD7F202" w14:textId="77777777" w:rsidR="0006669D" w:rsidRPr="00552B3A" w:rsidRDefault="0006669D" w:rsidP="0006669D">
      <w:pPr>
        <w:rPr>
          <w:rFonts w:ascii="Arial" w:hAnsi="Arial" w:cs="Arial"/>
          <w:sz w:val="22"/>
          <w:szCs w:val="22"/>
        </w:rPr>
      </w:pPr>
    </w:p>
    <w:p w14:paraId="036C3AFB" w14:textId="77777777" w:rsidR="0006669D" w:rsidRPr="00552B3A" w:rsidRDefault="0006669D" w:rsidP="0006669D">
      <w:pPr>
        <w:jc w:val="both"/>
        <w:rPr>
          <w:rFonts w:ascii="Arial" w:hAnsi="Arial" w:cs="Arial"/>
          <w:b/>
          <w:bCs/>
          <w:sz w:val="22"/>
          <w:szCs w:val="22"/>
        </w:rPr>
      </w:pPr>
      <w:r w:rsidRPr="00552B3A">
        <w:rPr>
          <w:rFonts w:ascii="Arial" w:hAnsi="Arial" w:cs="Arial"/>
          <w:bCs/>
          <w:sz w:val="22"/>
          <w:szCs w:val="22"/>
        </w:rPr>
        <w:br w:type="page"/>
      </w:r>
    </w:p>
    <w:p w14:paraId="6A1F5339" w14:textId="77777777" w:rsidR="0006669D" w:rsidRPr="00552B3A" w:rsidRDefault="0006669D" w:rsidP="0006669D">
      <w:pPr>
        <w:jc w:val="both"/>
        <w:rPr>
          <w:rFonts w:ascii="Arial" w:hAnsi="Arial" w:cs="Arial"/>
          <w:sz w:val="22"/>
          <w:szCs w:val="22"/>
        </w:rPr>
      </w:pPr>
      <w:r w:rsidRPr="00552B3A">
        <w:rPr>
          <w:rFonts w:ascii="Arial" w:hAnsi="Arial" w:cs="Arial"/>
          <w:noProof/>
          <w:sz w:val="22"/>
          <w:szCs w:val="22"/>
        </w:rPr>
        <w:lastRenderedPageBreak/>
        <w:drawing>
          <wp:inline distT="0" distB="0" distL="0" distR="0" wp14:anchorId="28F8EF22" wp14:editId="70FAA44B">
            <wp:extent cx="6371590" cy="5427980"/>
            <wp:effectExtent l="0" t="0" r="0" b="1270"/>
            <wp:docPr id="1661126366"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26366" name="Picture 3" descr="A screenshot of a computer scree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71590" cy="5427980"/>
                    </a:xfrm>
                    <a:prstGeom prst="rect">
                      <a:avLst/>
                    </a:prstGeom>
                    <a:noFill/>
                    <a:ln>
                      <a:noFill/>
                    </a:ln>
                  </pic:spPr>
                </pic:pic>
              </a:graphicData>
            </a:graphic>
          </wp:inline>
        </w:drawing>
      </w:r>
    </w:p>
    <w:p w14:paraId="4EC899B5" w14:textId="56019584" w:rsidR="0006669D" w:rsidRPr="00552B3A" w:rsidRDefault="0006669D" w:rsidP="0006669D">
      <w:pPr>
        <w:jc w:val="both"/>
        <w:rPr>
          <w:rFonts w:ascii="Arial" w:hAnsi="Arial" w:cs="Arial"/>
          <w:sz w:val="22"/>
          <w:szCs w:val="22"/>
        </w:rPr>
      </w:pPr>
      <w:r w:rsidRPr="00552B3A">
        <w:rPr>
          <w:rFonts w:ascii="Arial" w:hAnsi="Arial" w:cs="Arial"/>
          <w:b/>
          <w:bCs/>
          <w:sz w:val="22"/>
          <w:szCs w:val="22"/>
        </w:rPr>
        <w:t>Supplemental Figure 6) Lagged cross-covariance and coherence recapitulate DOI-induced changes in neurovascular coupling and reveal increased lower delta band coherence. a) Cross-covariance between calcium and total hemoglobin.</w:t>
      </w:r>
      <w:r w:rsidRPr="00552B3A">
        <w:rPr>
          <w:rFonts w:ascii="Arial" w:hAnsi="Arial" w:cs="Arial"/>
          <w:sz w:val="22"/>
          <w:szCs w:val="22"/>
        </w:rPr>
        <w:t xml:space="preserve"> The lagged cross-covariance function (CCF) between calcium and hemodynamic activity at each pixel was calculated for each time window (</w:t>
      </w:r>
      <w:r w:rsidRPr="00552B3A">
        <w:rPr>
          <w:rFonts w:ascii="Arial" w:hAnsi="Arial" w:cs="Arial"/>
          <w:i/>
          <w:iCs/>
          <w:sz w:val="22"/>
          <w:szCs w:val="22"/>
        </w:rPr>
        <w:t>i.e.</w:t>
      </w:r>
      <w:r w:rsidRPr="00552B3A">
        <w:rPr>
          <w:rFonts w:ascii="Arial" w:hAnsi="Arial" w:cs="Arial"/>
          <w:sz w:val="22"/>
          <w:szCs w:val="22"/>
        </w:rPr>
        <w:t>, data split into 30 second windows) and averaged across time and across the cortex for each mouse. Plots represent means and standard deviations. Before drugs, CCFs reflected a simple, causal (</w:t>
      </w:r>
      <w:r w:rsidRPr="00552B3A">
        <w:rPr>
          <w:rFonts w:ascii="Arial" w:hAnsi="Arial" w:cs="Arial"/>
          <w:i/>
          <w:iCs/>
          <w:sz w:val="22"/>
          <w:szCs w:val="22"/>
        </w:rPr>
        <w:t>i.e.</w:t>
      </w:r>
      <w:r w:rsidRPr="00552B3A">
        <w:rPr>
          <w:rFonts w:ascii="Arial" w:hAnsi="Arial" w:cs="Arial"/>
          <w:sz w:val="22"/>
          <w:szCs w:val="22"/>
        </w:rPr>
        <w:t xml:space="preserve">, calcium leading hemodynamics) relation. Saline and DOI+MDL minimally altered this relation. DOI decreased synchrony (decreased </w:t>
      </w:r>
      <w:r w:rsidRPr="00552B3A">
        <w:rPr>
          <w:rFonts w:ascii="Arial" w:hAnsi="Arial" w:cs="Arial"/>
          <w:color w:val="000000" w:themeColor="text1"/>
          <w:sz w:val="22"/>
          <w:szCs w:val="22"/>
        </w:rPr>
        <w:t>peak value, -</w:t>
      </w:r>
      <w:r w:rsidRPr="00552B3A">
        <w:rPr>
          <w:rFonts w:ascii="Arial" w:hAnsi="Arial" w:cs="Arial"/>
          <w:sz w:val="22"/>
          <w:szCs w:val="22"/>
        </w:rPr>
        <w:t>51% [-66%, -13%]</w:t>
      </w:r>
      <w:r w:rsidR="00B80D7D">
        <w:rPr>
          <w:rFonts w:ascii="Arial" w:hAnsi="Arial" w:cs="Arial"/>
          <w:sz w:val="22"/>
          <w:szCs w:val="22"/>
        </w:rPr>
        <w:t xml:space="preserve"> pre-versus post-injection: </w:t>
      </w:r>
      <w:r w:rsidRPr="00552B3A">
        <w:rPr>
          <w:rFonts w:ascii="Arial" w:hAnsi="Arial" w:cs="Arial"/>
          <w:sz w:val="22"/>
          <w:szCs w:val="22"/>
        </w:rPr>
        <w:t>p=0.039</w:t>
      </w:r>
      <w:r w:rsidR="00B80D7D">
        <w:rPr>
          <w:rFonts w:ascii="Arial" w:hAnsi="Arial" w:cs="Arial"/>
          <w:sz w:val="22"/>
          <w:szCs w:val="22"/>
        </w:rPr>
        <w:t>;</w:t>
      </w:r>
      <w:r w:rsidRPr="00552B3A">
        <w:rPr>
          <w:rFonts w:ascii="Arial" w:hAnsi="Arial" w:cs="Arial"/>
          <w:sz w:val="22"/>
          <w:szCs w:val="22"/>
        </w:rPr>
        <w:t xml:space="preserve"> Kruskal-Wallis</w:t>
      </w:r>
      <w:r w:rsidR="00B80D7D">
        <w:rPr>
          <w:rFonts w:ascii="Arial" w:hAnsi="Arial" w:cs="Arial"/>
          <w:sz w:val="22"/>
          <w:szCs w:val="22"/>
        </w:rPr>
        <w:t>:</w:t>
      </w:r>
      <w:r w:rsidRPr="00552B3A">
        <w:rPr>
          <w:rFonts w:ascii="Arial" w:hAnsi="Arial" w:cs="Arial"/>
          <w:sz w:val="22"/>
          <w:szCs w:val="22"/>
        </w:rPr>
        <w:t xml:space="preserve"> p=0.040</w:t>
      </w:r>
      <w:r w:rsidR="00B80D7D">
        <w:rPr>
          <w:rFonts w:ascii="Arial" w:hAnsi="Arial" w:cs="Arial"/>
          <w:sz w:val="22"/>
          <w:szCs w:val="22"/>
        </w:rPr>
        <w:t>;</w:t>
      </w:r>
      <w:r w:rsidRPr="00552B3A">
        <w:rPr>
          <w:rFonts w:ascii="Arial" w:hAnsi="Arial" w:cs="Arial"/>
          <w:sz w:val="22"/>
          <w:szCs w:val="22"/>
        </w:rPr>
        <w:t xml:space="preserve"> saline versus DOI</w:t>
      </w:r>
      <w:r w:rsidR="00B80D7D">
        <w:rPr>
          <w:rFonts w:ascii="Arial" w:hAnsi="Arial" w:cs="Arial"/>
          <w:sz w:val="22"/>
          <w:szCs w:val="22"/>
        </w:rPr>
        <w:t>:</w:t>
      </w:r>
      <w:r w:rsidRPr="00552B3A">
        <w:rPr>
          <w:rFonts w:ascii="Arial" w:hAnsi="Arial" w:cs="Arial"/>
          <w:sz w:val="22"/>
          <w:szCs w:val="22"/>
        </w:rPr>
        <w:t xml:space="preserve"> p=0.040</w:t>
      </w:r>
      <w:r w:rsidRPr="00552B3A">
        <w:rPr>
          <w:rFonts w:ascii="Arial" w:hAnsi="Arial" w:cs="Arial"/>
          <w:color w:val="000000" w:themeColor="text1"/>
          <w:sz w:val="22"/>
          <w:szCs w:val="22"/>
        </w:rPr>
        <w:t>)</w:t>
      </w:r>
      <w:r w:rsidRPr="00552B3A">
        <w:rPr>
          <w:rFonts w:ascii="Arial" w:hAnsi="Arial" w:cs="Arial"/>
          <w:sz w:val="22"/>
          <w:szCs w:val="22"/>
        </w:rPr>
        <w:t>. As observed in global HRFs (Fig. 3a), the DOI CCF included a zero-lag notch (discussed in 5.3.1).</w:t>
      </w:r>
      <w:r w:rsidR="00B80D7D">
        <w:rPr>
          <w:rFonts w:ascii="Arial" w:hAnsi="Arial" w:cs="Arial"/>
          <w:sz w:val="22"/>
          <w:szCs w:val="22"/>
        </w:rPr>
        <w:t xml:space="preserve"> </w:t>
      </w:r>
      <w:r w:rsidR="00063748" w:rsidRPr="00552B3A">
        <w:rPr>
          <w:rFonts w:ascii="Arial" w:hAnsi="Arial" w:cs="Arial"/>
          <w:sz w:val="22"/>
          <w:szCs w:val="22"/>
        </w:rPr>
        <w:t xml:space="preserve">We note that covariance here has units of </w:t>
      </w:r>
      <m:oMath>
        <m:r>
          <w:rPr>
            <w:rFonts w:ascii="Cambria Math" w:hAnsi="Cambria Math" w:cs="Arial"/>
            <w:sz w:val="22"/>
            <w:szCs w:val="22"/>
          </w:rPr>
          <m:t>μ</m:t>
        </m:r>
      </m:oMath>
      <w:r w:rsidR="00063748" w:rsidRPr="00552B3A">
        <w:rPr>
          <w:rFonts w:ascii="Arial" w:eastAsiaTheme="minorEastAsia" w:hAnsi="Arial" w:cs="Arial"/>
          <w:sz w:val="22"/>
          <w:szCs w:val="22"/>
        </w:rPr>
        <w:t>Mol</w:t>
      </w:r>
      <m:oMath>
        <m:r>
          <w:rPr>
            <w:rFonts w:ascii="Cambria Math" w:eastAsiaTheme="minorEastAsia" w:hAnsi="Cambria Math" w:cs="Arial"/>
            <w:sz w:val="22"/>
            <w:szCs w:val="22"/>
          </w:rPr>
          <m:t>∙</m:t>
        </m:r>
      </m:oMath>
      <w:r w:rsidR="00063748" w:rsidRPr="00552B3A">
        <w:rPr>
          <w:rFonts w:ascii="Arial" w:eastAsiaTheme="minorEastAsia" w:hAnsi="Arial" w:cs="Arial"/>
          <w:sz w:val="22"/>
          <w:szCs w:val="22"/>
        </w:rPr>
        <w:t>(</w:t>
      </w:r>
      <m:oMath>
        <m:r>
          <m:rPr>
            <m:sty m:val="p"/>
          </m:rPr>
          <w:rPr>
            <w:rFonts w:ascii="Cambria Math" w:eastAsiaTheme="minorEastAsia" w:hAnsi="Cambria Math" w:cs="Arial"/>
            <w:sz w:val="22"/>
            <w:szCs w:val="22"/>
          </w:rPr>
          <m:t>Δ</m:t>
        </m:r>
      </m:oMath>
      <w:r w:rsidR="00063748" w:rsidRPr="00552B3A">
        <w:rPr>
          <w:rFonts w:ascii="Arial" w:eastAsiaTheme="minorEastAsia" w:hAnsi="Arial" w:cs="Arial"/>
          <w:sz w:val="22"/>
          <w:szCs w:val="22"/>
        </w:rPr>
        <w:t xml:space="preserve">F/F%). </w:t>
      </w:r>
      <w:r w:rsidRPr="00552B3A">
        <w:rPr>
          <w:rFonts w:ascii="Arial" w:hAnsi="Arial" w:cs="Arial"/>
          <w:b/>
          <w:bCs/>
          <w:sz w:val="22"/>
          <w:szCs w:val="22"/>
        </w:rPr>
        <w:t>b) Coherence between calcium and hemodynamics.</w:t>
      </w:r>
      <w:r w:rsidRPr="00552B3A">
        <w:rPr>
          <w:rFonts w:ascii="Arial" w:hAnsi="Arial" w:cs="Arial"/>
          <w:sz w:val="22"/>
          <w:szCs w:val="22"/>
        </w:rPr>
        <w:t xml:space="preserve">  To better </w:t>
      </w:r>
      <w:r w:rsidRPr="00552B3A">
        <w:rPr>
          <w:rFonts w:ascii="Arial" w:hAnsi="Arial" w:cs="Arial"/>
          <w:color w:val="000000" w:themeColor="text1"/>
          <w:sz w:val="22"/>
          <w:szCs w:val="22"/>
        </w:rPr>
        <w:t>understand the frequency content in the cross-covariance functions, cross-spectral power density estimates between calcium dynamics and hemodynamics were calculated for each region and window (</w:t>
      </w:r>
      <w:r w:rsidRPr="00552B3A">
        <w:rPr>
          <w:rFonts w:ascii="Arial" w:hAnsi="Arial" w:cs="Arial"/>
          <w:i/>
          <w:iCs/>
          <w:sz w:val="22"/>
          <w:szCs w:val="22"/>
        </w:rPr>
        <w:t>i.e.</w:t>
      </w:r>
      <w:r w:rsidRPr="00552B3A">
        <w:rPr>
          <w:rFonts w:ascii="Arial" w:hAnsi="Arial" w:cs="Arial"/>
          <w:sz w:val="22"/>
          <w:szCs w:val="22"/>
        </w:rPr>
        <w:t>, data split into 30 second windows</w:t>
      </w:r>
      <w:r w:rsidRPr="00552B3A">
        <w:rPr>
          <w:rFonts w:ascii="Arial" w:hAnsi="Arial" w:cs="Arial"/>
          <w:color w:val="000000" w:themeColor="text1"/>
          <w:sz w:val="22"/>
          <w:szCs w:val="22"/>
        </w:rPr>
        <w:t xml:space="preserve">). From this, magnitude-squared coherence (MSC) was calculated as </w:t>
      </w:r>
      <m:oMath>
        <m:r>
          <w:rPr>
            <w:rFonts w:ascii="Cambria Math" w:hAnsi="Cambria Math" w:cs="Arial"/>
            <w:color w:val="000000" w:themeColor="text1"/>
            <w:sz w:val="22"/>
            <w:szCs w:val="22"/>
          </w:rPr>
          <m:t>MSC=</m:t>
        </m:r>
        <m:f>
          <m:fPr>
            <m:type m:val="lin"/>
            <m:ctrlPr>
              <w:rPr>
                <w:rFonts w:ascii="Cambria Math" w:hAnsi="Cambria Math" w:cs="Arial"/>
                <w:i/>
                <w:color w:val="000000" w:themeColor="text1"/>
                <w:sz w:val="22"/>
                <w:szCs w:val="22"/>
              </w:rPr>
            </m:ctrlPr>
          </m:fPr>
          <m:num>
            <m:sSup>
              <m:sSupPr>
                <m:ctrlPr>
                  <w:rPr>
                    <w:rFonts w:ascii="Cambria Math" w:hAnsi="Cambria Math" w:cs="Arial"/>
                    <w:i/>
                    <w:color w:val="000000" w:themeColor="text1"/>
                    <w:sz w:val="22"/>
                    <w:szCs w:val="22"/>
                  </w:rPr>
                </m:ctrlPr>
              </m:sSupPr>
              <m:e>
                <m:d>
                  <m:dPr>
                    <m:begChr m:val="|"/>
                    <m:endChr m:val="|"/>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P</m:t>
                        </m:r>
                      </m:e>
                      <m:sub>
                        <m:r>
                          <w:rPr>
                            <w:rFonts w:ascii="Cambria Math" w:hAnsi="Cambria Math" w:cs="Arial"/>
                            <w:color w:val="000000" w:themeColor="text1"/>
                            <w:sz w:val="22"/>
                            <w:szCs w:val="22"/>
                          </w:rPr>
                          <m:t>xy</m:t>
                        </m:r>
                      </m:sub>
                    </m:sSub>
                  </m:e>
                </m:d>
              </m:e>
              <m:sup>
                <m:r>
                  <w:rPr>
                    <w:rFonts w:ascii="Cambria Math" w:hAnsi="Cambria Math" w:cs="Arial"/>
                    <w:color w:val="000000" w:themeColor="text1"/>
                    <w:sz w:val="22"/>
                    <w:szCs w:val="22"/>
                  </w:rPr>
                  <m:t>2</m:t>
                </m:r>
              </m:sup>
            </m:sSup>
          </m:num>
          <m:den>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(P</m:t>
                </m:r>
              </m:e>
              <m:sub>
                <m:r>
                  <w:rPr>
                    <w:rFonts w:ascii="Cambria Math" w:hAnsi="Cambria Math" w:cs="Arial"/>
                    <w:color w:val="000000" w:themeColor="text1"/>
                    <w:sz w:val="22"/>
                    <w:szCs w:val="22"/>
                  </w:rPr>
                  <m:t>xx</m:t>
                </m:r>
              </m:sub>
            </m:s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P</m:t>
                </m:r>
              </m:e>
              <m:sub>
                <m:r>
                  <w:rPr>
                    <w:rFonts w:ascii="Cambria Math" w:hAnsi="Cambria Math" w:cs="Arial"/>
                    <w:color w:val="000000" w:themeColor="text1"/>
                    <w:sz w:val="22"/>
                    <w:szCs w:val="22"/>
                  </w:rPr>
                  <m:t>yy</m:t>
                </m:r>
              </m:sub>
            </m:sSub>
            <m:r>
              <w:rPr>
                <w:rFonts w:ascii="Cambria Math" w:hAnsi="Cambria Math" w:cs="Arial"/>
                <w:color w:val="000000" w:themeColor="text1"/>
                <w:sz w:val="22"/>
                <w:szCs w:val="22"/>
              </w:rPr>
              <m:t>)</m:t>
            </m:r>
          </m:den>
        </m:f>
      </m:oMath>
      <w:r w:rsidRPr="00552B3A">
        <w:rPr>
          <w:rFonts w:ascii="Arial" w:eastAsiaTheme="minorEastAsia" w:hAnsi="Arial" w:cs="Arial"/>
          <w:sz w:val="22"/>
          <w:szCs w:val="22"/>
        </w:rPr>
        <w:t>,</w:t>
      </w:r>
      <w:r w:rsidRPr="00552B3A">
        <w:rPr>
          <w:rFonts w:ascii="Arial" w:hAnsi="Arial" w:cs="Arial"/>
          <w:sz w:val="22"/>
          <w:szCs w:val="22"/>
        </w:rPr>
        <w:t xml:space="preserve"> such that,</w:t>
      </w:r>
      <m:oMath>
        <m:sSub>
          <m:sSubPr>
            <m:ctrlPr>
              <w:rPr>
                <w:rFonts w:ascii="Cambria Math" w:hAnsi="Cambria Math" w:cs="Arial"/>
                <w:i/>
                <w:sz w:val="22"/>
                <w:szCs w:val="22"/>
              </w:rPr>
            </m:ctrlPr>
          </m:sSubPr>
          <m:e>
            <m:r>
              <w:rPr>
                <w:rFonts w:ascii="Cambria Math" w:hAnsi="Cambria Math" w:cs="Arial"/>
                <w:sz w:val="22"/>
                <w:szCs w:val="22"/>
              </w:rPr>
              <m:t xml:space="preserve"> P</m:t>
            </m:r>
          </m:e>
          <m:sub>
            <m:r>
              <w:rPr>
                <w:rFonts w:ascii="Cambria Math" w:hAnsi="Cambria Math" w:cs="Arial"/>
                <w:sz w:val="22"/>
                <w:szCs w:val="22"/>
              </w:rPr>
              <m:t>xy</m:t>
            </m:r>
          </m:sub>
        </m:sSub>
      </m:oMath>
      <w:r w:rsidRPr="00552B3A">
        <w:rPr>
          <w:rFonts w:ascii="Arial" w:hAnsi="Arial" w:cs="Arial"/>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xx</m:t>
            </m:r>
          </m:sub>
        </m:sSub>
      </m:oMath>
      <w:r w:rsidRPr="00552B3A">
        <w:rPr>
          <w:rFonts w:ascii="Arial" w:eastAsiaTheme="minorEastAsia" w:hAnsi="Arial" w:cs="Arial"/>
          <w:sz w:val="22"/>
          <w:szCs w:val="22"/>
        </w:rPr>
        <w:t>,</w:t>
      </w:r>
      <w:r w:rsidRPr="00552B3A">
        <w:rPr>
          <w:rFonts w:ascii="Arial" w:hAnsi="Arial" w:cs="Arial"/>
          <w:i/>
          <w:sz w:val="22"/>
          <w:szCs w:val="22"/>
        </w:rPr>
        <w:t xml:space="preserve"> </w:t>
      </w:r>
      <w:r w:rsidRPr="00552B3A">
        <w:rPr>
          <w:rFonts w:ascii="Arial" w:hAnsi="Arial" w:cs="Arial"/>
          <w:iCs/>
          <w:sz w:val="22"/>
          <w:szCs w:val="22"/>
        </w:rPr>
        <w:t>and</w:t>
      </w:r>
      <w:r w:rsidRPr="00552B3A">
        <w:rPr>
          <w:rFonts w:ascii="Arial" w:hAnsi="Arial" w:cs="Arial"/>
          <w:i/>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yy</m:t>
            </m:r>
          </m:sub>
        </m:sSub>
      </m:oMath>
      <w:r w:rsidRPr="00552B3A">
        <w:rPr>
          <w:rFonts w:ascii="Arial" w:eastAsiaTheme="minorEastAsia" w:hAnsi="Arial" w:cs="Arial"/>
          <w:i/>
          <w:sz w:val="22"/>
          <w:szCs w:val="22"/>
        </w:rPr>
        <w:t xml:space="preserve"> a</w:t>
      </w:r>
      <w:r w:rsidRPr="00552B3A">
        <w:rPr>
          <w:rFonts w:ascii="Arial" w:hAnsi="Arial" w:cs="Arial"/>
          <w:sz w:val="22"/>
          <w:szCs w:val="22"/>
        </w:rPr>
        <w:t xml:space="preserve">re the complex-valued cross-spectrum power density estimates and power spectral </w:t>
      </w:r>
      <w:r w:rsidRPr="00552B3A">
        <w:rPr>
          <w:rFonts w:ascii="Arial" w:hAnsi="Arial" w:cs="Arial"/>
          <w:sz w:val="22"/>
          <w:szCs w:val="22"/>
        </w:rPr>
        <w:lastRenderedPageBreak/>
        <w:t>density estimates, respectively. Cortical averages were calculated by averaging across all regions and are displayed as means and standard deviations. Coherence was integrated from (1) 0.5 Hz to 2.0 Hz and (2) below 0.5 Hz</w:t>
      </w:r>
      <w:r w:rsidRPr="00552B3A">
        <w:rPr>
          <w:rFonts w:ascii="Arial" w:eastAsiaTheme="minorEastAsia" w:hAnsi="Arial" w:cs="Arial"/>
          <w:sz w:val="22"/>
          <w:szCs w:val="22"/>
        </w:rPr>
        <w:t xml:space="preserve">. </w:t>
      </w:r>
      <w:r w:rsidRPr="00552B3A">
        <w:rPr>
          <w:rFonts w:ascii="Arial" w:hAnsi="Arial" w:cs="Arial"/>
          <w:sz w:val="22"/>
          <w:szCs w:val="22"/>
        </w:rPr>
        <w:t>Before drugs, MSC exhibited a peak at 0.2 Hz, indicating the band-limited nature of NVC. Saline did not alter coherence. After injection of DOI, a 0.8 Hz coherence peak (~0.5 Hz half-bandwidth) emerged (0.5 Hz - 2.0 Hz: +170% [110% 230%]</w:t>
      </w:r>
      <w:r w:rsidR="00D84FA1">
        <w:rPr>
          <w:rFonts w:ascii="Arial" w:hAnsi="Arial" w:cs="Arial"/>
          <w:sz w:val="22"/>
          <w:szCs w:val="22"/>
        </w:rPr>
        <w:t xml:space="preserve">; pre- versus post-injection: </w:t>
      </w:r>
      <w:r w:rsidRPr="00552B3A">
        <w:rPr>
          <w:rFonts w:ascii="Arial" w:hAnsi="Arial" w:cs="Arial"/>
          <w:sz w:val="22"/>
          <w:szCs w:val="22"/>
        </w:rPr>
        <w:t>p=0.008; Kruskal-Wallis</w:t>
      </w:r>
      <w:r w:rsidR="00E4030E">
        <w:rPr>
          <w:rFonts w:ascii="Arial" w:hAnsi="Arial" w:cs="Arial"/>
          <w:sz w:val="22"/>
          <w:szCs w:val="22"/>
        </w:rPr>
        <w:t>:</w:t>
      </w:r>
      <w:r w:rsidRPr="00552B3A">
        <w:rPr>
          <w:rFonts w:ascii="Arial" w:hAnsi="Arial" w:cs="Arial"/>
          <w:sz w:val="22"/>
          <w:szCs w:val="22"/>
        </w:rPr>
        <w:t xml:space="preserve"> p=0.002</w:t>
      </w:r>
      <w:r w:rsidR="00E4030E">
        <w:rPr>
          <w:rFonts w:ascii="Arial" w:hAnsi="Arial" w:cs="Arial"/>
          <w:sz w:val="22"/>
          <w:szCs w:val="22"/>
        </w:rPr>
        <w:t>;</w:t>
      </w:r>
      <w:r w:rsidRPr="00552B3A">
        <w:rPr>
          <w:rFonts w:ascii="Arial" w:hAnsi="Arial" w:cs="Arial"/>
          <w:sz w:val="22"/>
          <w:szCs w:val="22"/>
        </w:rPr>
        <w:t xml:space="preserve"> saline </w:t>
      </w:r>
      <w:r w:rsidR="00E4030E">
        <w:rPr>
          <w:rFonts w:ascii="Arial" w:hAnsi="Arial" w:cs="Arial"/>
          <w:sz w:val="22"/>
          <w:szCs w:val="22"/>
        </w:rPr>
        <w:t xml:space="preserve">versus DOI: </w:t>
      </w:r>
      <w:r w:rsidRPr="00552B3A">
        <w:rPr>
          <w:rFonts w:ascii="Arial" w:hAnsi="Arial" w:cs="Arial"/>
          <w:sz w:val="22"/>
          <w:szCs w:val="22"/>
        </w:rPr>
        <w:t xml:space="preserve">p=0.013) and the 0.2 Hz peak largely diminished (&lt;0.5 Hz: -47% [-53%, 49%], </w:t>
      </w:r>
      <w:r w:rsidR="008D79E6">
        <w:rPr>
          <w:rFonts w:ascii="Arial" w:hAnsi="Arial" w:cs="Arial"/>
          <w:sz w:val="22"/>
          <w:szCs w:val="22"/>
        </w:rPr>
        <w:t xml:space="preserve">pre- versus post-injection: </w:t>
      </w:r>
      <w:r w:rsidRPr="00552B3A">
        <w:rPr>
          <w:rFonts w:ascii="Arial" w:hAnsi="Arial" w:cs="Arial"/>
          <w:sz w:val="22"/>
          <w:szCs w:val="22"/>
        </w:rPr>
        <w:t>p=0.008; Kruskal-Wallis</w:t>
      </w:r>
      <w:r w:rsidR="008D79E6">
        <w:rPr>
          <w:rFonts w:ascii="Arial" w:hAnsi="Arial" w:cs="Arial"/>
          <w:sz w:val="22"/>
          <w:szCs w:val="22"/>
        </w:rPr>
        <w:t>:</w:t>
      </w:r>
      <w:r w:rsidRPr="00552B3A">
        <w:rPr>
          <w:rFonts w:ascii="Arial" w:hAnsi="Arial" w:cs="Arial"/>
          <w:sz w:val="22"/>
          <w:szCs w:val="22"/>
        </w:rPr>
        <w:t xml:space="preserve"> p=0.027, saline versus DOI</w:t>
      </w:r>
      <w:r w:rsidR="008D79E6">
        <w:rPr>
          <w:rFonts w:ascii="Arial" w:hAnsi="Arial" w:cs="Arial"/>
          <w:sz w:val="22"/>
          <w:szCs w:val="22"/>
        </w:rPr>
        <w:t>:</w:t>
      </w:r>
      <w:r w:rsidRPr="00552B3A">
        <w:rPr>
          <w:rFonts w:ascii="Arial" w:hAnsi="Arial" w:cs="Arial"/>
          <w:sz w:val="22"/>
          <w:szCs w:val="22"/>
        </w:rPr>
        <w:t xml:space="preserve"> p=0.027).This phenomenon signifies a DOI-induced shift in the NVC frequency band. As demonstrated in other analytical measures, the addition of MDL largely reversed the effects of DOI.</w:t>
      </w:r>
      <w:r w:rsidRPr="00552B3A">
        <w:rPr>
          <w:rFonts w:ascii="Arial" w:hAnsi="Arial" w:cs="Arial"/>
          <w:b/>
          <w:bCs/>
          <w:sz w:val="22"/>
          <w:szCs w:val="22"/>
        </w:rPr>
        <w:t xml:space="preserve"> b) Phase relation between calcium and hemodynamics. </w:t>
      </w:r>
      <w:r w:rsidRPr="00552B3A">
        <w:rPr>
          <w:rFonts w:ascii="Arial" w:hAnsi="Arial" w:cs="Arial"/>
          <w:sz w:val="22"/>
          <w:szCs w:val="22"/>
        </w:rPr>
        <w:t xml:space="preserve">Across all drug conditions, phase exhibited a calcium lag-lead relation, reflected in the positive slope at frequencies below ~1 Hz. </w:t>
      </w:r>
    </w:p>
    <w:p w14:paraId="00BD9318" w14:textId="77777777" w:rsidR="0006669D" w:rsidRPr="00552B3A" w:rsidRDefault="0006669D" w:rsidP="0006669D">
      <w:pPr>
        <w:jc w:val="both"/>
        <w:rPr>
          <w:rFonts w:ascii="Arial" w:eastAsiaTheme="minorEastAsia" w:hAnsi="Arial" w:cs="Arial"/>
          <w:sz w:val="22"/>
          <w:szCs w:val="22"/>
        </w:rPr>
      </w:pPr>
    </w:p>
    <w:p w14:paraId="03C0A723" w14:textId="77777777" w:rsidR="0006669D" w:rsidRPr="00552B3A" w:rsidRDefault="0006669D" w:rsidP="0006669D">
      <w:pPr>
        <w:jc w:val="both"/>
        <w:rPr>
          <w:rFonts w:ascii="Arial" w:hAnsi="Arial" w:cs="Arial"/>
          <w:sz w:val="22"/>
          <w:szCs w:val="22"/>
        </w:rPr>
      </w:pPr>
    </w:p>
    <w:p w14:paraId="10D88BA9" w14:textId="77777777" w:rsidR="0006669D" w:rsidRPr="00552B3A" w:rsidRDefault="0006669D" w:rsidP="0006669D">
      <w:pPr>
        <w:rPr>
          <w:rFonts w:ascii="Arial" w:hAnsi="Arial" w:cs="Arial"/>
          <w:b/>
          <w:bCs/>
          <w:sz w:val="22"/>
          <w:szCs w:val="22"/>
        </w:rPr>
      </w:pPr>
      <w:r w:rsidRPr="00552B3A">
        <w:rPr>
          <w:rFonts w:ascii="Arial" w:hAnsi="Arial" w:cs="Arial"/>
          <w:b/>
          <w:bCs/>
          <w:sz w:val="22"/>
          <w:szCs w:val="22"/>
        </w:rPr>
        <w:br w:type="page"/>
      </w:r>
      <w:r w:rsidRPr="00552B3A">
        <w:rPr>
          <w:rFonts w:ascii="Arial" w:hAnsi="Arial" w:cs="Arial"/>
          <w:b/>
          <w:bCs/>
          <w:noProof/>
          <w:sz w:val="22"/>
          <w:szCs w:val="22"/>
        </w:rPr>
        <w:lastRenderedPageBreak/>
        <w:drawing>
          <wp:inline distT="0" distB="0" distL="0" distR="0" wp14:anchorId="5A7DD33F" wp14:editId="281DF76C">
            <wp:extent cx="6437630" cy="9136380"/>
            <wp:effectExtent l="0" t="0" r="0" b="0"/>
            <wp:docPr id="1023573982"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573982" name="Picture 2" descr="A screenshot of a computer scree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37630" cy="9136380"/>
                    </a:xfrm>
                    <a:prstGeom prst="rect">
                      <a:avLst/>
                    </a:prstGeom>
                    <a:noFill/>
                    <a:ln>
                      <a:noFill/>
                    </a:ln>
                  </pic:spPr>
                </pic:pic>
              </a:graphicData>
            </a:graphic>
          </wp:inline>
        </w:drawing>
      </w:r>
    </w:p>
    <w:p w14:paraId="5E729C3B" w14:textId="3FC23210" w:rsidR="0006669D" w:rsidRPr="00552B3A" w:rsidRDefault="0006669D" w:rsidP="001E4650">
      <w:pPr>
        <w:jc w:val="both"/>
        <w:rPr>
          <w:rFonts w:ascii="Arial" w:hAnsi="Arial" w:cs="Arial"/>
          <w:sz w:val="22"/>
          <w:szCs w:val="22"/>
        </w:rPr>
      </w:pPr>
      <w:r w:rsidRPr="00552B3A">
        <w:rPr>
          <w:rFonts w:ascii="Arial" w:hAnsi="Arial" w:cs="Arial"/>
          <w:b/>
          <w:bCs/>
          <w:sz w:val="22"/>
          <w:szCs w:val="22"/>
        </w:rPr>
        <w:lastRenderedPageBreak/>
        <w:t>Supplemental Figure 7) Regional lagged cross-covariance and coherence. a) Lagged cross-covariance between calcium and hemodynamics reveal regional-specific contribution to global cross analysis.</w:t>
      </w:r>
      <w:r w:rsidRPr="00552B3A">
        <w:rPr>
          <w:rFonts w:ascii="Arial" w:hAnsi="Arial" w:cs="Arial"/>
          <w:sz w:val="22"/>
          <w:szCs w:val="22"/>
        </w:rPr>
        <w:t xml:space="preserve"> Lagged cross-covariance between calcium and hemodynamics was calculated for each region and time window. Windows were averaged through medians. Before drugs (left), coupling was strongest in somatosensory and parietal regions and weakest in frontal, cingulate, retrosplenial, and motor regions. As evident in regional HRFs (Fig. S5a), DOI decreased cortical-wide coupling strength and gave rise to a sharp notch at zero lag. Notably, the deepest notches were in secondary motor, retrosplenial, and visual regions. DOI CCFs also decayed faster in all critical regions, with stronger decreases in the cingulate and retrosplenial regions.  DOI+MDL predominantly reflected pre-injection CCFs, except for negative-lagged decreases in somatosensory and parietal regions.</w:t>
      </w:r>
      <w:r w:rsidR="00B43B32" w:rsidRPr="00B43B32">
        <w:rPr>
          <w:rFonts w:ascii="Arial" w:hAnsi="Arial" w:cs="Arial"/>
          <w:sz w:val="22"/>
          <w:szCs w:val="22"/>
        </w:rPr>
        <w:t xml:space="preserve"> </w:t>
      </w:r>
      <w:r w:rsidR="00B43B32" w:rsidRPr="00552B3A">
        <w:rPr>
          <w:rFonts w:ascii="Arial" w:hAnsi="Arial" w:cs="Arial"/>
          <w:sz w:val="22"/>
          <w:szCs w:val="22"/>
        </w:rPr>
        <w:t xml:space="preserve">We note that covariance here has units of </w:t>
      </w:r>
      <m:oMath>
        <m:r>
          <w:rPr>
            <w:rFonts w:ascii="Cambria Math" w:hAnsi="Cambria Math" w:cs="Arial"/>
            <w:sz w:val="22"/>
            <w:szCs w:val="22"/>
          </w:rPr>
          <m:t>μ</m:t>
        </m:r>
      </m:oMath>
      <w:r w:rsidR="00B43B32" w:rsidRPr="00552B3A">
        <w:rPr>
          <w:rFonts w:ascii="Arial" w:eastAsiaTheme="minorEastAsia" w:hAnsi="Arial" w:cs="Arial"/>
          <w:sz w:val="22"/>
          <w:szCs w:val="22"/>
        </w:rPr>
        <w:t>Mol</w:t>
      </w:r>
      <m:oMath>
        <m:r>
          <w:rPr>
            <w:rFonts w:ascii="Cambria Math" w:eastAsiaTheme="minorEastAsia" w:hAnsi="Cambria Math" w:cs="Arial"/>
            <w:sz w:val="22"/>
            <w:szCs w:val="22"/>
          </w:rPr>
          <m:t>∙</m:t>
        </m:r>
      </m:oMath>
      <w:r w:rsidR="00B43B32" w:rsidRPr="00552B3A">
        <w:rPr>
          <w:rFonts w:ascii="Arial" w:eastAsiaTheme="minorEastAsia" w:hAnsi="Arial" w:cs="Arial"/>
          <w:sz w:val="22"/>
          <w:szCs w:val="22"/>
        </w:rPr>
        <w:t>(</w:t>
      </w:r>
      <m:oMath>
        <m:r>
          <m:rPr>
            <m:sty m:val="p"/>
          </m:rPr>
          <w:rPr>
            <w:rFonts w:ascii="Cambria Math" w:eastAsiaTheme="minorEastAsia" w:hAnsi="Cambria Math" w:cs="Arial"/>
            <w:sz w:val="22"/>
            <w:szCs w:val="22"/>
          </w:rPr>
          <m:t>Δ</m:t>
        </m:r>
      </m:oMath>
      <w:r w:rsidR="00B43B32" w:rsidRPr="00552B3A">
        <w:rPr>
          <w:rFonts w:ascii="Arial" w:eastAsiaTheme="minorEastAsia" w:hAnsi="Arial" w:cs="Arial"/>
          <w:sz w:val="22"/>
          <w:szCs w:val="22"/>
        </w:rPr>
        <w:t>F/F%).</w:t>
      </w:r>
      <w:r w:rsidRPr="00552B3A">
        <w:rPr>
          <w:rFonts w:ascii="Arial" w:hAnsi="Arial" w:cs="Arial"/>
          <w:sz w:val="22"/>
          <w:szCs w:val="22"/>
        </w:rPr>
        <w:t xml:space="preserve"> </w:t>
      </w:r>
      <w:r w:rsidRPr="00552B3A">
        <w:rPr>
          <w:rFonts w:ascii="Arial" w:hAnsi="Arial" w:cs="Arial"/>
          <w:b/>
          <w:bCs/>
          <w:sz w:val="22"/>
          <w:szCs w:val="22"/>
        </w:rPr>
        <w:t>b) Coherence between calcium and hemodynamics.</w:t>
      </w:r>
      <w:r w:rsidRPr="00552B3A">
        <w:rPr>
          <w:rFonts w:ascii="Arial" w:hAnsi="Arial" w:cs="Arial"/>
          <w:sz w:val="22"/>
          <w:szCs w:val="22"/>
        </w:rPr>
        <w:t xml:space="preserve">  To better understand the frequency content in the cross-covariance functions, cross-spectral density estimates were calculated for each region using a smoothed estimator. </w:t>
      </w:r>
      <w:r w:rsidRPr="00552B3A">
        <w:rPr>
          <w:rFonts w:ascii="Arial" w:hAnsi="Arial" w:cs="Arial"/>
          <w:color w:val="000000" w:themeColor="text1"/>
          <w:sz w:val="22"/>
          <w:szCs w:val="22"/>
        </w:rPr>
        <w:t xml:space="preserve">From this, magnitude-squared coherence (MSC) was calculated as </w:t>
      </w:r>
      <m:oMath>
        <m:r>
          <w:rPr>
            <w:rFonts w:ascii="Cambria Math" w:hAnsi="Cambria Math" w:cs="Arial"/>
            <w:color w:val="000000" w:themeColor="text1"/>
            <w:sz w:val="22"/>
            <w:szCs w:val="22"/>
          </w:rPr>
          <m:t>MSC=</m:t>
        </m:r>
        <m:f>
          <m:fPr>
            <m:type m:val="lin"/>
            <m:ctrlPr>
              <w:rPr>
                <w:rFonts w:ascii="Cambria Math" w:hAnsi="Cambria Math" w:cs="Arial"/>
                <w:i/>
                <w:color w:val="000000" w:themeColor="text1"/>
                <w:sz w:val="22"/>
                <w:szCs w:val="22"/>
              </w:rPr>
            </m:ctrlPr>
          </m:fPr>
          <m:num>
            <m:sSup>
              <m:sSupPr>
                <m:ctrlPr>
                  <w:rPr>
                    <w:rFonts w:ascii="Cambria Math" w:hAnsi="Cambria Math" w:cs="Arial"/>
                    <w:i/>
                    <w:color w:val="000000" w:themeColor="text1"/>
                    <w:sz w:val="22"/>
                    <w:szCs w:val="22"/>
                  </w:rPr>
                </m:ctrlPr>
              </m:sSupPr>
              <m:e>
                <m:d>
                  <m:dPr>
                    <m:begChr m:val="|"/>
                    <m:endChr m:val="|"/>
                    <m:ctrlPr>
                      <w:rPr>
                        <w:rFonts w:ascii="Cambria Math" w:hAnsi="Cambria Math" w:cs="Arial"/>
                        <w:i/>
                        <w:color w:val="000000" w:themeColor="text1"/>
                        <w:sz w:val="22"/>
                        <w:szCs w:val="22"/>
                      </w:rPr>
                    </m:ctrlPr>
                  </m:dPr>
                  <m:e>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P</m:t>
                        </m:r>
                      </m:e>
                      <m:sub>
                        <m:r>
                          <w:rPr>
                            <w:rFonts w:ascii="Cambria Math" w:hAnsi="Cambria Math" w:cs="Arial"/>
                            <w:color w:val="000000" w:themeColor="text1"/>
                            <w:sz w:val="22"/>
                            <w:szCs w:val="22"/>
                          </w:rPr>
                          <m:t>xy</m:t>
                        </m:r>
                      </m:sub>
                    </m:sSub>
                  </m:e>
                </m:d>
              </m:e>
              <m:sup>
                <m:r>
                  <w:rPr>
                    <w:rFonts w:ascii="Cambria Math" w:hAnsi="Cambria Math" w:cs="Arial"/>
                    <w:color w:val="000000" w:themeColor="text1"/>
                    <w:sz w:val="22"/>
                    <w:szCs w:val="22"/>
                  </w:rPr>
                  <m:t>2</m:t>
                </m:r>
              </m:sup>
            </m:sSup>
          </m:num>
          <m:den>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(P</m:t>
                </m:r>
              </m:e>
              <m:sub>
                <m:r>
                  <w:rPr>
                    <w:rFonts w:ascii="Cambria Math" w:hAnsi="Cambria Math" w:cs="Arial"/>
                    <w:color w:val="000000" w:themeColor="text1"/>
                    <w:sz w:val="22"/>
                    <w:szCs w:val="22"/>
                  </w:rPr>
                  <m:t>xx</m:t>
                </m:r>
              </m:sub>
            </m:sSub>
            <m:sSub>
              <m:sSubPr>
                <m:ctrlPr>
                  <w:rPr>
                    <w:rFonts w:ascii="Cambria Math" w:hAnsi="Cambria Math" w:cs="Arial"/>
                    <w:i/>
                    <w:color w:val="000000" w:themeColor="text1"/>
                    <w:sz w:val="22"/>
                    <w:szCs w:val="22"/>
                  </w:rPr>
                </m:ctrlPr>
              </m:sSubPr>
              <m:e>
                <m:r>
                  <w:rPr>
                    <w:rFonts w:ascii="Cambria Math" w:hAnsi="Cambria Math" w:cs="Arial"/>
                    <w:color w:val="000000" w:themeColor="text1"/>
                    <w:sz w:val="22"/>
                    <w:szCs w:val="22"/>
                  </w:rPr>
                  <m:t>P</m:t>
                </m:r>
              </m:e>
              <m:sub>
                <m:r>
                  <w:rPr>
                    <w:rFonts w:ascii="Cambria Math" w:hAnsi="Cambria Math" w:cs="Arial"/>
                    <w:color w:val="000000" w:themeColor="text1"/>
                    <w:sz w:val="22"/>
                    <w:szCs w:val="22"/>
                  </w:rPr>
                  <m:t>yy</m:t>
                </m:r>
              </m:sub>
            </m:sSub>
            <m:r>
              <w:rPr>
                <w:rFonts w:ascii="Cambria Math" w:hAnsi="Cambria Math" w:cs="Arial"/>
                <w:color w:val="000000" w:themeColor="text1"/>
                <w:sz w:val="22"/>
                <w:szCs w:val="22"/>
              </w:rPr>
              <m:t>)</m:t>
            </m:r>
          </m:den>
        </m:f>
      </m:oMath>
      <w:r w:rsidRPr="00552B3A">
        <w:rPr>
          <w:rFonts w:ascii="Arial" w:eastAsiaTheme="minorEastAsia" w:hAnsi="Arial" w:cs="Arial"/>
          <w:sz w:val="22"/>
          <w:szCs w:val="22"/>
        </w:rPr>
        <w:t>,</w:t>
      </w:r>
      <w:r w:rsidRPr="00552B3A">
        <w:rPr>
          <w:rFonts w:ascii="Arial" w:hAnsi="Arial" w:cs="Arial"/>
          <w:sz w:val="22"/>
          <w:szCs w:val="22"/>
        </w:rPr>
        <w:t xml:space="preserve"> such that,</w:t>
      </w:r>
      <m:oMath>
        <m:sSub>
          <m:sSubPr>
            <m:ctrlPr>
              <w:rPr>
                <w:rFonts w:ascii="Cambria Math" w:hAnsi="Cambria Math" w:cs="Arial"/>
                <w:i/>
                <w:sz w:val="22"/>
                <w:szCs w:val="22"/>
              </w:rPr>
            </m:ctrlPr>
          </m:sSubPr>
          <m:e>
            <m:r>
              <w:rPr>
                <w:rFonts w:ascii="Cambria Math" w:hAnsi="Cambria Math" w:cs="Arial"/>
                <w:sz w:val="22"/>
                <w:szCs w:val="22"/>
              </w:rPr>
              <m:t xml:space="preserve"> P</m:t>
            </m:r>
          </m:e>
          <m:sub>
            <m:r>
              <w:rPr>
                <w:rFonts w:ascii="Cambria Math" w:hAnsi="Cambria Math" w:cs="Arial"/>
                <w:sz w:val="22"/>
                <w:szCs w:val="22"/>
              </w:rPr>
              <m:t>xy</m:t>
            </m:r>
          </m:sub>
        </m:sSub>
      </m:oMath>
      <w:r w:rsidRPr="00552B3A">
        <w:rPr>
          <w:rFonts w:ascii="Arial" w:hAnsi="Arial" w:cs="Arial"/>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xx</m:t>
            </m:r>
          </m:sub>
        </m:sSub>
      </m:oMath>
      <w:r w:rsidRPr="00552B3A">
        <w:rPr>
          <w:rFonts w:ascii="Arial" w:eastAsiaTheme="minorEastAsia" w:hAnsi="Arial" w:cs="Arial"/>
          <w:sz w:val="22"/>
          <w:szCs w:val="22"/>
        </w:rPr>
        <w:t>,</w:t>
      </w:r>
      <w:r w:rsidRPr="00552B3A">
        <w:rPr>
          <w:rFonts w:ascii="Arial" w:hAnsi="Arial" w:cs="Arial"/>
          <w:i/>
          <w:sz w:val="22"/>
          <w:szCs w:val="22"/>
        </w:rPr>
        <w:t xml:space="preserve"> </w:t>
      </w:r>
      <w:r w:rsidRPr="00552B3A">
        <w:rPr>
          <w:rFonts w:ascii="Arial" w:hAnsi="Arial" w:cs="Arial"/>
          <w:iCs/>
          <w:sz w:val="22"/>
          <w:szCs w:val="22"/>
        </w:rPr>
        <w:t>and</w:t>
      </w:r>
      <w:r w:rsidRPr="00552B3A">
        <w:rPr>
          <w:rFonts w:ascii="Arial" w:hAnsi="Arial" w:cs="Arial"/>
          <w:i/>
          <w:sz w:val="22"/>
          <w:szCs w:val="22"/>
        </w:rPr>
        <w:t xml:space="preserve"> </w:t>
      </w:r>
      <m:oMath>
        <m:sSub>
          <m:sSubPr>
            <m:ctrlPr>
              <w:rPr>
                <w:rFonts w:ascii="Cambria Math" w:hAnsi="Cambria Math" w:cs="Arial"/>
                <w:i/>
                <w:sz w:val="22"/>
                <w:szCs w:val="22"/>
              </w:rPr>
            </m:ctrlPr>
          </m:sSubPr>
          <m:e>
            <m:r>
              <w:rPr>
                <w:rFonts w:ascii="Cambria Math" w:hAnsi="Cambria Math" w:cs="Arial"/>
                <w:sz w:val="22"/>
                <w:szCs w:val="22"/>
              </w:rPr>
              <m:t>P</m:t>
            </m:r>
          </m:e>
          <m:sub>
            <m:r>
              <w:rPr>
                <w:rFonts w:ascii="Cambria Math" w:hAnsi="Cambria Math" w:cs="Arial"/>
                <w:sz w:val="22"/>
                <w:szCs w:val="22"/>
              </w:rPr>
              <m:t>yy</m:t>
            </m:r>
          </m:sub>
        </m:sSub>
      </m:oMath>
      <w:r w:rsidRPr="00552B3A">
        <w:rPr>
          <w:rFonts w:ascii="Arial" w:eastAsiaTheme="minorEastAsia" w:hAnsi="Arial" w:cs="Arial"/>
          <w:i/>
          <w:sz w:val="22"/>
          <w:szCs w:val="22"/>
        </w:rPr>
        <w:t xml:space="preserve"> a</w:t>
      </w:r>
      <w:r w:rsidRPr="00552B3A">
        <w:rPr>
          <w:rFonts w:ascii="Arial" w:hAnsi="Arial" w:cs="Arial"/>
          <w:sz w:val="22"/>
          <w:szCs w:val="22"/>
        </w:rPr>
        <w:t>re the complex-valued cross-spectrum power density estimates and power spectral density estimates, respectively. As observed in global measures before drugs, there was strong coherence in lower frequencies (&lt;0.5 Hz) and was strongest in somatosensory and parietal regions. Coherence was weakest in frontal, cingulate, motor, and retrosplenial regions. DOI decreased low-frequency coherence and changes were regionally specific. The emergent 0.8 Hz global MSC peak (Fig. S 6b) was primarily in higher association regions such as cingulate, secondary motor, and retrosplenial cortices. Notably, before injection of DOI, these regions showed low, broad-band coherence. DOI+MDL regional coherence reflected pre-injection characteristics.</w:t>
      </w:r>
      <w:r w:rsidRPr="00552B3A">
        <w:rPr>
          <w:rFonts w:ascii="Arial" w:hAnsi="Arial" w:cs="Arial"/>
          <w:b/>
          <w:bCs/>
          <w:sz w:val="22"/>
          <w:szCs w:val="22"/>
        </w:rPr>
        <w:t xml:space="preserve"> c) Phase relation between calcium and hemodynamics. </w:t>
      </w:r>
      <w:r w:rsidRPr="00552B3A">
        <w:rPr>
          <w:rFonts w:ascii="Arial" w:hAnsi="Arial" w:cs="Arial"/>
          <w:sz w:val="22"/>
          <w:szCs w:val="22"/>
        </w:rPr>
        <w:t>Before drugs, phase relations did not show regional variation (left). After injection of DOI and DOI+MDL, most regions matched their pre-injection characteristics, except for frontal, cingulate, and retrosplenial regions, where phase slopes reversed. DOI and DOI+MDL caused phase slopes to become negative in some regions (</w:t>
      </w:r>
      <w:r w:rsidRPr="00552B3A">
        <w:rPr>
          <w:rFonts w:ascii="Arial" w:hAnsi="Arial" w:cs="Arial"/>
          <w:i/>
          <w:iCs/>
          <w:sz w:val="22"/>
          <w:szCs w:val="22"/>
        </w:rPr>
        <w:t>i.e.</w:t>
      </w:r>
      <w:r w:rsidRPr="00552B3A">
        <w:rPr>
          <w:rFonts w:ascii="Arial" w:hAnsi="Arial" w:cs="Arial"/>
          <w:sz w:val="22"/>
          <w:szCs w:val="22"/>
        </w:rPr>
        <w:t>, start yellow, become green), revealing that hemodynamics lead calcium in this band (</w:t>
      </w:r>
      <w:r w:rsidRPr="00552B3A">
        <w:rPr>
          <w:rFonts w:ascii="Arial" w:hAnsi="Arial" w:cs="Arial"/>
          <w:i/>
          <w:iCs/>
          <w:sz w:val="22"/>
          <w:szCs w:val="22"/>
        </w:rPr>
        <w:t>i.e.</w:t>
      </w:r>
      <w:r w:rsidRPr="00552B3A">
        <w:rPr>
          <w:rFonts w:ascii="Arial" w:hAnsi="Arial" w:cs="Arial"/>
          <w:sz w:val="22"/>
          <w:szCs w:val="22"/>
        </w:rPr>
        <w:t>, vasculo-neural coupling, see section 5.3.1). MDL did not fully reverse this phenomenon.</w:t>
      </w:r>
    </w:p>
    <w:p w14:paraId="66DD1864" w14:textId="3586EDC4" w:rsidR="009D36F3" w:rsidRPr="00552B3A" w:rsidRDefault="00311CE7" w:rsidP="008D76DF">
      <w:pPr>
        <w:contextualSpacing/>
        <w:mirrorIndents/>
        <w:rPr>
          <w:rFonts w:ascii="Arial" w:hAnsi="Arial" w:cs="Arial"/>
          <w:sz w:val="22"/>
          <w:szCs w:val="22"/>
        </w:rPr>
      </w:pPr>
      <w:r w:rsidRPr="00552B3A">
        <w:rPr>
          <w:rFonts w:ascii="Arial" w:eastAsia="Times New Roman" w:hAnsi="Arial" w:cs="Arial"/>
          <w:noProof/>
          <w:sz w:val="22"/>
          <w:szCs w:val="22"/>
        </w:rPr>
        <w:fldChar w:fldCharType="begin"/>
      </w:r>
      <w:r w:rsidRPr="00552B3A">
        <w:rPr>
          <w:rFonts w:ascii="Arial" w:eastAsia="Times New Roman" w:hAnsi="Arial" w:cs="Arial"/>
          <w:sz w:val="22"/>
          <w:szCs w:val="22"/>
        </w:rPr>
        <w:instrText xml:space="preserve"> ADDIN EN.REFLIST </w:instrText>
      </w:r>
      <w:r w:rsidR="008A5D83">
        <w:rPr>
          <w:rFonts w:ascii="Arial" w:eastAsia="Times New Roman" w:hAnsi="Arial" w:cs="Arial"/>
          <w:noProof/>
          <w:sz w:val="22"/>
          <w:szCs w:val="22"/>
        </w:rPr>
        <w:fldChar w:fldCharType="separate"/>
      </w:r>
      <w:r w:rsidRPr="00552B3A">
        <w:rPr>
          <w:rFonts w:ascii="Arial" w:eastAsia="Times New Roman" w:hAnsi="Arial" w:cs="Arial"/>
          <w:sz w:val="22"/>
          <w:szCs w:val="22"/>
        </w:rPr>
        <w:fldChar w:fldCharType="end"/>
      </w:r>
    </w:p>
    <w:sectPr w:rsidR="009D36F3" w:rsidRPr="00552B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ez00az8stspuexs2nxe294zrdvfx050a0a&quot;&gt;My EndNote Library&lt;record-ids&gt;&lt;item&gt;101&lt;/item&gt;&lt;item&gt;103&lt;/item&gt;&lt;item&gt;152&lt;/item&gt;&lt;item&gt;153&lt;/item&gt;&lt;item&gt;154&lt;/item&gt;&lt;item&gt;202&lt;/item&gt;&lt;item&gt;318&lt;/item&gt;&lt;item&gt;325&lt;/item&gt;&lt;/record-ids&gt;&lt;/item&gt;&lt;/Libraries&gt;"/>
  </w:docVars>
  <w:rsids>
    <w:rsidRoot w:val="00826E55"/>
    <w:rsid w:val="00000FF3"/>
    <w:rsid w:val="00002BD8"/>
    <w:rsid w:val="00004010"/>
    <w:rsid w:val="00007F06"/>
    <w:rsid w:val="00011CE5"/>
    <w:rsid w:val="00011EC3"/>
    <w:rsid w:val="00015002"/>
    <w:rsid w:val="00022205"/>
    <w:rsid w:val="00022D21"/>
    <w:rsid w:val="00023F19"/>
    <w:rsid w:val="000248AE"/>
    <w:rsid w:val="000257C5"/>
    <w:rsid w:val="000350CF"/>
    <w:rsid w:val="000368AA"/>
    <w:rsid w:val="000430DB"/>
    <w:rsid w:val="000441B3"/>
    <w:rsid w:val="000467C1"/>
    <w:rsid w:val="0005148D"/>
    <w:rsid w:val="00053A8C"/>
    <w:rsid w:val="00057EE2"/>
    <w:rsid w:val="00063748"/>
    <w:rsid w:val="0006646D"/>
    <w:rsid w:val="0006669D"/>
    <w:rsid w:val="000703C4"/>
    <w:rsid w:val="00071D1A"/>
    <w:rsid w:val="00082956"/>
    <w:rsid w:val="0008703F"/>
    <w:rsid w:val="00087C2C"/>
    <w:rsid w:val="000906B8"/>
    <w:rsid w:val="00091438"/>
    <w:rsid w:val="00091CE6"/>
    <w:rsid w:val="000928D6"/>
    <w:rsid w:val="00092CFB"/>
    <w:rsid w:val="000943FB"/>
    <w:rsid w:val="00095290"/>
    <w:rsid w:val="000A3BF7"/>
    <w:rsid w:val="000A64B9"/>
    <w:rsid w:val="000A679D"/>
    <w:rsid w:val="000A6EDA"/>
    <w:rsid w:val="000B37E5"/>
    <w:rsid w:val="000B442C"/>
    <w:rsid w:val="000C47E2"/>
    <w:rsid w:val="000C576B"/>
    <w:rsid w:val="000D1579"/>
    <w:rsid w:val="000D19EA"/>
    <w:rsid w:val="000D1C2F"/>
    <w:rsid w:val="000D2DA6"/>
    <w:rsid w:val="000D3BA1"/>
    <w:rsid w:val="000D75CF"/>
    <w:rsid w:val="000E06DB"/>
    <w:rsid w:val="000E7721"/>
    <w:rsid w:val="000F3479"/>
    <w:rsid w:val="00102FC2"/>
    <w:rsid w:val="00106DD0"/>
    <w:rsid w:val="001134F5"/>
    <w:rsid w:val="00115F61"/>
    <w:rsid w:val="00116F42"/>
    <w:rsid w:val="001209CC"/>
    <w:rsid w:val="00120B3E"/>
    <w:rsid w:val="001261F3"/>
    <w:rsid w:val="001336B7"/>
    <w:rsid w:val="00140CE5"/>
    <w:rsid w:val="001466E2"/>
    <w:rsid w:val="00153766"/>
    <w:rsid w:val="00155523"/>
    <w:rsid w:val="0015599C"/>
    <w:rsid w:val="00161554"/>
    <w:rsid w:val="001659B5"/>
    <w:rsid w:val="00165B3F"/>
    <w:rsid w:val="001674B6"/>
    <w:rsid w:val="00171C65"/>
    <w:rsid w:val="00172A2F"/>
    <w:rsid w:val="00173443"/>
    <w:rsid w:val="001755CE"/>
    <w:rsid w:val="00185B1D"/>
    <w:rsid w:val="00193625"/>
    <w:rsid w:val="00194779"/>
    <w:rsid w:val="001A11FE"/>
    <w:rsid w:val="001A1378"/>
    <w:rsid w:val="001A7C0D"/>
    <w:rsid w:val="001B1131"/>
    <w:rsid w:val="001B2F50"/>
    <w:rsid w:val="001B4908"/>
    <w:rsid w:val="001B5860"/>
    <w:rsid w:val="001C28DC"/>
    <w:rsid w:val="001C630A"/>
    <w:rsid w:val="001C692A"/>
    <w:rsid w:val="001D1FBC"/>
    <w:rsid w:val="001D2C06"/>
    <w:rsid w:val="001D2CDC"/>
    <w:rsid w:val="001D3837"/>
    <w:rsid w:val="001D72B5"/>
    <w:rsid w:val="001E12A2"/>
    <w:rsid w:val="001E4650"/>
    <w:rsid w:val="001E6DF8"/>
    <w:rsid w:val="001F2814"/>
    <w:rsid w:val="00203476"/>
    <w:rsid w:val="002060FD"/>
    <w:rsid w:val="00211214"/>
    <w:rsid w:val="00211683"/>
    <w:rsid w:val="00211C4A"/>
    <w:rsid w:val="002159FA"/>
    <w:rsid w:val="00216177"/>
    <w:rsid w:val="00216D4A"/>
    <w:rsid w:val="002176CF"/>
    <w:rsid w:val="00220146"/>
    <w:rsid w:val="002235AB"/>
    <w:rsid w:val="002308D9"/>
    <w:rsid w:val="00230FC5"/>
    <w:rsid w:val="002316ED"/>
    <w:rsid w:val="00233E59"/>
    <w:rsid w:val="00236BF5"/>
    <w:rsid w:val="002409D6"/>
    <w:rsid w:val="002414A2"/>
    <w:rsid w:val="00244765"/>
    <w:rsid w:val="00244B48"/>
    <w:rsid w:val="00245E0B"/>
    <w:rsid w:val="00246C0F"/>
    <w:rsid w:val="002563FF"/>
    <w:rsid w:val="002573FA"/>
    <w:rsid w:val="0025774E"/>
    <w:rsid w:val="002579E3"/>
    <w:rsid w:val="00261D24"/>
    <w:rsid w:val="002675E2"/>
    <w:rsid w:val="00267DBD"/>
    <w:rsid w:val="00271184"/>
    <w:rsid w:val="00273E21"/>
    <w:rsid w:val="002749C2"/>
    <w:rsid w:val="00277078"/>
    <w:rsid w:val="00283A78"/>
    <w:rsid w:val="002851D4"/>
    <w:rsid w:val="00286531"/>
    <w:rsid w:val="00295D70"/>
    <w:rsid w:val="002A1939"/>
    <w:rsid w:val="002A27AF"/>
    <w:rsid w:val="002A6C21"/>
    <w:rsid w:val="002A7AE0"/>
    <w:rsid w:val="002B2DC5"/>
    <w:rsid w:val="002C0591"/>
    <w:rsid w:val="002D07AB"/>
    <w:rsid w:val="002D0A55"/>
    <w:rsid w:val="002D1181"/>
    <w:rsid w:val="002D58ED"/>
    <w:rsid w:val="002E7E19"/>
    <w:rsid w:val="002F567F"/>
    <w:rsid w:val="0030127D"/>
    <w:rsid w:val="003013D8"/>
    <w:rsid w:val="00303DBB"/>
    <w:rsid w:val="003043CE"/>
    <w:rsid w:val="00307B0D"/>
    <w:rsid w:val="00311C0A"/>
    <w:rsid w:val="00311CE7"/>
    <w:rsid w:val="003121CC"/>
    <w:rsid w:val="00316AA5"/>
    <w:rsid w:val="00317A65"/>
    <w:rsid w:val="003204D0"/>
    <w:rsid w:val="00322C77"/>
    <w:rsid w:val="00323A72"/>
    <w:rsid w:val="003245B8"/>
    <w:rsid w:val="00326B0E"/>
    <w:rsid w:val="003308CE"/>
    <w:rsid w:val="00334E25"/>
    <w:rsid w:val="00343410"/>
    <w:rsid w:val="00346427"/>
    <w:rsid w:val="003531D8"/>
    <w:rsid w:val="00356124"/>
    <w:rsid w:val="00360D50"/>
    <w:rsid w:val="00361667"/>
    <w:rsid w:val="00371713"/>
    <w:rsid w:val="00371A12"/>
    <w:rsid w:val="003731DB"/>
    <w:rsid w:val="00373340"/>
    <w:rsid w:val="00374872"/>
    <w:rsid w:val="00375640"/>
    <w:rsid w:val="00385871"/>
    <w:rsid w:val="00385C00"/>
    <w:rsid w:val="003907AC"/>
    <w:rsid w:val="0039487A"/>
    <w:rsid w:val="003954B2"/>
    <w:rsid w:val="003A2DF6"/>
    <w:rsid w:val="003A3ED1"/>
    <w:rsid w:val="003A606B"/>
    <w:rsid w:val="003A7A90"/>
    <w:rsid w:val="003B0C16"/>
    <w:rsid w:val="003B1986"/>
    <w:rsid w:val="003B2586"/>
    <w:rsid w:val="003B387A"/>
    <w:rsid w:val="003B6EFC"/>
    <w:rsid w:val="003C49D2"/>
    <w:rsid w:val="003C4E11"/>
    <w:rsid w:val="003D1B7B"/>
    <w:rsid w:val="003D1F25"/>
    <w:rsid w:val="003D3D28"/>
    <w:rsid w:val="003D6525"/>
    <w:rsid w:val="003E361C"/>
    <w:rsid w:val="003E65CD"/>
    <w:rsid w:val="003E7889"/>
    <w:rsid w:val="003F193E"/>
    <w:rsid w:val="003F408D"/>
    <w:rsid w:val="003F41EA"/>
    <w:rsid w:val="003F5ADA"/>
    <w:rsid w:val="003F6779"/>
    <w:rsid w:val="0040218B"/>
    <w:rsid w:val="0040460A"/>
    <w:rsid w:val="00410A57"/>
    <w:rsid w:val="00411038"/>
    <w:rsid w:val="0041318D"/>
    <w:rsid w:val="004160D5"/>
    <w:rsid w:val="00420612"/>
    <w:rsid w:val="004265E3"/>
    <w:rsid w:val="00427340"/>
    <w:rsid w:val="004365DC"/>
    <w:rsid w:val="004462FC"/>
    <w:rsid w:val="004463E1"/>
    <w:rsid w:val="00447B21"/>
    <w:rsid w:val="0045268B"/>
    <w:rsid w:val="0046032F"/>
    <w:rsid w:val="00461B8C"/>
    <w:rsid w:val="00461E80"/>
    <w:rsid w:val="004645AB"/>
    <w:rsid w:val="00464D9C"/>
    <w:rsid w:val="00464E50"/>
    <w:rsid w:val="004671D0"/>
    <w:rsid w:val="00467E7C"/>
    <w:rsid w:val="00470E82"/>
    <w:rsid w:val="004726FF"/>
    <w:rsid w:val="00474D27"/>
    <w:rsid w:val="00476B0B"/>
    <w:rsid w:val="00477284"/>
    <w:rsid w:val="004772D5"/>
    <w:rsid w:val="00477F85"/>
    <w:rsid w:val="0048006E"/>
    <w:rsid w:val="00486A1B"/>
    <w:rsid w:val="004871B7"/>
    <w:rsid w:val="00495661"/>
    <w:rsid w:val="004A33FD"/>
    <w:rsid w:val="004A36FE"/>
    <w:rsid w:val="004A4023"/>
    <w:rsid w:val="004B2B05"/>
    <w:rsid w:val="004B2EA0"/>
    <w:rsid w:val="004B3F44"/>
    <w:rsid w:val="004B4F38"/>
    <w:rsid w:val="004B57F1"/>
    <w:rsid w:val="004C3820"/>
    <w:rsid w:val="004C5210"/>
    <w:rsid w:val="004C654E"/>
    <w:rsid w:val="004C672D"/>
    <w:rsid w:val="004D15EC"/>
    <w:rsid w:val="004E20A0"/>
    <w:rsid w:val="0050052A"/>
    <w:rsid w:val="0050070B"/>
    <w:rsid w:val="00505511"/>
    <w:rsid w:val="005076CB"/>
    <w:rsid w:val="0051536E"/>
    <w:rsid w:val="00517D84"/>
    <w:rsid w:val="00517DF6"/>
    <w:rsid w:val="005201FF"/>
    <w:rsid w:val="00520606"/>
    <w:rsid w:val="00521E53"/>
    <w:rsid w:val="00527378"/>
    <w:rsid w:val="0053206D"/>
    <w:rsid w:val="00532798"/>
    <w:rsid w:val="005349A3"/>
    <w:rsid w:val="00535439"/>
    <w:rsid w:val="00544806"/>
    <w:rsid w:val="00544FA0"/>
    <w:rsid w:val="005455B7"/>
    <w:rsid w:val="00551833"/>
    <w:rsid w:val="00552B3A"/>
    <w:rsid w:val="005735C0"/>
    <w:rsid w:val="0057448E"/>
    <w:rsid w:val="00574B97"/>
    <w:rsid w:val="005759C6"/>
    <w:rsid w:val="00580ACF"/>
    <w:rsid w:val="00580FA1"/>
    <w:rsid w:val="00585624"/>
    <w:rsid w:val="00587E03"/>
    <w:rsid w:val="005A6DAA"/>
    <w:rsid w:val="005B0111"/>
    <w:rsid w:val="005B06D9"/>
    <w:rsid w:val="005C32AD"/>
    <w:rsid w:val="005C4846"/>
    <w:rsid w:val="005C54EA"/>
    <w:rsid w:val="005E20F0"/>
    <w:rsid w:val="005E380B"/>
    <w:rsid w:val="005F032D"/>
    <w:rsid w:val="005F18E8"/>
    <w:rsid w:val="005F193A"/>
    <w:rsid w:val="005F4D05"/>
    <w:rsid w:val="005F4FA8"/>
    <w:rsid w:val="005F749E"/>
    <w:rsid w:val="00600AF4"/>
    <w:rsid w:val="00605C02"/>
    <w:rsid w:val="0061016B"/>
    <w:rsid w:val="00612446"/>
    <w:rsid w:val="00612453"/>
    <w:rsid w:val="00614022"/>
    <w:rsid w:val="006151C0"/>
    <w:rsid w:val="00623DEB"/>
    <w:rsid w:val="00625A14"/>
    <w:rsid w:val="00625ABB"/>
    <w:rsid w:val="006269E2"/>
    <w:rsid w:val="0063017B"/>
    <w:rsid w:val="00646B12"/>
    <w:rsid w:val="006476DF"/>
    <w:rsid w:val="00652F42"/>
    <w:rsid w:val="0066230B"/>
    <w:rsid w:val="00671CC7"/>
    <w:rsid w:val="00672260"/>
    <w:rsid w:val="00673456"/>
    <w:rsid w:val="0067352A"/>
    <w:rsid w:val="00674C38"/>
    <w:rsid w:val="006825E2"/>
    <w:rsid w:val="006826F7"/>
    <w:rsid w:val="00682E2C"/>
    <w:rsid w:val="0068734A"/>
    <w:rsid w:val="00687A32"/>
    <w:rsid w:val="00692A7A"/>
    <w:rsid w:val="00695EE7"/>
    <w:rsid w:val="006A1FB1"/>
    <w:rsid w:val="006A38A8"/>
    <w:rsid w:val="006A40B0"/>
    <w:rsid w:val="006A5157"/>
    <w:rsid w:val="006A5C5E"/>
    <w:rsid w:val="006A671B"/>
    <w:rsid w:val="006A708A"/>
    <w:rsid w:val="006B13D8"/>
    <w:rsid w:val="006B3670"/>
    <w:rsid w:val="006B70C8"/>
    <w:rsid w:val="006C11EE"/>
    <w:rsid w:val="006C2AF6"/>
    <w:rsid w:val="006C2B7A"/>
    <w:rsid w:val="006C3312"/>
    <w:rsid w:val="006C7A61"/>
    <w:rsid w:val="006D2A1A"/>
    <w:rsid w:val="006D2B19"/>
    <w:rsid w:val="006D3033"/>
    <w:rsid w:val="006D43AD"/>
    <w:rsid w:val="006F0165"/>
    <w:rsid w:val="006F2BC8"/>
    <w:rsid w:val="006F30D3"/>
    <w:rsid w:val="006F60DB"/>
    <w:rsid w:val="006F6D61"/>
    <w:rsid w:val="0070070A"/>
    <w:rsid w:val="007012A2"/>
    <w:rsid w:val="007041A5"/>
    <w:rsid w:val="00710912"/>
    <w:rsid w:val="00713686"/>
    <w:rsid w:val="0071746C"/>
    <w:rsid w:val="00721FE5"/>
    <w:rsid w:val="0073064A"/>
    <w:rsid w:val="0073154A"/>
    <w:rsid w:val="00732D39"/>
    <w:rsid w:val="00734010"/>
    <w:rsid w:val="00734D8A"/>
    <w:rsid w:val="00737216"/>
    <w:rsid w:val="00742F11"/>
    <w:rsid w:val="00746415"/>
    <w:rsid w:val="00751215"/>
    <w:rsid w:val="007527AF"/>
    <w:rsid w:val="007536AD"/>
    <w:rsid w:val="007705FC"/>
    <w:rsid w:val="00776495"/>
    <w:rsid w:val="0078538E"/>
    <w:rsid w:val="00787A96"/>
    <w:rsid w:val="00790378"/>
    <w:rsid w:val="0079135E"/>
    <w:rsid w:val="00795BDF"/>
    <w:rsid w:val="007A1798"/>
    <w:rsid w:val="007A38C4"/>
    <w:rsid w:val="007A5FD9"/>
    <w:rsid w:val="007A757B"/>
    <w:rsid w:val="007A7997"/>
    <w:rsid w:val="007B2953"/>
    <w:rsid w:val="007B31E5"/>
    <w:rsid w:val="007B739D"/>
    <w:rsid w:val="007C5E31"/>
    <w:rsid w:val="007C63A2"/>
    <w:rsid w:val="007D172B"/>
    <w:rsid w:val="007D40C0"/>
    <w:rsid w:val="007D54DC"/>
    <w:rsid w:val="007E0FE1"/>
    <w:rsid w:val="007E3A8E"/>
    <w:rsid w:val="007E5D3D"/>
    <w:rsid w:val="007E7BC3"/>
    <w:rsid w:val="007F3433"/>
    <w:rsid w:val="007F3558"/>
    <w:rsid w:val="007F49C2"/>
    <w:rsid w:val="007F4D84"/>
    <w:rsid w:val="007F6B1B"/>
    <w:rsid w:val="00804150"/>
    <w:rsid w:val="008058BE"/>
    <w:rsid w:val="00811FE2"/>
    <w:rsid w:val="008138AF"/>
    <w:rsid w:val="008144F8"/>
    <w:rsid w:val="00816018"/>
    <w:rsid w:val="00820120"/>
    <w:rsid w:val="00820A35"/>
    <w:rsid w:val="0082355F"/>
    <w:rsid w:val="00826E55"/>
    <w:rsid w:val="0082747C"/>
    <w:rsid w:val="00831A0C"/>
    <w:rsid w:val="00832C69"/>
    <w:rsid w:val="00834EA8"/>
    <w:rsid w:val="00841AAF"/>
    <w:rsid w:val="00843FBA"/>
    <w:rsid w:val="008447A6"/>
    <w:rsid w:val="008470AA"/>
    <w:rsid w:val="00847775"/>
    <w:rsid w:val="00851BB4"/>
    <w:rsid w:val="0085394B"/>
    <w:rsid w:val="0086010E"/>
    <w:rsid w:val="008658B8"/>
    <w:rsid w:val="0087275A"/>
    <w:rsid w:val="00873B6F"/>
    <w:rsid w:val="00873EEF"/>
    <w:rsid w:val="00874C04"/>
    <w:rsid w:val="00875FC3"/>
    <w:rsid w:val="00880F67"/>
    <w:rsid w:val="0088304A"/>
    <w:rsid w:val="00884848"/>
    <w:rsid w:val="0088573B"/>
    <w:rsid w:val="00887AF1"/>
    <w:rsid w:val="00887E66"/>
    <w:rsid w:val="008903E6"/>
    <w:rsid w:val="00891124"/>
    <w:rsid w:val="00891E8C"/>
    <w:rsid w:val="00892524"/>
    <w:rsid w:val="008976F5"/>
    <w:rsid w:val="008A0260"/>
    <w:rsid w:val="008A4139"/>
    <w:rsid w:val="008A4608"/>
    <w:rsid w:val="008A5D83"/>
    <w:rsid w:val="008A5ED9"/>
    <w:rsid w:val="008A7CF2"/>
    <w:rsid w:val="008B29BA"/>
    <w:rsid w:val="008B35D1"/>
    <w:rsid w:val="008B686F"/>
    <w:rsid w:val="008D0933"/>
    <w:rsid w:val="008D384E"/>
    <w:rsid w:val="008D39E2"/>
    <w:rsid w:val="008D746C"/>
    <w:rsid w:val="008D76DF"/>
    <w:rsid w:val="008D78A4"/>
    <w:rsid w:val="008D79E6"/>
    <w:rsid w:val="008E03DD"/>
    <w:rsid w:val="008E7DEF"/>
    <w:rsid w:val="008F4D1B"/>
    <w:rsid w:val="008F5A70"/>
    <w:rsid w:val="008F60BC"/>
    <w:rsid w:val="00901708"/>
    <w:rsid w:val="00901A37"/>
    <w:rsid w:val="009023F2"/>
    <w:rsid w:val="00905897"/>
    <w:rsid w:val="00910391"/>
    <w:rsid w:val="00910731"/>
    <w:rsid w:val="00910B7E"/>
    <w:rsid w:val="00912EA8"/>
    <w:rsid w:val="009250E2"/>
    <w:rsid w:val="009251F4"/>
    <w:rsid w:val="00925ADD"/>
    <w:rsid w:val="00925D58"/>
    <w:rsid w:val="009264D4"/>
    <w:rsid w:val="00926EBD"/>
    <w:rsid w:val="00931D0E"/>
    <w:rsid w:val="00934E96"/>
    <w:rsid w:val="00935F24"/>
    <w:rsid w:val="00936650"/>
    <w:rsid w:val="00943333"/>
    <w:rsid w:val="00944F3F"/>
    <w:rsid w:val="00944FC5"/>
    <w:rsid w:val="00945447"/>
    <w:rsid w:val="00946348"/>
    <w:rsid w:val="0095376F"/>
    <w:rsid w:val="009541D5"/>
    <w:rsid w:val="00955572"/>
    <w:rsid w:val="0095627C"/>
    <w:rsid w:val="00966E70"/>
    <w:rsid w:val="00972A7D"/>
    <w:rsid w:val="009739C4"/>
    <w:rsid w:val="00981454"/>
    <w:rsid w:val="0098400A"/>
    <w:rsid w:val="009849AE"/>
    <w:rsid w:val="0099119B"/>
    <w:rsid w:val="00994BC1"/>
    <w:rsid w:val="009977A8"/>
    <w:rsid w:val="009B14B4"/>
    <w:rsid w:val="009B24D1"/>
    <w:rsid w:val="009B67B2"/>
    <w:rsid w:val="009D36F3"/>
    <w:rsid w:val="009D525B"/>
    <w:rsid w:val="009D566C"/>
    <w:rsid w:val="009E03F2"/>
    <w:rsid w:val="009E285B"/>
    <w:rsid w:val="009E6675"/>
    <w:rsid w:val="009F7A58"/>
    <w:rsid w:val="00A02EFA"/>
    <w:rsid w:val="00A0673D"/>
    <w:rsid w:val="00A14748"/>
    <w:rsid w:val="00A154BB"/>
    <w:rsid w:val="00A26F91"/>
    <w:rsid w:val="00A31BE0"/>
    <w:rsid w:val="00A343A6"/>
    <w:rsid w:val="00A34C18"/>
    <w:rsid w:val="00A35C62"/>
    <w:rsid w:val="00A429EF"/>
    <w:rsid w:val="00A45461"/>
    <w:rsid w:val="00A47279"/>
    <w:rsid w:val="00A47DED"/>
    <w:rsid w:val="00A51D29"/>
    <w:rsid w:val="00A548DC"/>
    <w:rsid w:val="00A56158"/>
    <w:rsid w:val="00A561CC"/>
    <w:rsid w:val="00A573FD"/>
    <w:rsid w:val="00A63A74"/>
    <w:rsid w:val="00A64869"/>
    <w:rsid w:val="00A71C20"/>
    <w:rsid w:val="00A73AB4"/>
    <w:rsid w:val="00A741C4"/>
    <w:rsid w:val="00A744C9"/>
    <w:rsid w:val="00A74916"/>
    <w:rsid w:val="00A754E1"/>
    <w:rsid w:val="00A7767A"/>
    <w:rsid w:val="00A82192"/>
    <w:rsid w:val="00A82F52"/>
    <w:rsid w:val="00A84A26"/>
    <w:rsid w:val="00A85DB7"/>
    <w:rsid w:val="00A86799"/>
    <w:rsid w:val="00A86A3B"/>
    <w:rsid w:val="00A92133"/>
    <w:rsid w:val="00A9476F"/>
    <w:rsid w:val="00A969D4"/>
    <w:rsid w:val="00AA2B98"/>
    <w:rsid w:val="00AB02B2"/>
    <w:rsid w:val="00AB0502"/>
    <w:rsid w:val="00AB20CC"/>
    <w:rsid w:val="00AB3DF9"/>
    <w:rsid w:val="00AB5361"/>
    <w:rsid w:val="00AB611E"/>
    <w:rsid w:val="00AB619B"/>
    <w:rsid w:val="00AB73E1"/>
    <w:rsid w:val="00AB7517"/>
    <w:rsid w:val="00AC0ACD"/>
    <w:rsid w:val="00AC1E46"/>
    <w:rsid w:val="00AC4005"/>
    <w:rsid w:val="00AC52A8"/>
    <w:rsid w:val="00AC7ADD"/>
    <w:rsid w:val="00AD09D6"/>
    <w:rsid w:val="00AD18AC"/>
    <w:rsid w:val="00AD1B14"/>
    <w:rsid w:val="00AD27BE"/>
    <w:rsid w:val="00AE06FF"/>
    <w:rsid w:val="00AE07FC"/>
    <w:rsid w:val="00AE70C6"/>
    <w:rsid w:val="00AF7383"/>
    <w:rsid w:val="00B01E47"/>
    <w:rsid w:val="00B0382C"/>
    <w:rsid w:val="00B05976"/>
    <w:rsid w:val="00B12DD5"/>
    <w:rsid w:val="00B14BF8"/>
    <w:rsid w:val="00B1704F"/>
    <w:rsid w:val="00B17DCE"/>
    <w:rsid w:val="00B209FA"/>
    <w:rsid w:val="00B223BE"/>
    <w:rsid w:val="00B27F53"/>
    <w:rsid w:val="00B31F81"/>
    <w:rsid w:val="00B33A56"/>
    <w:rsid w:val="00B41480"/>
    <w:rsid w:val="00B42A29"/>
    <w:rsid w:val="00B43B32"/>
    <w:rsid w:val="00B4473C"/>
    <w:rsid w:val="00B5266D"/>
    <w:rsid w:val="00B5386A"/>
    <w:rsid w:val="00B612C4"/>
    <w:rsid w:val="00B6259F"/>
    <w:rsid w:val="00B63181"/>
    <w:rsid w:val="00B63208"/>
    <w:rsid w:val="00B66E1A"/>
    <w:rsid w:val="00B72E9C"/>
    <w:rsid w:val="00B7543B"/>
    <w:rsid w:val="00B76209"/>
    <w:rsid w:val="00B77E38"/>
    <w:rsid w:val="00B80D7D"/>
    <w:rsid w:val="00B902A3"/>
    <w:rsid w:val="00B93746"/>
    <w:rsid w:val="00B9414F"/>
    <w:rsid w:val="00B967F4"/>
    <w:rsid w:val="00B979CA"/>
    <w:rsid w:val="00BA549D"/>
    <w:rsid w:val="00BA5E5E"/>
    <w:rsid w:val="00BA6DE1"/>
    <w:rsid w:val="00BB3AA5"/>
    <w:rsid w:val="00BC0E3F"/>
    <w:rsid w:val="00BC3AC8"/>
    <w:rsid w:val="00BC3B6D"/>
    <w:rsid w:val="00BC4F42"/>
    <w:rsid w:val="00BD4240"/>
    <w:rsid w:val="00BD7693"/>
    <w:rsid w:val="00BE1F7B"/>
    <w:rsid w:val="00BE3983"/>
    <w:rsid w:val="00BE69D8"/>
    <w:rsid w:val="00BE733C"/>
    <w:rsid w:val="00BF1210"/>
    <w:rsid w:val="00BF19B7"/>
    <w:rsid w:val="00BF2F9D"/>
    <w:rsid w:val="00C100CB"/>
    <w:rsid w:val="00C10101"/>
    <w:rsid w:val="00C15C17"/>
    <w:rsid w:val="00C215B8"/>
    <w:rsid w:val="00C25383"/>
    <w:rsid w:val="00C27542"/>
    <w:rsid w:val="00C3637E"/>
    <w:rsid w:val="00C36C98"/>
    <w:rsid w:val="00C37AF3"/>
    <w:rsid w:val="00C44038"/>
    <w:rsid w:val="00C50A42"/>
    <w:rsid w:val="00C52965"/>
    <w:rsid w:val="00C531BE"/>
    <w:rsid w:val="00C54FCD"/>
    <w:rsid w:val="00C6050A"/>
    <w:rsid w:val="00C61AF2"/>
    <w:rsid w:val="00C71D32"/>
    <w:rsid w:val="00C71E99"/>
    <w:rsid w:val="00C74157"/>
    <w:rsid w:val="00C7732E"/>
    <w:rsid w:val="00C85F5B"/>
    <w:rsid w:val="00C87B1A"/>
    <w:rsid w:val="00C91551"/>
    <w:rsid w:val="00C927D7"/>
    <w:rsid w:val="00C93996"/>
    <w:rsid w:val="00C93D90"/>
    <w:rsid w:val="00C93E95"/>
    <w:rsid w:val="00C96C16"/>
    <w:rsid w:val="00CA1BDA"/>
    <w:rsid w:val="00CA39C6"/>
    <w:rsid w:val="00CB08F2"/>
    <w:rsid w:val="00CB2531"/>
    <w:rsid w:val="00CB321F"/>
    <w:rsid w:val="00CD18EC"/>
    <w:rsid w:val="00CD5FC4"/>
    <w:rsid w:val="00CE3A79"/>
    <w:rsid w:val="00CE488C"/>
    <w:rsid w:val="00CE6CEF"/>
    <w:rsid w:val="00CF5CB4"/>
    <w:rsid w:val="00D01C6F"/>
    <w:rsid w:val="00D125C6"/>
    <w:rsid w:val="00D13E2B"/>
    <w:rsid w:val="00D14113"/>
    <w:rsid w:val="00D1489E"/>
    <w:rsid w:val="00D17C23"/>
    <w:rsid w:val="00D22F9B"/>
    <w:rsid w:val="00D23054"/>
    <w:rsid w:val="00D23614"/>
    <w:rsid w:val="00D26608"/>
    <w:rsid w:val="00D3118B"/>
    <w:rsid w:val="00D31482"/>
    <w:rsid w:val="00D32BD4"/>
    <w:rsid w:val="00D33B7C"/>
    <w:rsid w:val="00D3485E"/>
    <w:rsid w:val="00D44311"/>
    <w:rsid w:val="00D47D20"/>
    <w:rsid w:val="00D5134A"/>
    <w:rsid w:val="00D51F59"/>
    <w:rsid w:val="00D533D3"/>
    <w:rsid w:val="00D53AFD"/>
    <w:rsid w:val="00D60DC8"/>
    <w:rsid w:val="00D611AE"/>
    <w:rsid w:val="00D64CBF"/>
    <w:rsid w:val="00D66A9E"/>
    <w:rsid w:val="00D671AD"/>
    <w:rsid w:val="00D8211A"/>
    <w:rsid w:val="00D84FA1"/>
    <w:rsid w:val="00D90C4E"/>
    <w:rsid w:val="00D93761"/>
    <w:rsid w:val="00DA15C6"/>
    <w:rsid w:val="00DA7B36"/>
    <w:rsid w:val="00DC018C"/>
    <w:rsid w:val="00DC0B31"/>
    <w:rsid w:val="00DC4256"/>
    <w:rsid w:val="00DC4B95"/>
    <w:rsid w:val="00DC60EA"/>
    <w:rsid w:val="00DC715A"/>
    <w:rsid w:val="00DD056E"/>
    <w:rsid w:val="00DD2216"/>
    <w:rsid w:val="00DD7133"/>
    <w:rsid w:val="00DE18A5"/>
    <w:rsid w:val="00DE47D2"/>
    <w:rsid w:val="00DE5B4D"/>
    <w:rsid w:val="00DE7233"/>
    <w:rsid w:val="00DF238E"/>
    <w:rsid w:val="00DF23FB"/>
    <w:rsid w:val="00DF4BCA"/>
    <w:rsid w:val="00DF6A6B"/>
    <w:rsid w:val="00E034C4"/>
    <w:rsid w:val="00E10FF9"/>
    <w:rsid w:val="00E1152E"/>
    <w:rsid w:val="00E16193"/>
    <w:rsid w:val="00E16E34"/>
    <w:rsid w:val="00E235B4"/>
    <w:rsid w:val="00E313C0"/>
    <w:rsid w:val="00E330A1"/>
    <w:rsid w:val="00E339C5"/>
    <w:rsid w:val="00E37B6C"/>
    <w:rsid w:val="00E4030E"/>
    <w:rsid w:val="00E406AA"/>
    <w:rsid w:val="00E43A91"/>
    <w:rsid w:val="00E537F5"/>
    <w:rsid w:val="00E546C8"/>
    <w:rsid w:val="00E5498B"/>
    <w:rsid w:val="00E5547D"/>
    <w:rsid w:val="00E555BA"/>
    <w:rsid w:val="00E60D0A"/>
    <w:rsid w:val="00E64188"/>
    <w:rsid w:val="00E65C8C"/>
    <w:rsid w:val="00E73368"/>
    <w:rsid w:val="00E757DE"/>
    <w:rsid w:val="00E76627"/>
    <w:rsid w:val="00E801C8"/>
    <w:rsid w:val="00E83AA4"/>
    <w:rsid w:val="00E83EA7"/>
    <w:rsid w:val="00E86E31"/>
    <w:rsid w:val="00E87771"/>
    <w:rsid w:val="00E90B9D"/>
    <w:rsid w:val="00EA155B"/>
    <w:rsid w:val="00EA20B7"/>
    <w:rsid w:val="00EA3B4A"/>
    <w:rsid w:val="00EA5ADC"/>
    <w:rsid w:val="00EB00ED"/>
    <w:rsid w:val="00EB2961"/>
    <w:rsid w:val="00EB7FC6"/>
    <w:rsid w:val="00EC266E"/>
    <w:rsid w:val="00EC75A1"/>
    <w:rsid w:val="00ED10DC"/>
    <w:rsid w:val="00ED36B3"/>
    <w:rsid w:val="00EE3D8C"/>
    <w:rsid w:val="00EE677B"/>
    <w:rsid w:val="00EF0154"/>
    <w:rsid w:val="00EF21BB"/>
    <w:rsid w:val="00EF4C8D"/>
    <w:rsid w:val="00F00D94"/>
    <w:rsid w:val="00F043CC"/>
    <w:rsid w:val="00F0776C"/>
    <w:rsid w:val="00F112BD"/>
    <w:rsid w:val="00F14D0F"/>
    <w:rsid w:val="00F17DEE"/>
    <w:rsid w:val="00F2516D"/>
    <w:rsid w:val="00F27C69"/>
    <w:rsid w:val="00F438F7"/>
    <w:rsid w:val="00F444C5"/>
    <w:rsid w:val="00F449E2"/>
    <w:rsid w:val="00F50197"/>
    <w:rsid w:val="00F6065B"/>
    <w:rsid w:val="00F62659"/>
    <w:rsid w:val="00F63DF8"/>
    <w:rsid w:val="00F67396"/>
    <w:rsid w:val="00F714CF"/>
    <w:rsid w:val="00F72FC9"/>
    <w:rsid w:val="00F744BD"/>
    <w:rsid w:val="00F80669"/>
    <w:rsid w:val="00F83A52"/>
    <w:rsid w:val="00F9200C"/>
    <w:rsid w:val="00F9276C"/>
    <w:rsid w:val="00F928F1"/>
    <w:rsid w:val="00F931D4"/>
    <w:rsid w:val="00F947B1"/>
    <w:rsid w:val="00FA16C0"/>
    <w:rsid w:val="00FA557B"/>
    <w:rsid w:val="00FA55E4"/>
    <w:rsid w:val="00FB2F33"/>
    <w:rsid w:val="00FB3CC4"/>
    <w:rsid w:val="00FB4C47"/>
    <w:rsid w:val="00FC24FB"/>
    <w:rsid w:val="00FC2E6D"/>
    <w:rsid w:val="00FC3BED"/>
    <w:rsid w:val="00FC4309"/>
    <w:rsid w:val="00FD27B4"/>
    <w:rsid w:val="00FD4463"/>
    <w:rsid w:val="00FE0A32"/>
    <w:rsid w:val="00FE3F90"/>
    <w:rsid w:val="00FF0BED"/>
    <w:rsid w:val="00FF155B"/>
    <w:rsid w:val="00FF1C39"/>
    <w:rsid w:val="00FF3E4D"/>
    <w:rsid w:val="00FF4007"/>
    <w:rsid w:val="00FF4DFD"/>
    <w:rsid w:val="00FF6446"/>
    <w:rsid w:val="00FF7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35BAD"/>
  <w15:chartTrackingRefBased/>
  <w15:docId w15:val="{7FAB95E5-187B-4D84-B1F5-2D5940B73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59FA"/>
    <w:pPr>
      <w:spacing w:after="0" w:line="240" w:lineRule="auto"/>
    </w:pPr>
    <w:rPr>
      <w:rFonts w:ascii="Calibri" w:eastAsia="Calibri" w:hAnsi="Calibri"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371A12"/>
  </w:style>
  <w:style w:type="paragraph" w:customStyle="1" w:styleId="paragraph">
    <w:name w:val="paragraph"/>
    <w:basedOn w:val="Normal"/>
    <w:rsid w:val="00371A12"/>
    <w:pPr>
      <w:spacing w:before="100" w:beforeAutospacing="1" w:after="100" w:afterAutospacing="1"/>
    </w:pPr>
    <w:rPr>
      <w:rFonts w:ascii="Times New Roman" w:eastAsia="Times New Roman" w:hAnsi="Times New Roman"/>
    </w:rPr>
  </w:style>
  <w:style w:type="character" w:styleId="CommentReference">
    <w:name w:val="annotation reference"/>
    <w:uiPriority w:val="99"/>
    <w:semiHidden/>
    <w:unhideWhenUsed/>
    <w:rsid w:val="00371A12"/>
    <w:rPr>
      <w:sz w:val="16"/>
      <w:szCs w:val="16"/>
    </w:rPr>
  </w:style>
  <w:style w:type="paragraph" w:styleId="CommentText">
    <w:name w:val="annotation text"/>
    <w:basedOn w:val="Normal"/>
    <w:link w:val="CommentTextChar"/>
    <w:uiPriority w:val="99"/>
    <w:unhideWhenUsed/>
    <w:rsid w:val="00371A12"/>
    <w:pPr>
      <w:spacing w:after="160"/>
    </w:pPr>
    <w:rPr>
      <w:sz w:val="20"/>
      <w:szCs w:val="20"/>
    </w:rPr>
  </w:style>
  <w:style w:type="character" w:customStyle="1" w:styleId="CommentTextChar">
    <w:name w:val="Comment Text Char"/>
    <w:basedOn w:val="DefaultParagraphFont"/>
    <w:link w:val="CommentText"/>
    <w:uiPriority w:val="99"/>
    <w:rsid w:val="00371A12"/>
    <w:rPr>
      <w:rFonts w:ascii="Calibri" w:eastAsia="Calibri" w:hAnsi="Calibri" w:cs="Times New Roman"/>
      <w:kern w:val="0"/>
      <w:sz w:val="20"/>
      <w:szCs w:val="20"/>
      <w14:ligatures w14:val="none"/>
    </w:rPr>
  </w:style>
  <w:style w:type="character" w:styleId="PlaceholderText">
    <w:name w:val="Placeholder Text"/>
    <w:basedOn w:val="DefaultParagraphFont"/>
    <w:uiPriority w:val="99"/>
    <w:semiHidden/>
    <w:rsid w:val="006A708A"/>
    <w:rPr>
      <w:color w:val="808080"/>
    </w:rPr>
  </w:style>
  <w:style w:type="paragraph" w:styleId="CommentSubject">
    <w:name w:val="annotation subject"/>
    <w:basedOn w:val="CommentText"/>
    <w:next w:val="CommentText"/>
    <w:link w:val="CommentSubjectChar"/>
    <w:uiPriority w:val="99"/>
    <w:semiHidden/>
    <w:unhideWhenUsed/>
    <w:rsid w:val="00B12DD5"/>
    <w:pPr>
      <w:spacing w:after="0"/>
    </w:pPr>
    <w:rPr>
      <w:b/>
      <w:bCs/>
    </w:rPr>
  </w:style>
  <w:style w:type="character" w:customStyle="1" w:styleId="CommentSubjectChar">
    <w:name w:val="Comment Subject Char"/>
    <w:basedOn w:val="CommentTextChar"/>
    <w:link w:val="CommentSubject"/>
    <w:uiPriority w:val="99"/>
    <w:semiHidden/>
    <w:rsid w:val="00B12DD5"/>
    <w:rPr>
      <w:rFonts w:ascii="Calibri" w:eastAsia="Calibri" w:hAnsi="Calibri" w:cs="Times New Roman"/>
      <w:b/>
      <w:bCs/>
      <w:kern w:val="0"/>
      <w:sz w:val="20"/>
      <w:szCs w:val="20"/>
      <w14:ligatures w14:val="none"/>
    </w:rPr>
  </w:style>
  <w:style w:type="paragraph" w:styleId="BalloonText">
    <w:name w:val="Balloon Text"/>
    <w:basedOn w:val="Normal"/>
    <w:link w:val="BalloonTextChar"/>
    <w:uiPriority w:val="99"/>
    <w:semiHidden/>
    <w:unhideWhenUsed/>
    <w:rsid w:val="003F193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93E"/>
    <w:rPr>
      <w:rFonts w:ascii="Segoe UI" w:eastAsia="Calibri" w:hAnsi="Segoe UI" w:cs="Segoe UI"/>
      <w:kern w:val="0"/>
      <w:sz w:val="18"/>
      <w:szCs w:val="18"/>
      <w14:ligatures w14:val="none"/>
    </w:rPr>
  </w:style>
  <w:style w:type="paragraph" w:customStyle="1" w:styleId="EndNoteBibliographyTitle">
    <w:name w:val="EndNote Bibliography Title"/>
    <w:basedOn w:val="Normal"/>
    <w:link w:val="EndNoteBibliographyTitleChar"/>
    <w:rsid w:val="00311CE7"/>
    <w:pPr>
      <w:jc w:val="center"/>
    </w:pPr>
    <w:rPr>
      <w:rFonts w:cs="Calibri"/>
      <w:noProof/>
    </w:rPr>
  </w:style>
  <w:style w:type="character" w:customStyle="1" w:styleId="EndNoteBibliographyTitleChar">
    <w:name w:val="EndNote Bibliography Title Char"/>
    <w:basedOn w:val="DefaultParagraphFont"/>
    <w:link w:val="EndNoteBibliographyTitle"/>
    <w:rsid w:val="00311CE7"/>
    <w:rPr>
      <w:rFonts w:ascii="Calibri" w:eastAsia="Calibri" w:hAnsi="Calibri" w:cs="Calibri"/>
      <w:noProof/>
      <w:kern w:val="0"/>
      <w:sz w:val="24"/>
      <w:szCs w:val="24"/>
      <w14:ligatures w14:val="none"/>
    </w:rPr>
  </w:style>
  <w:style w:type="paragraph" w:customStyle="1" w:styleId="EndNoteBibliography">
    <w:name w:val="EndNote Bibliography"/>
    <w:basedOn w:val="Normal"/>
    <w:link w:val="EndNoteBibliographyChar"/>
    <w:rsid w:val="00311CE7"/>
    <w:rPr>
      <w:rFonts w:cs="Calibri"/>
      <w:noProof/>
    </w:rPr>
  </w:style>
  <w:style w:type="character" w:customStyle="1" w:styleId="EndNoteBibliographyChar">
    <w:name w:val="EndNote Bibliography Char"/>
    <w:basedOn w:val="DefaultParagraphFont"/>
    <w:link w:val="EndNoteBibliography"/>
    <w:rsid w:val="00311CE7"/>
    <w:rPr>
      <w:rFonts w:ascii="Calibri" w:eastAsia="Calibri" w:hAnsi="Calibri" w:cs="Calibri"/>
      <w:noProof/>
      <w:kern w:val="0"/>
      <w:sz w:val="24"/>
      <w:szCs w:val="24"/>
      <w14:ligatures w14:val="none"/>
    </w:rPr>
  </w:style>
  <w:style w:type="character" w:customStyle="1" w:styleId="cf01">
    <w:name w:val="cf01"/>
    <w:basedOn w:val="DefaultParagraphFont"/>
    <w:rsid w:val="002316E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131D51-F242-4320-94FE-114A8A85E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17</Pages>
  <Words>3494</Words>
  <Characters>19921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Jonah Padawer</dc:creator>
  <cp:keywords/>
  <dc:description/>
  <cp:lastModifiedBy>Jonah Padawer</cp:lastModifiedBy>
  <cp:revision>31</cp:revision>
  <dcterms:created xsi:type="dcterms:W3CDTF">2023-09-23T17:11:00Z</dcterms:created>
  <dcterms:modified xsi:type="dcterms:W3CDTF">2023-10-01T16:19:00Z</dcterms:modified>
</cp:coreProperties>
</file>