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F89F3" w14:textId="77777777" w:rsidR="003A4157" w:rsidRPr="004B6A93" w:rsidRDefault="003A4157" w:rsidP="003A4157">
      <w:pPr>
        <w:spacing w:line="480" w:lineRule="auto"/>
        <w:jc w:val="both"/>
        <w:rPr>
          <w:b/>
          <w:bCs/>
          <w:sz w:val="32"/>
          <w:szCs w:val="32"/>
          <w:lang w:val="fr-FR"/>
        </w:rPr>
      </w:pPr>
      <w:r w:rsidRPr="004B6A93">
        <w:rPr>
          <w:b/>
          <w:bCs/>
          <w:sz w:val="32"/>
          <w:szCs w:val="32"/>
          <w:lang w:val="fr-FR"/>
        </w:rPr>
        <w:t>Table Captions</w:t>
      </w:r>
    </w:p>
    <w:p w14:paraId="3FEBE227" w14:textId="77777777" w:rsidR="003A4157" w:rsidRPr="004B6A93" w:rsidRDefault="003A4157" w:rsidP="003A4157">
      <w:pPr>
        <w:spacing w:line="360" w:lineRule="auto"/>
        <w:jc w:val="both"/>
        <w:rPr>
          <w:lang w:val="fr-FR"/>
        </w:rPr>
      </w:pPr>
      <w:r w:rsidRPr="004B6A93">
        <w:rPr>
          <w:b/>
          <w:bCs/>
          <w:lang w:val="fr-FR"/>
        </w:rPr>
        <w:t>Table 1:</w:t>
      </w:r>
      <w:r w:rsidRPr="004B6A93">
        <w:rPr>
          <w:lang w:val="fr-FR"/>
        </w:rPr>
        <w:t xml:space="preserve"> </w:t>
      </w:r>
      <w:r>
        <w:rPr>
          <w:lang w:val="fr-FR"/>
        </w:rPr>
        <w:t xml:space="preserve">The main functionalities required in RF Photonic systems with a brief description of each one, their main applications and where the systems implementing them are hosted. The left column also includes a brief list of references corresponding to ASPICs reported for each of them. </w:t>
      </w:r>
    </w:p>
    <w:p w14:paraId="574FD8D2" w14:textId="77777777" w:rsidR="003A4157" w:rsidRPr="004B6A93" w:rsidRDefault="003A4157" w:rsidP="003A4157">
      <w:pPr>
        <w:rPr>
          <w:lang w:val="fr-FR"/>
        </w:rPr>
      </w:pPr>
      <w:r w:rsidRPr="004B6A93">
        <w:rPr>
          <w:lang w:val="fr-FR"/>
        </w:rPr>
        <w:br w:type="page"/>
      </w:r>
    </w:p>
    <w:p w14:paraId="2D3DC449" w14:textId="77777777" w:rsidR="003A4157" w:rsidRPr="004B6A93" w:rsidRDefault="003A4157" w:rsidP="003A4157">
      <w:pPr>
        <w:spacing w:line="240" w:lineRule="auto"/>
        <w:jc w:val="both"/>
        <w:rPr>
          <w:b/>
          <w:bCs/>
          <w:sz w:val="36"/>
          <w:szCs w:val="36"/>
          <w:lang w:val="fr-FR"/>
        </w:rPr>
      </w:pPr>
      <w:r w:rsidRPr="004B6A93">
        <w:rPr>
          <w:b/>
          <w:bCs/>
          <w:sz w:val="36"/>
          <w:szCs w:val="36"/>
          <w:lang w:val="fr-FR"/>
        </w:rPr>
        <w:lastRenderedPageBreak/>
        <w:t>Table 1</w:t>
      </w:r>
    </w:p>
    <w:tbl>
      <w:tblPr>
        <w:tblStyle w:val="TableGrid"/>
        <w:tblW w:w="8489" w:type="dxa"/>
        <w:tblLayout w:type="fixed"/>
        <w:tblLook w:val="06A0" w:firstRow="1" w:lastRow="0" w:firstColumn="1" w:lastColumn="0" w:noHBand="1" w:noVBand="1"/>
      </w:tblPr>
      <w:tblGrid>
        <w:gridCol w:w="1665"/>
        <w:gridCol w:w="3082"/>
        <w:gridCol w:w="1344"/>
        <w:gridCol w:w="2398"/>
      </w:tblGrid>
      <w:tr w:rsidR="003A4157" w14:paraId="5445EEDA" w14:textId="77777777" w:rsidTr="00EF6FC7">
        <w:trPr>
          <w:trHeight w:val="300"/>
        </w:trPr>
        <w:tc>
          <w:tcPr>
            <w:tcW w:w="1665" w:type="dxa"/>
            <w:shd w:val="clear" w:color="auto" w:fill="B4C6E7" w:themeFill="accent1" w:themeFillTint="66"/>
          </w:tcPr>
          <w:p w14:paraId="359FEFC0" w14:textId="77777777" w:rsidR="003A4157" w:rsidRDefault="003A4157" w:rsidP="00EF6FC7">
            <w:pPr>
              <w:jc w:val="center"/>
              <w:rPr>
                <w:b/>
                <w:bCs/>
                <w:sz w:val="24"/>
                <w:szCs w:val="24"/>
              </w:rPr>
            </w:pPr>
            <w:r w:rsidRPr="45C2BDC1">
              <w:rPr>
                <w:b/>
                <w:bCs/>
                <w:sz w:val="24"/>
                <w:szCs w:val="24"/>
              </w:rPr>
              <w:t>Functionality</w:t>
            </w:r>
            <w:r>
              <w:rPr>
                <w:b/>
                <w:bCs/>
                <w:sz w:val="24"/>
                <w:szCs w:val="24"/>
              </w:rPr>
              <w:t xml:space="preserve"> and some reported ASPICs </w:t>
            </w:r>
          </w:p>
        </w:tc>
        <w:tc>
          <w:tcPr>
            <w:tcW w:w="3082" w:type="dxa"/>
            <w:shd w:val="clear" w:color="auto" w:fill="B4C6E7" w:themeFill="accent1" w:themeFillTint="66"/>
          </w:tcPr>
          <w:p w14:paraId="53BD5A50" w14:textId="77777777" w:rsidR="003A4157" w:rsidRDefault="003A4157" w:rsidP="00EF6FC7">
            <w:pPr>
              <w:jc w:val="center"/>
              <w:rPr>
                <w:b/>
                <w:bCs/>
                <w:sz w:val="24"/>
                <w:szCs w:val="24"/>
              </w:rPr>
            </w:pPr>
            <w:r w:rsidRPr="45C2BDC1">
              <w:rPr>
                <w:b/>
                <w:bCs/>
                <w:sz w:val="24"/>
                <w:szCs w:val="24"/>
              </w:rPr>
              <w:t>Short description</w:t>
            </w:r>
          </w:p>
        </w:tc>
        <w:tc>
          <w:tcPr>
            <w:tcW w:w="1344" w:type="dxa"/>
            <w:shd w:val="clear" w:color="auto" w:fill="B4C6E7" w:themeFill="accent1" w:themeFillTint="66"/>
          </w:tcPr>
          <w:p w14:paraId="223E866E" w14:textId="77777777" w:rsidR="003A4157" w:rsidRDefault="003A4157" w:rsidP="00EF6FC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Hosting</w:t>
            </w:r>
          </w:p>
        </w:tc>
        <w:tc>
          <w:tcPr>
            <w:tcW w:w="2398" w:type="dxa"/>
            <w:shd w:val="clear" w:color="auto" w:fill="B4C6E7" w:themeFill="accent1" w:themeFillTint="66"/>
          </w:tcPr>
          <w:p w14:paraId="53B7FBDB" w14:textId="77777777" w:rsidR="003A4157" w:rsidRDefault="003A4157" w:rsidP="00EF6FC7">
            <w:pPr>
              <w:jc w:val="center"/>
              <w:rPr>
                <w:b/>
                <w:bCs/>
                <w:sz w:val="24"/>
                <w:szCs w:val="24"/>
              </w:rPr>
            </w:pPr>
            <w:r w:rsidRPr="45C2BDC1">
              <w:rPr>
                <w:b/>
                <w:bCs/>
                <w:sz w:val="24"/>
                <w:szCs w:val="24"/>
              </w:rPr>
              <w:t>Application</w:t>
            </w:r>
          </w:p>
        </w:tc>
      </w:tr>
      <w:tr w:rsidR="003A4157" w14:paraId="3ACB66E5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19E9096C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Tunable RF- Filtering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[5], </w:t>
            </w:r>
            <w:r w:rsidRPr="0F16813E">
              <w:rPr>
                <w:rFonts w:eastAsiaTheme="minorEastAsia"/>
                <w:sz w:val="20"/>
                <w:szCs w:val="20"/>
              </w:rPr>
              <w:t>[11]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>, [33]-[35], [52], [53]</w:t>
            </w:r>
          </w:p>
        </w:tc>
        <w:tc>
          <w:tcPr>
            <w:tcW w:w="3082" w:type="dxa"/>
          </w:tcPr>
          <w:p w14:paraId="1C1B411D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Channel selection in the RF domain &amp; Noise reduction</w:t>
            </w:r>
          </w:p>
        </w:tc>
        <w:tc>
          <w:tcPr>
            <w:tcW w:w="1344" w:type="dxa"/>
            <w:vMerge w:val="restart"/>
          </w:tcPr>
          <w:p w14:paraId="5C9DB6F2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Base stations, Central offices, planes, satellites, drones, edge data centers</w:t>
            </w:r>
          </w:p>
        </w:tc>
        <w:tc>
          <w:tcPr>
            <w:tcW w:w="2398" w:type="dxa"/>
            <w:vMerge w:val="restart"/>
          </w:tcPr>
          <w:p w14:paraId="298051B5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>Mobile &amp; satellite comms, IoT, Sensing, Radar, Imaging</w:t>
            </w:r>
          </w:p>
        </w:tc>
      </w:tr>
      <w:tr w:rsidR="003A4157" w14:paraId="1FEA9B5A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28372660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Tunable Optical Filtering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[52]</w:t>
            </w:r>
          </w:p>
        </w:tc>
        <w:tc>
          <w:tcPr>
            <w:tcW w:w="3082" w:type="dxa"/>
          </w:tcPr>
          <w:p w14:paraId="66C7F9C7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Superchannel RF selection in the optical domain &amp; Noise reduction</w:t>
            </w:r>
          </w:p>
        </w:tc>
        <w:tc>
          <w:tcPr>
            <w:tcW w:w="1344" w:type="dxa"/>
            <w:vMerge/>
          </w:tcPr>
          <w:p w14:paraId="20C63D62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14:paraId="702D9644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</w:p>
        </w:tc>
      </w:tr>
      <w:tr w:rsidR="003A4157" w:rsidRPr="00C908BC" w14:paraId="48C1B9F1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06568DDC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Tunable RF Delay line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[11], [49], [50]</w:t>
            </w:r>
          </w:p>
        </w:tc>
        <w:tc>
          <w:tcPr>
            <w:tcW w:w="3082" w:type="dxa"/>
          </w:tcPr>
          <w:p w14:paraId="418CF34F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Selective RF channel delay and time-delayed signal combination</w:t>
            </w:r>
          </w:p>
        </w:tc>
        <w:tc>
          <w:tcPr>
            <w:tcW w:w="1344" w:type="dxa"/>
            <w:vMerge w:val="restart"/>
          </w:tcPr>
          <w:p w14:paraId="575EF4FD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 xml:space="preserve"> Radio over fiber links, beamformers</w:t>
            </w:r>
          </w:p>
        </w:tc>
        <w:tc>
          <w:tcPr>
            <w:tcW w:w="2398" w:type="dxa"/>
            <w:vMerge w:val="restart"/>
          </w:tcPr>
          <w:p w14:paraId="70E97F33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  <w:lang w:val="es-ES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  <w:lang w:val="es-ES"/>
              </w:rPr>
              <w:t>Phased array antenas, Radar, Sensing, Lidar</w:t>
            </w:r>
          </w:p>
        </w:tc>
      </w:tr>
      <w:tr w:rsidR="003A4157" w:rsidRPr="00C908BC" w14:paraId="40ACD195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4B073A7A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Tunable RF Phase Shifter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[11], [49]</w:t>
            </w:r>
          </w:p>
        </w:tc>
        <w:tc>
          <w:tcPr>
            <w:tcW w:w="3082" w:type="dxa"/>
          </w:tcPr>
          <w:p w14:paraId="6F5B31AF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Selective RF channel dephasing and phase-delayed signal combination</w:t>
            </w:r>
          </w:p>
        </w:tc>
        <w:tc>
          <w:tcPr>
            <w:tcW w:w="1344" w:type="dxa"/>
            <w:vMerge/>
          </w:tcPr>
          <w:p w14:paraId="188DFED6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14:paraId="1A761FC0" w14:textId="77777777" w:rsidR="003A4157" w:rsidRPr="001B7BF9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</w:p>
        </w:tc>
      </w:tr>
      <w:tr w:rsidR="003A4157" w14:paraId="5AC82AE8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40F109E2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Frequency measurement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[21]</w:t>
            </w:r>
          </w:p>
        </w:tc>
        <w:tc>
          <w:tcPr>
            <w:tcW w:w="3082" w:type="dxa"/>
          </w:tcPr>
          <w:p w14:paraId="7A150B40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Identification of the frequency of</w:t>
            </w:r>
            <w:r>
              <w:rPr>
                <w:rFonts w:eastAsiaTheme="minorEastAsia"/>
                <w:sz w:val="20"/>
                <w:szCs w:val="20"/>
              </w:rPr>
              <w:t xml:space="preserve"> non-desired</w:t>
            </w:r>
            <w:r w:rsidRPr="00FF5C6A">
              <w:rPr>
                <w:rFonts w:eastAsiaTheme="minorEastAsia"/>
                <w:sz w:val="20"/>
                <w:szCs w:val="20"/>
              </w:rPr>
              <w:t xml:space="preserve"> interfering signals</w:t>
            </w:r>
          </w:p>
        </w:tc>
        <w:tc>
          <w:tcPr>
            <w:tcW w:w="1344" w:type="dxa"/>
          </w:tcPr>
          <w:p w14:paraId="145D8286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Radar and antenna infrastructures sensors, satellites, base stations</w:t>
            </w:r>
          </w:p>
        </w:tc>
        <w:tc>
          <w:tcPr>
            <w:tcW w:w="2398" w:type="dxa"/>
          </w:tcPr>
          <w:p w14:paraId="62651449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>Radar, navigation systems, self-interference cancellation</w:t>
            </w:r>
          </w:p>
        </w:tc>
      </w:tr>
      <w:tr w:rsidR="003A4157" w14:paraId="1AAED4C0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4C22DFD2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</w:rPr>
              <w:t>Optoelectronic Oscillators (OEOs) [11], [36], [37]</w:t>
            </w:r>
          </w:p>
        </w:tc>
        <w:tc>
          <w:tcPr>
            <w:tcW w:w="3082" w:type="dxa"/>
          </w:tcPr>
          <w:p w14:paraId="70F15773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 xml:space="preserve">Ultrapure tunable RF tone generation based on </w:t>
            </w:r>
            <w:r>
              <w:rPr>
                <w:rFonts w:eastAsiaTheme="minorEastAsia"/>
                <w:sz w:val="20"/>
                <w:szCs w:val="20"/>
              </w:rPr>
              <w:t xml:space="preserve">combined </w:t>
            </w:r>
            <w:r w:rsidRPr="00FF5C6A">
              <w:rPr>
                <w:rFonts w:eastAsiaTheme="minorEastAsia"/>
                <w:sz w:val="20"/>
                <w:szCs w:val="20"/>
              </w:rPr>
              <w:t>optical</w:t>
            </w:r>
            <w:r>
              <w:rPr>
                <w:rFonts w:eastAsiaTheme="minorEastAsia"/>
                <w:sz w:val="20"/>
                <w:szCs w:val="20"/>
              </w:rPr>
              <w:t>/RF</w:t>
            </w:r>
            <w:r w:rsidRPr="00FF5C6A">
              <w:rPr>
                <w:rFonts w:eastAsiaTheme="minorEastAsia"/>
                <w:sz w:val="20"/>
                <w:szCs w:val="20"/>
              </w:rPr>
              <w:t xml:space="preserve"> energy storage</w:t>
            </w:r>
            <w:r>
              <w:rPr>
                <w:rFonts w:eastAsiaTheme="minorEastAsia"/>
                <w:sz w:val="20"/>
                <w:szCs w:val="20"/>
              </w:rPr>
              <w:t>in a mixed optoelectronic cavity</w:t>
            </w:r>
            <w:r w:rsidRPr="00FF5C6A">
              <w:rPr>
                <w:rFonts w:eastAsiaTheme="minorEastAsia"/>
                <w:sz w:val="20"/>
                <w:szCs w:val="20"/>
              </w:rPr>
              <w:t>.</w:t>
            </w:r>
          </w:p>
        </w:tc>
        <w:tc>
          <w:tcPr>
            <w:tcW w:w="1344" w:type="dxa"/>
          </w:tcPr>
          <w:p w14:paraId="75B4C0A6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Clock reference systems, Spectrum analyzers, RF coherent receivers</w:t>
            </w:r>
          </w:p>
        </w:tc>
        <w:tc>
          <w:tcPr>
            <w:tcW w:w="2398" w:type="dxa"/>
          </w:tcPr>
          <w:p w14:paraId="324F9378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 xml:space="preserve">Avionics and  </w:t>
            </w:r>
          </w:p>
          <w:p w14:paraId="31D9437A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>Satellite comms, Navigation systems.</w:t>
            </w:r>
          </w:p>
          <w:p w14:paraId="76FE73D6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>Time and frequency measurement</w:t>
            </w:r>
          </w:p>
        </w:tc>
      </w:tr>
      <w:tr w:rsidR="003A4157" w:rsidRPr="00AB6D19" w14:paraId="0F4AB9A8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402494E7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Arbitrary Waveform Generation (AWG)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[11], [51]</w:t>
            </w:r>
          </w:p>
        </w:tc>
        <w:tc>
          <w:tcPr>
            <w:tcW w:w="3082" w:type="dxa"/>
          </w:tcPr>
          <w:p w14:paraId="567142E0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Generation of RF wavepackets with arbitrary amplitude shapes and central frequencies of operation.</w:t>
            </w:r>
          </w:p>
        </w:tc>
        <w:tc>
          <w:tcPr>
            <w:tcW w:w="1344" w:type="dxa"/>
          </w:tcPr>
          <w:p w14:paraId="521F66DD" w14:textId="77777777" w:rsidR="003A4157" w:rsidRPr="00CC70CF" w:rsidRDefault="003A4157" w:rsidP="00EF6FC7">
            <w:pPr>
              <w:rPr>
                <w:rFonts w:eastAsiaTheme="minorEastAsia"/>
                <w:sz w:val="20"/>
                <w:szCs w:val="20"/>
                <w:lang w:val="fr-FR"/>
              </w:rPr>
            </w:pPr>
            <w:r w:rsidRPr="00CC70CF">
              <w:rPr>
                <w:rFonts w:eastAsiaTheme="minorEastAsia"/>
                <w:sz w:val="20"/>
                <w:szCs w:val="20"/>
                <w:lang w:val="fr-FR"/>
              </w:rPr>
              <w:t>Central stations, Radar, satellites, planes, drones, infrastructures, IoT terminals</w:t>
            </w:r>
          </w:p>
        </w:tc>
        <w:tc>
          <w:tcPr>
            <w:tcW w:w="2398" w:type="dxa"/>
          </w:tcPr>
          <w:p w14:paraId="19B9FDCF" w14:textId="77777777" w:rsidR="003A4157" w:rsidRPr="00CC70CF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  <w:lang w:val="fr-FR"/>
              </w:rPr>
            </w:pPr>
            <w:r w:rsidRPr="00CC70CF">
              <w:rPr>
                <w:rFonts w:eastAsiaTheme="minorEastAsia"/>
                <w:i/>
                <w:iCs/>
                <w:sz w:val="20"/>
                <w:szCs w:val="20"/>
                <w:lang w:val="fr-FR"/>
              </w:rPr>
              <w:t>Radar, Mobile communications, microwave imaging, instrumentation</w:t>
            </w:r>
          </w:p>
        </w:tc>
      </w:tr>
      <w:tr w:rsidR="003A4157" w14:paraId="2498504E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40C11223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104FAE">
              <w:rPr>
                <w:rFonts w:eastAsiaTheme="minorEastAsia"/>
                <w:b/>
                <w:bCs/>
                <w:sz w:val="20"/>
                <w:szCs w:val="20"/>
              </w:rPr>
              <w:t xml:space="preserve">Optical generation of MM-wave CW signals 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[11],  [5]</w:t>
            </w:r>
          </w:p>
        </w:tc>
        <w:tc>
          <w:tcPr>
            <w:tcW w:w="3082" w:type="dxa"/>
          </w:tcPr>
          <w:p w14:paraId="49E193B8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Baseband and Intermediate frequency conversion to/from the radio spectrum</w:t>
            </w:r>
          </w:p>
        </w:tc>
        <w:tc>
          <w:tcPr>
            <w:tcW w:w="1344" w:type="dxa"/>
          </w:tcPr>
          <w:p w14:paraId="6DECCCDD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Central stations, radar antennas, base stations</w:t>
            </w:r>
          </w:p>
        </w:tc>
        <w:tc>
          <w:tcPr>
            <w:tcW w:w="2398" w:type="dxa"/>
          </w:tcPr>
          <w:p w14:paraId="307C1E04" w14:textId="77777777" w:rsidR="003A4157" w:rsidRPr="00DE5E88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DE5E88">
              <w:rPr>
                <w:rFonts w:eastAsiaTheme="minorEastAsia"/>
                <w:i/>
                <w:iCs/>
                <w:sz w:val="20"/>
                <w:szCs w:val="20"/>
              </w:rPr>
              <w:t>Mobile, wearable &amp; satellite comms, Radar, Imaging</w:t>
            </w:r>
          </w:p>
        </w:tc>
      </w:tr>
      <w:tr w:rsidR="003A4157" w:rsidRPr="00FF5C6A" w14:paraId="6F79AED5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024D7371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Beamforming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[5], [11], [49], [50]</w:t>
            </w:r>
          </w:p>
        </w:tc>
        <w:tc>
          <w:tcPr>
            <w:tcW w:w="3082" w:type="dxa"/>
          </w:tcPr>
          <w:p w14:paraId="705264E1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Broadband angular steering of a radiation pattern from/to an antenna array</w:t>
            </w:r>
          </w:p>
        </w:tc>
        <w:tc>
          <w:tcPr>
            <w:tcW w:w="1344" w:type="dxa"/>
          </w:tcPr>
          <w:p w14:paraId="23F4F9BD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Base stations, Radar infrastructures</w:t>
            </w:r>
          </w:p>
        </w:tc>
        <w:tc>
          <w:tcPr>
            <w:tcW w:w="2398" w:type="dxa"/>
          </w:tcPr>
          <w:p w14:paraId="081D84BB" w14:textId="77777777" w:rsidR="003A4157" w:rsidRPr="00FF5C6A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FF5C6A">
              <w:rPr>
                <w:rFonts w:eastAsiaTheme="minorEastAsia"/>
                <w:i/>
                <w:iCs/>
                <w:sz w:val="20"/>
                <w:szCs w:val="20"/>
              </w:rPr>
              <w:t>Phased array antennas, 5-6G mobile &amp; satellite comms, Sensing, Radar, Imaging</w:t>
            </w:r>
          </w:p>
        </w:tc>
      </w:tr>
      <w:tr w:rsidR="003A4157" w:rsidRPr="00FF5C6A" w14:paraId="559BE2A3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2A35045C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</w:rPr>
              <w:lastRenderedPageBreak/>
              <w:t xml:space="preserve">Radio over Fiber </w:t>
            </w: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Transmission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[5]</w:t>
            </w:r>
          </w:p>
        </w:tc>
        <w:tc>
          <w:tcPr>
            <w:tcW w:w="3082" w:type="dxa"/>
          </w:tcPr>
          <w:p w14:paraId="4EF51550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 xml:space="preserve">Broadband communication transceivers between central stations and base stations </w:t>
            </w:r>
          </w:p>
        </w:tc>
        <w:tc>
          <w:tcPr>
            <w:tcW w:w="1344" w:type="dxa"/>
          </w:tcPr>
          <w:p w14:paraId="2B3F7A60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Edge Data centers, Base stations, Central stations</w:t>
            </w:r>
          </w:p>
        </w:tc>
        <w:tc>
          <w:tcPr>
            <w:tcW w:w="2398" w:type="dxa"/>
          </w:tcPr>
          <w:p w14:paraId="3D468653" w14:textId="77777777" w:rsidR="003A4157" w:rsidRPr="00FF5C6A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FF5C6A">
              <w:rPr>
                <w:rFonts w:eastAsiaTheme="minorEastAsia"/>
                <w:i/>
                <w:iCs/>
                <w:sz w:val="20"/>
                <w:szCs w:val="20"/>
              </w:rPr>
              <w:t>Mobile and satellite communications</w:t>
            </w:r>
          </w:p>
        </w:tc>
      </w:tr>
      <w:tr w:rsidR="003A4157" w:rsidRPr="00FF5C6A" w14:paraId="68B1FDCA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585261CD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Tunable Beam splitting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[1],[2]</w:t>
            </w:r>
          </w:p>
        </w:tc>
        <w:tc>
          <w:tcPr>
            <w:tcW w:w="3082" w:type="dxa"/>
          </w:tcPr>
          <w:p w14:paraId="6B7EE676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Signal distribution among different physical outputs</w:t>
            </w:r>
          </w:p>
        </w:tc>
        <w:tc>
          <w:tcPr>
            <w:tcW w:w="1344" w:type="dxa"/>
            <w:vMerge w:val="restart"/>
          </w:tcPr>
          <w:p w14:paraId="7E5C39C5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Central stations, Edge Data Centers, base stations, satelltes, planes</w:t>
            </w:r>
          </w:p>
        </w:tc>
        <w:tc>
          <w:tcPr>
            <w:tcW w:w="2398" w:type="dxa"/>
            <w:vMerge w:val="restart"/>
          </w:tcPr>
          <w:p w14:paraId="332132FA" w14:textId="77777777" w:rsidR="003A4157" w:rsidRPr="00FF5C6A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  <w:r w:rsidRPr="00FF5C6A">
              <w:rPr>
                <w:rFonts w:eastAsiaTheme="minorEastAsia"/>
                <w:i/>
                <w:iCs/>
                <w:sz w:val="20"/>
                <w:szCs w:val="20"/>
              </w:rPr>
              <w:t xml:space="preserve">Mobile &amp;satellite communications, </w:t>
            </w:r>
          </w:p>
          <w:p w14:paraId="1BAD76C4" w14:textId="77777777" w:rsidR="003A4157" w:rsidRPr="00FF5C6A" w:rsidRDefault="003A4157" w:rsidP="00EF6FC7">
            <w:pPr>
              <w:rPr>
                <w:rFonts w:eastAsiaTheme="minorEastAsia"/>
                <w:i/>
                <w:iCs/>
                <w:sz w:val="20"/>
                <w:szCs w:val="20"/>
              </w:rPr>
            </w:pPr>
          </w:p>
        </w:tc>
      </w:tr>
      <w:tr w:rsidR="003A4157" w14:paraId="39034AB8" w14:textId="77777777" w:rsidTr="00EF6FC7">
        <w:trPr>
          <w:trHeight w:val="300"/>
        </w:trPr>
        <w:tc>
          <w:tcPr>
            <w:tcW w:w="1665" w:type="dxa"/>
            <w:shd w:val="clear" w:color="auto" w:fill="E2EFD9" w:themeFill="accent6" w:themeFillTint="33"/>
          </w:tcPr>
          <w:p w14:paraId="0F621E41" w14:textId="77777777" w:rsidR="003A4157" w:rsidRDefault="003A4157" w:rsidP="00EF6FC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 xml:space="preserve">Tunable 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RF </w:t>
            </w:r>
            <w:r w:rsidRPr="26F83652">
              <w:rPr>
                <w:rFonts w:eastAsiaTheme="minorEastAsia"/>
                <w:b/>
                <w:bCs/>
                <w:sz w:val="20"/>
                <w:szCs w:val="20"/>
              </w:rPr>
              <w:t>interconnection and switching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 xml:space="preserve"> [1], [2] </w:t>
            </w:r>
          </w:p>
        </w:tc>
        <w:tc>
          <w:tcPr>
            <w:tcW w:w="3082" w:type="dxa"/>
          </w:tcPr>
          <w:p w14:paraId="422F5E5B" w14:textId="77777777" w:rsidR="003A4157" w:rsidRPr="00FF5C6A" w:rsidRDefault="003A4157" w:rsidP="00EF6FC7">
            <w:pPr>
              <w:rPr>
                <w:rFonts w:eastAsiaTheme="minorEastAsia"/>
                <w:sz w:val="20"/>
                <w:szCs w:val="20"/>
              </w:rPr>
            </w:pPr>
            <w:r w:rsidRPr="00FF5C6A">
              <w:rPr>
                <w:rFonts w:eastAsiaTheme="minorEastAsia"/>
                <w:sz w:val="20"/>
                <w:szCs w:val="20"/>
              </w:rPr>
              <w:t>RF Channel and superchannel connection between selected input/output ports</w:t>
            </w:r>
          </w:p>
        </w:tc>
        <w:tc>
          <w:tcPr>
            <w:tcW w:w="1344" w:type="dxa"/>
            <w:vMerge/>
          </w:tcPr>
          <w:p w14:paraId="2E43B27C" w14:textId="77777777" w:rsidR="003A4157" w:rsidRDefault="003A4157" w:rsidP="00EF6FC7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398" w:type="dxa"/>
            <w:vMerge/>
          </w:tcPr>
          <w:p w14:paraId="76230853" w14:textId="77777777" w:rsidR="003A4157" w:rsidRPr="00D279FF" w:rsidRDefault="003A4157" w:rsidP="00EF6FC7">
            <w:pPr>
              <w:rPr>
                <w:rFonts w:eastAsiaTheme="minorEastAsia"/>
                <w:color w:val="4472C4" w:themeColor="accent1"/>
                <w:sz w:val="20"/>
                <w:szCs w:val="20"/>
              </w:rPr>
            </w:pPr>
          </w:p>
        </w:tc>
      </w:tr>
    </w:tbl>
    <w:p w14:paraId="4E564458" w14:textId="77777777" w:rsidR="003A4157" w:rsidRDefault="003A4157" w:rsidP="003A4157">
      <w:r>
        <w:br w:type="page"/>
      </w:r>
    </w:p>
    <w:p w14:paraId="61D221E6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157"/>
    <w:rsid w:val="003A4157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D1AC6"/>
  <w15:chartTrackingRefBased/>
  <w15:docId w15:val="{CB366782-48F6-476B-8AEE-91A764F2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157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4157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423</Words>
  <Characters>2415</Characters>
  <Application>Microsoft Office Word</Application>
  <DocSecurity>0</DocSecurity>
  <Lines>20</Lines>
  <Paragraphs>5</Paragraphs>
  <ScaleCrop>false</ScaleCrop>
  <Company>Springer Nature</Company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2023-11-02T04:43:00Z</dcterms:created>
  <dcterms:modified xsi:type="dcterms:W3CDTF">2023-11-02T04:44:00Z</dcterms:modified>
</cp:coreProperties>
</file>