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710B5" w:rsidRDefault="007710B5" w:rsidP="007710B5">
      <w:pPr>
        <w:rPr>
          <w:b/>
          <w:bCs/>
        </w:rPr>
      </w:pPr>
      <w:r>
        <w:rPr>
          <w:b/>
          <w:bCs/>
        </w:rPr>
        <w:t>APPEND</w:t>
      </w:r>
      <w:r>
        <w:rPr>
          <w:b/>
          <w:bCs/>
        </w:rPr>
        <w:t>I</w:t>
      </w:r>
      <w:r>
        <w:rPr>
          <w:b/>
          <w:bCs/>
        </w:rPr>
        <w:t>X</w:t>
      </w:r>
    </w:p>
    <w:p w:rsidR="007710B5" w:rsidRDefault="007710B5" w:rsidP="007710B5">
      <w:pPr>
        <w:rPr>
          <w:b/>
          <w:bCs/>
        </w:rPr>
      </w:pPr>
    </w:p>
    <w:p w:rsidR="007710B5" w:rsidRPr="00BC1503" w:rsidRDefault="007710B5" w:rsidP="007710B5">
      <w:pPr>
        <w:spacing w:line="480" w:lineRule="auto"/>
        <w:rPr>
          <w:iCs/>
        </w:rPr>
      </w:pPr>
      <w:r w:rsidRPr="00BC1503">
        <w:rPr>
          <w:i/>
          <w:iCs/>
        </w:rPr>
        <w:t>All-</w:t>
      </w:r>
      <w:r>
        <w:rPr>
          <w:i/>
          <w:iCs/>
        </w:rPr>
        <w:t>c</w:t>
      </w:r>
      <w:r w:rsidRPr="00BC1503">
        <w:rPr>
          <w:i/>
          <w:iCs/>
        </w:rPr>
        <w:t xml:space="preserve">ause </w:t>
      </w:r>
      <w:r>
        <w:rPr>
          <w:i/>
          <w:iCs/>
        </w:rPr>
        <w:t>m</w:t>
      </w:r>
      <w:r w:rsidRPr="00BC1503">
        <w:rPr>
          <w:i/>
          <w:iCs/>
        </w:rPr>
        <w:t xml:space="preserve">ortality. </w:t>
      </w:r>
      <w:r w:rsidRPr="00BC1503">
        <w:rPr>
          <w:iCs/>
        </w:rPr>
        <w:t xml:space="preserve">More deaths from any cause occurred in the CAD/HF cohort (29.88%, n = 153) compared to the non-CAD/HF group (14.94%, n = 1549; </w:t>
      </w:r>
      <w:r w:rsidRPr="002E2C70">
        <w:rPr>
          <w:i/>
        </w:rPr>
        <w:t>p</w:t>
      </w:r>
      <w:r w:rsidRPr="00BC1503">
        <w:rPr>
          <w:iCs/>
        </w:rPr>
        <w:t xml:space="preserve"> &lt; 0.001). The presence of CAD/HF was found to be associated with increased mortality from any cause (OR 2.43, CI 1.99-2.95, </w:t>
      </w:r>
      <w:r w:rsidRPr="002E2C70">
        <w:rPr>
          <w:i/>
        </w:rPr>
        <w:t>p</w:t>
      </w:r>
      <w:r w:rsidRPr="00BC1503">
        <w:rPr>
          <w:iCs/>
        </w:rPr>
        <w:t xml:space="preserve"> &lt; 0.001). When adjusting for other confounders (age, sex, comorbidities, therapeutics received), however, there was no statistically significant difference in terms of all-cause mortality between the two cohorts (OR 1.08, 95% CI 0.86-1.34, </w:t>
      </w:r>
      <w:r w:rsidRPr="002E2C70">
        <w:rPr>
          <w:i/>
        </w:rPr>
        <w:t>p</w:t>
      </w:r>
      <w:r w:rsidRPr="00BC1503">
        <w:rPr>
          <w:iCs/>
        </w:rPr>
        <w:t xml:space="preserve"> </w:t>
      </w:r>
      <w:r>
        <w:rPr>
          <w:iCs/>
        </w:rPr>
        <w:t xml:space="preserve">= </w:t>
      </w:r>
      <w:r w:rsidRPr="00BC1503">
        <w:rPr>
          <w:iCs/>
        </w:rPr>
        <w:t>0.514). Subsequent time-to-event analysis, shows that those with CAD/HF had a poorer survival (i.e., dying from any cardiac cause) compared to those without CAD/HF.</w:t>
      </w:r>
    </w:p>
    <w:p w:rsidR="007710B5" w:rsidRDefault="007710B5" w:rsidP="007710B5">
      <w:pPr>
        <w:spacing w:line="480" w:lineRule="auto"/>
        <w:rPr>
          <w:iCs/>
        </w:rPr>
      </w:pPr>
    </w:p>
    <w:p w:rsidR="007710B5" w:rsidRPr="00BC1503" w:rsidRDefault="007710B5" w:rsidP="007710B5">
      <w:pPr>
        <w:spacing w:line="480" w:lineRule="auto"/>
        <w:rPr>
          <w:iCs/>
        </w:rPr>
      </w:pPr>
      <w:r w:rsidRPr="00BC1503">
        <w:rPr>
          <w:i/>
          <w:iCs/>
        </w:rPr>
        <w:t xml:space="preserve">Cardiac </w:t>
      </w:r>
      <w:r>
        <w:rPr>
          <w:i/>
          <w:iCs/>
        </w:rPr>
        <w:t>d</w:t>
      </w:r>
      <w:r w:rsidRPr="00BC1503">
        <w:rPr>
          <w:i/>
          <w:iCs/>
        </w:rPr>
        <w:t>eath.</w:t>
      </w:r>
      <w:r w:rsidRPr="00BC1503">
        <w:rPr>
          <w:iCs/>
        </w:rPr>
        <w:t xml:space="preserve"> The CAD/HF cohort had a higher prevalence of death from cardiac cause (e.g. acute coronary syndrome, decompensated heart failure, cardiac arrhythmia) compared with the group without CAD/HF (29.41%, n = 45 vs. 13.75%, n = 213; </w:t>
      </w:r>
      <w:r w:rsidRPr="002E2C70">
        <w:rPr>
          <w:i/>
        </w:rPr>
        <w:t>p</w:t>
      </w:r>
      <w:r w:rsidRPr="00BC1503">
        <w:rPr>
          <w:iCs/>
        </w:rPr>
        <w:t xml:space="preserve"> &lt; 0.001). CAD/HF was thereby associated with higher odds of dying of cardiac causes (OR 2.61, 95% CI 1.79-3.81, </w:t>
      </w:r>
      <w:r w:rsidRPr="002E2C70">
        <w:rPr>
          <w:i/>
        </w:rPr>
        <w:t>p</w:t>
      </w:r>
      <w:r w:rsidRPr="00BC1503">
        <w:rPr>
          <w:iCs/>
        </w:rPr>
        <w:t xml:space="preserve"> &lt; 0.001). A similar trend was noted even when adjusting for confounders (OR 2.22, 95% CI 1.49-3.30; </w:t>
      </w:r>
      <w:r w:rsidRPr="002E2C70">
        <w:rPr>
          <w:i/>
        </w:rPr>
        <w:t>p</w:t>
      </w:r>
      <w:r w:rsidRPr="00BC1503">
        <w:rPr>
          <w:iCs/>
        </w:rPr>
        <w:t xml:space="preserve"> &lt; 0.001).</w:t>
      </w:r>
    </w:p>
    <w:p w:rsidR="007710B5" w:rsidRDefault="007710B5" w:rsidP="007710B5">
      <w:pPr>
        <w:spacing w:line="480" w:lineRule="auto"/>
        <w:rPr>
          <w:iCs/>
        </w:rPr>
      </w:pPr>
    </w:p>
    <w:p w:rsidR="007710B5" w:rsidRPr="00BC1503" w:rsidRDefault="007710B5" w:rsidP="007710B5">
      <w:pPr>
        <w:spacing w:line="480" w:lineRule="auto"/>
        <w:rPr>
          <w:iCs/>
        </w:rPr>
      </w:pPr>
      <w:r w:rsidRPr="00BC1503">
        <w:rPr>
          <w:i/>
          <w:iCs/>
        </w:rPr>
        <w:t xml:space="preserve">Neurologic </w:t>
      </w:r>
      <w:proofErr w:type="spellStart"/>
      <w:r w:rsidRPr="00BC1503">
        <w:rPr>
          <w:i/>
          <w:iCs/>
        </w:rPr>
        <w:t>utcomes</w:t>
      </w:r>
      <w:proofErr w:type="spellEnd"/>
      <w:r w:rsidRPr="00BC1503">
        <w:rPr>
          <w:i/>
          <w:iCs/>
        </w:rPr>
        <w:t xml:space="preserve">. </w:t>
      </w:r>
      <w:r w:rsidRPr="00BC1503">
        <w:rPr>
          <w:iCs/>
        </w:rPr>
        <w:t xml:space="preserve">Significantly more patients with CAD/HF had no improvement in neurologic outcomes compared to those without CAD/HF (25.28%, n = 33 vs. 13.12%, n = 233; </w:t>
      </w:r>
      <w:r w:rsidRPr="002E2C70">
        <w:rPr>
          <w:i/>
        </w:rPr>
        <w:t>p</w:t>
      </w:r>
      <w:r w:rsidRPr="00BC1503">
        <w:rPr>
          <w:iCs/>
        </w:rPr>
        <w:t xml:space="preserve"> &lt; 0.001). Likewise, among patients with neurologic dysfunction, a higher proportion of patients with no CAD/HF (86.88%, n = 1543) tended to have either full or partial improvement compared to patients with CAD/HF (74.42%, n = 96; </w:t>
      </w:r>
      <w:r w:rsidRPr="002E2C70">
        <w:rPr>
          <w:i/>
        </w:rPr>
        <w:t>p</w:t>
      </w:r>
      <w:r w:rsidRPr="00BC1503">
        <w:rPr>
          <w:iCs/>
        </w:rPr>
        <w:t xml:space="preserve"> &lt;0.001). Overall analysis shows that CAD/HF leads to decreased odds of neurologic recovery or improvement (OR 0.44, 95% CI </w:t>
      </w:r>
      <w:r w:rsidRPr="00BC1503">
        <w:rPr>
          <w:iCs/>
        </w:rPr>
        <w:lastRenderedPageBreak/>
        <w:t xml:space="preserve">0.29-0.67; </w:t>
      </w:r>
      <w:r w:rsidRPr="002E2C70">
        <w:rPr>
          <w:i/>
        </w:rPr>
        <w:t>p</w:t>
      </w:r>
      <w:r w:rsidRPr="00BC1503">
        <w:rPr>
          <w:iCs/>
        </w:rPr>
        <w:t xml:space="preserve"> &lt; 0.001). After adjusting for confounders, however, no difference was seen between the two groups (OR 0.91, 95% CI 0.57-1.46; </w:t>
      </w:r>
      <w:r w:rsidRPr="002E2C70">
        <w:rPr>
          <w:i/>
        </w:rPr>
        <w:t>p</w:t>
      </w:r>
      <w:r>
        <w:rPr>
          <w:iCs/>
        </w:rPr>
        <w:t xml:space="preserve"> =</w:t>
      </w:r>
      <w:r w:rsidRPr="00BC1503">
        <w:rPr>
          <w:iCs/>
        </w:rPr>
        <w:t xml:space="preserve"> 0.703).</w:t>
      </w:r>
    </w:p>
    <w:p w:rsidR="007710B5" w:rsidRDefault="007710B5" w:rsidP="007710B5">
      <w:pPr>
        <w:spacing w:line="480" w:lineRule="auto"/>
        <w:rPr>
          <w:i/>
          <w:iCs/>
        </w:rPr>
      </w:pPr>
    </w:p>
    <w:p w:rsidR="007710B5" w:rsidRPr="00BC1503" w:rsidRDefault="007710B5" w:rsidP="007710B5">
      <w:pPr>
        <w:spacing w:line="480" w:lineRule="auto"/>
        <w:rPr>
          <w:iCs/>
          <w:u w:val="single"/>
        </w:rPr>
      </w:pPr>
      <w:r w:rsidRPr="00BC1503">
        <w:rPr>
          <w:i/>
          <w:iCs/>
        </w:rPr>
        <w:t xml:space="preserve">Respiratory </w:t>
      </w:r>
      <w:r>
        <w:rPr>
          <w:i/>
          <w:iCs/>
        </w:rPr>
        <w:t>f</w:t>
      </w:r>
      <w:r w:rsidRPr="00BC1503">
        <w:rPr>
          <w:i/>
          <w:iCs/>
        </w:rPr>
        <w:t xml:space="preserve">ailure. </w:t>
      </w:r>
      <w:r w:rsidRPr="00BC1503">
        <w:rPr>
          <w:iCs/>
        </w:rPr>
        <w:t xml:space="preserve">More patients with CAD/HF had respiratory failure (75.7%, n = 169) compared to patients in the non-CAD/HF group (13.88%, n = 1439; </w:t>
      </w:r>
      <w:r w:rsidRPr="002E2C70">
        <w:rPr>
          <w:i/>
        </w:rPr>
        <w:t>p</w:t>
      </w:r>
      <w:r w:rsidRPr="00BC1503">
        <w:rPr>
          <w:iCs/>
        </w:rPr>
        <w:t xml:space="preserve"> &lt; 0.001). OR for respiratory failure was higher in the CAD/HF group (OR 3.06, 95% CI 2.52-3.71, </w:t>
      </w:r>
      <w:r w:rsidRPr="002E2C70">
        <w:rPr>
          <w:i/>
        </w:rPr>
        <w:t>p</w:t>
      </w:r>
      <w:r w:rsidRPr="00BC1503">
        <w:rPr>
          <w:iCs/>
        </w:rPr>
        <w:t xml:space="preserve"> &lt;</w:t>
      </w:r>
      <w:r>
        <w:rPr>
          <w:iCs/>
        </w:rPr>
        <w:t xml:space="preserve"> </w:t>
      </w:r>
      <w:r w:rsidRPr="00BC1503">
        <w:rPr>
          <w:iCs/>
        </w:rPr>
        <w:t xml:space="preserve">0.001), but the noted effect was not preserved after adjusting for confounders (OR 1.23, 95% CI 0.98-1.53). </w:t>
      </w:r>
    </w:p>
    <w:p w:rsidR="007710B5" w:rsidRDefault="007710B5" w:rsidP="007710B5">
      <w:pPr>
        <w:spacing w:line="480" w:lineRule="auto"/>
        <w:rPr>
          <w:i/>
          <w:iCs/>
        </w:rPr>
      </w:pPr>
    </w:p>
    <w:p w:rsidR="007710B5" w:rsidRPr="00BC1503" w:rsidRDefault="007710B5" w:rsidP="007710B5">
      <w:pPr>
        <w:spacing w:line="480" w:lineRule="auto"/>
        <w:rPr>
          <w:iCs/>
        </w:rPr>
      </w:pPr>
      <w:r w:rsidRPr="00BC1503">
        <w:rPr>
          <w:i/>
          <w:iCs/>
        </w:rPr>
        <w:t xml:space="preserve">Length of ICU </w:t>
      </w:r>
      <w:r>
        <w:rPr>
          <w:i/>
          <w:iCs/>
        </w:rPr>
        <w:t>s</w:t>
      </w:r>
      <w:r w:rsidRPr="00BC1503">
        <w:rPr>
          <w:i/>
          <w:iCs/>
        </w:rPr>
        <w:t xml:space="preserve">tay. </w:t>
      </w:r>
      <w:r w:rsidRPr="00BC1503">
        <w:rPr>
          <w:iCs/>
        </w:rPr>
        <w:t xml:space="preserve">Among patients admitted to the ICU, there was no significant difference in median length of ICU stay between the CAD/HF and non-CAD/HF cohorts (median 15, IQR 11 vs. median 15, IQR 12, </w:t>
      </w:r>
      <w:r w:rsidRPr="002E2C70">
        <w:rPr>
          <w:i/>
        </w:rPr>
        <w:t>p</w:t>
      </w:r>
      <w:r w:rsidRPr="00BC1503">
        <w:rPr>
          <w:iCs/>
        </w:rPr>
        <w:t xml:space="preserve"> = 0.670). There was insufficient evidence to determine whether CAD/HF leads to increased odds for prolonged length of ICU stay (OR 1.39, 95% CI 0.89-2.17; </w:t>
      </w:r>
      <w:r w:rsidRPr="002E2C70">
        <w:rPr>
          <w:i/>
        </w:rPr>
        <w:t>p</w:t>
      </w:r>
      <w:r w:rsidRPr="00BC1503">
        <w:rPr>
          <w:iCs/>
        </w:rPr>
        <w:t xml:space="preserve"> </w:t>
      </w:r>
      <w:r>
        <w:rPr>
          <w:iCs/>
        </w:rPr>
        <w:t xml:space="preserve">= </w:t>
      </w:r>
      <w:r w:rsidRPr="00BC1503">
        <w:rPr>
          <w:iCs/>
        </w:rPr>
        <w:t xml:space="preserve">0.150).  </w:t>
      </w:r>
    </w:p>
    <w:p w:rsidR="007710B5" w:rsidRDefault="007710B5" w:rsidP="007710B5">
      <w:pPr>
        <w:spacing w:line="480" w:lineRule="auto"/>
        <w:rPr>
          <w:b/>
          <w:bCs/>
        </w:rPr>
      </w:pPr>
    </w:p>
    <w:p w:rsidR="007710B5" w:rsidRDefault="007710B5" w:rsidP="007710B5">
      <w:pPr>
        <w:spacing w:line="480" w:lineRule="auto"/>
        <w:rPr>
          <w:bCs/>
        </w:rPr>
      </w:pPr>
      <w:r w:rsidRPr="00BC1503">
        <w:rPr>
          <w:bCs/>
          <w:i/>
        </w:rPr>
        <w:t xml:space="preserve">Length of </w:t>
      </w:r>
      <w:r>
        <w:rPr>
          <w:bCs/>
          <w:i/>
        </w:rPr>
        <w:t>h</w:t>
      </w:r>
      <w:r w:rsidRPr="00BC1503">
        <w:rPr>
          <w:bCs/>
          <w:i/>
        </w:rPr>
        <w:t xml:space="preserve">ospital </w:t>
      </w:r>
      <w:r>
        <w:rPr>
          <w:bCs/>
          <w:i/>
        </w:rPr>
        <w:t>s</w:t>
      </w:r>
      <w:r w:rsidRPr="00BC1503">
        <w:rPr>
          <w:bCs/>
          <w:i/>
        </w:rPr>
        <w:t xml:space="preserve">tay. </w:t>
      </w:r>
      <w:r w:rsidRPr="00BC1503">
        <w:rPr>
          <w:bCs/>
        </w:rPr>
        <w:t xml:space="preserve">Median length of hospital stay was longer in patients with CAD/HF compared to those without (median 14, IQR 11 vs. median 13, IQR 9; </w:t>
      </w:r>
      <w:r w:rsidRPr="002E2C70">
        <w:rPr>
          <w:bCs/>
          <w:i/>
          <w:iCs/>
        </w:rPr>
        <w:t>p</w:t>
      </w:r>
      <w:r w:rsidRPr="00BC1503">
        <w:rPr>
          <w:bCs/>
        </w:rPr>
        <w:t xml:space="preserve"> &lt; 0.001). The odds of prolonged length of hospital stay was higher in the CAD/HF group (OR 1.43, 95% CI 1.19-1.70; </w:t>
      </w:r>
      <w:r w:rsidRPr="002E2C70">
        <w:rPr>
          <w:bCs/>
          <w:i/>
          <w:iCs/>
        </w:rPr>
        <w:t>p</w:t>
      </w:r>
      <w:r w:rsidRPr="00BC1503">
        <w:rPr>
          <w:bCs/>
        </w:rPr>
        <w:t xml:space="preserve"> &lt; 0.001), but this difference was no longer observed after adjusting for confounders (OR 1.16, 95% 0.97-1.40; </w:t>
      </w:r>
      <w:r w:rsidRPr="002E2C70">
        <w:rPr>
          <w:bCs/>
          <w:i/>
          <w:iCs/>
        </w:rPr>
        <w:t>p</w:t>
      </w:r>
      <w:r w:rsidRPr="00BC1503">
        <w:rPr>
          <w:bCs/>
        </w:rPr>
        <w:t xml:space="preserve"> </w:t>
      </w:r>
      <w:r>
        <w:rPr>
          <w:bCs/>
        </w:rPr>
        <w:t xml:space="preserve">= </w:t>
      </w:r>
      <w:r w:rsidRPr="00BC1503">
        <w:rPr>
          <w:bCs/>
        </w:rPr>
        <w:t>0.113).</w:t>
      </w:r>
    </w:p>
    <w:p w:rsidR="007710B5" w:rsidRPr="00BC1503" w:rsidRDefault="007710B5" w:rsidP="007710B5">
      <w:pPr>
        <w:rPr>
          <w:bCs/>
        </w:rPr>
      </w:pPr>
    </w:p>
    <w:p w:rsidR="007710B5" w:rsidRDefault="007710B5" w:rsidP="007710B5">
      <w:pPr>
        <w:rPr>
          <w:b/>
          <w:bCs/>
        </w:rPr>
      </w:pPr>
    </w:p>
    <w:p w:rsidR="007710B5" w:rsidRDefault="007710B5" w:rsidP="007710B5">
      <w:pPr>
        <w:rPr>
          <w:b/>
          <w:bCs/>
        </w:rPr>
      </w:pPr>
    </w:p>
    <w:p w:rsidR="007710B5" w:rsidRDefault="007710B5" w:rsidP="007710B5">
      <w:pPr>
        <w:jc w:val="both"/>
        <w:rPr>
          <w:b/>
          <w:bCs/>
        </w:rPr>
      </w:pPr>
    </w:p>
    <w:p w:rsidR="007710B5" w:rsidRDefault="007710B5" w:rsidP="007710B5">
      <w:pPr>
        <w:jc w:val="both"/>
        <w:rPr>
          <w:b/>
          <w:bCs/>
        </w:rPr>
      </w:pPr>
    </w:p>
    <w:p w:rsidR="007710B5" w:rsidRDefault="007710B5" w:rsidP="007710B5">
      <w:pPr>
        <w:jc w:val="both"/>
        <w:rPr>
          <w:b/>
          <w:bCs/>
        </w:rPr>
      </w:pPr>
    </w:p>
    <w:p w:rsidR="00066C10" w:rsidRDefault="00066C10"/>
    <w:sectPr w:rsidR="00066C10" w:rsidSect="00D8222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0B5"/>
    <w:rsid w:val="00066C10"/>
    <w:rsid w:val="007710B5"/>
    <w:rsid w:val="00D82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6712EA2"/>
  <w15:chartTrackingRefBased/>
  <w15:docId w15:val="{B8E6D79A-654E-6D48-A885-2308B758B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PH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10B5"/>
    <w:rPr>
      <w:rFonts w:ascii="Times New Roman" w:eastAsia="Times New Roman" w:hAnsi="Times New Roman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446</Words>
  <Characters>2548</Characters>
  <Application>Microsoft Office Word</Application>
  <DocSecurity>0</DocSecurity>
  <Lines>21</Lines>
  <Paragraphs>5</Paragraphs>
  <ScaleCrop>false</ScaleCrop>
  <Company/>
  <LinksUpToDate>false</LinksUpToDate>
  <CharactersWithSpaces>2989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2023-09-30T14:25:00Z</dcterms:created>
  <dcterms:modified xsi:type="dcterms:W3CDTF">2023-09-30T14:26:00Z</dcterms:modified>
</cp:coreProperties>
</file>