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B1956" w14:textId="6A4E181E" w:rsidR="004126AF" w:rsidRPr="00313EEA" w:rsidRDefault="00313EEA" w:rsidP="00A35303">
      <w:pPr>
        <w:jc w:val="left"/>
        <w:rPr>
          <w:rFonts w:cs="Times New Roman"/>
          <w:b/>
          <w:bCs/>
          <w:sz w:val="28"/>
          <w:szCs w:val="32"/>
        </w:rPr>
      </w:pPr>
      <w:r w:rsidRPr="00313EEA">
        <w:rPr>
          <w:rFonts w:cs="Times New Roman"/>
          <w:b/>
          <w:bCs/>
          <w:sz w:val="28"/>
          <w:szCs w:val="32"/>
        </w:rPr>
        <w:t>Supplemental Material</w:t>
      </w:r>
    </w:p>
    <w:p w14:paraId="4756164B" w14:textId="6241EB3F" w:rsidR="00814B31" w:rsidRPr="00E75C07" w:rsidRDefault="00C22348">
      <w:pPr>
        <w:rPr>
          <w:rFonts w:eastAsia="Helvetica-Bold" w:cs="Times New Roman"/>
          <w:b/>
          <w:kern w:val="0"/>
          <w:szCs w:val="24"/>
          <w:lang w:bidi="ar"/>
        </w:rPr>
      </w:pPr>
      <w:r w:rsidRPr="00E75C07">
        <w:rPr>
          <w:rFonts w:eastAsia="Helvetica-Bold" w:cs="Times New Roman"/>
          <w:b/>
          <w:kern w:val="0"/>
          <w:szCs w:val="24"/>
          <w:lang w:bidi="ar"/>
        </w:rPr>
        <w:t>Supplemental methods</w:t>
      </w:r>
    </w:p>
    <w:p w14:paraId="3EF7F0A6" w14:textId="77777777" w:rsidR="00C22348" w:rsidRPr="00E75C07" w:rsidRDefault="00C22348" w:rsidP="00E75C07">
      <w:pPr>
        <w:spacing w:beforeLines="50" w:before="156" w:afterLines="50" w:after="156"/>
        <w:rPr>
          <w:rFonts w:eastAsia="Helvetica-Bold" w:cs="Times New Roman"/>
          <w:b/>
          <w:kern w:val="0"/>
          <w:szCs w:val="24"/>
          <w:lang w:bidi="ar"/>
        </w:rPr>
      </w:pPr>
      <w:r w:rsidRPr="00E75C07">
        <w:rPr>
          <w:rFonts w:eastAsia="Helvetica-Bold" w:cs="Times New Roman"/>
          <w:b/>
          <w:kern w:val="0"/>
          <w:szCs w:val="24"/>
          <w:lang w:bidi="ar"/>
        </w:rPr>
        <w:t>Cell Culture</w:t>
      </w:r>
    </w:p>
    <w:p w14:paraId="15948D67" w14:textId="771CC102" w:rsidR="00C22348" w:rsidRPr="00E75C07" w:rsidRDefault="00C22348">
      <w:pPr>
        <w:rPr>
          <w:rFonts w:eastAsiaTheme="minorEastAsia" w:hint="eastAsia"/>
        </w:rPr>
      </w:pPr>
      <w:r>
        <w:t xml:space="preserve">Cell lines (K562, KCL22, KU812, and NB4) were cultured in RPMI-1640 medium with 10% fetal bovine serum (Gibco, USA) and 1% penicillin and streptomycin (Gibco, USA) under a 5% CO2 atmosphere at 37°C. K562, KU812, and NB4 cells were obtained from the Institute of Shanghai Cell Biology, China. The KCL22 cell line was kind gift from Professor Markus </w:t>
      </w:r>
      <w:proofErr w:type="spellStart"/>
      <w:r>
        <w:t>Muschen</w:t>
      </w:r>
      <w:proofErr w:type="spellEnd"/>
      <w:r>
        <w:t xml:space="preserve">, Children’s Hospital of Los Angeles, CA, USA. K562-IMR and KCL22-IMR cells were developed in our laboratory. Cells were </w:t>
      </w:r>
      <w:proofErr w:type="spellStart"/>
      <w:r>
        <w:t>subcultured</w:t>
      </w:r>
      <w:proofErr w:type="spellEnd"/>
      <w:r>
        <w:t xml:space="preserve"> every 2–4 days, and cells in the logarithmic growth phase were selected for study.</w:t>
      </w:r>
    </w:p>
    <w:p w14:paraId="71D0A0E9" w14:textId="77777777" w:rsidR="00C22348" w:rsidRPr="00E75C07" w:rsidRDefault="00C22348" w:rsidP="00E75C07">
      <w:pPr>
        <w:spacing w:beforeLines="50" w:before="156" w:afterLines="50" w:after="156"/>
        <w:rPr>
          <w:rFonts w:eastAsia="Helvetica-Bold" w:cs="Times New Roman"/>
          <w:b/>
          <w:kern w:val="0"/>
          <w:szCs w:val="24"/>
          <w:lang w:bidi="ar"/>
        </w:rPr>
      </w:pPr>
      <w:r w:rsidRPr="00E75C07">
        <w:rPr>
          <w:rFonts w:eastAsia="Helvetica-Bold" w:cs="Times New Roman"/>
          <w:b/>
          <w:kern w:val="0"/>
          <w:szCs w:val="24"/>
          <w:lang w:bidi="ar"/>
        </w:rPr>
        <w:t>MTT assay</w:t>
      </w:r>
    </w:p>
    <w:p w14:paraId="6BB9FE55" w14:textId="7FCB3374" w:rsidR="00C22348" w:rsidRDefault="00C22348" w:rsidP="00C22348">
      <w:r>
        <w:t>Briefly, cells were seeded at a density of 4</w:t>
      </w:r>
      <w:r>
        <w:t></w:t>
      </w:r>
      <w:r>
        <w:t xml:space="preserve">104 cells/mL in 96-well plates (100 </w:t>
      </w:r>
      <w:proofErr w:type="spellStart"/>
      <w:r>
        <w:t>μL</w:t>
      </w:r>
      <w:proofErr w:type="spellEnd"/>
      <w:r>
        <w:t xml:space="preserve">/well) and treated with </w:t>
      </w:r>
      <w:proofErr w:type="spellStart"/>
      <w:r>
        <w:t>saRNA</w:t>
      </w:r>
      <w:proofErr w:type="spellEnd"/>
      <w:r>
        <w:t xml:space="preserve"> or NC. After 72 h, 20 </w:t>
      </w:r>
      <w:proofErr w:type="spellStart"/>
      <w:r>
        <w:t>μL</w:t>
      </w:r>
      <w:proofErr w:type="spellEnd"/>
      <w:r>
        <w:t xml:space="preserve"> MTT (5 mg/mL) was added to each well and incubated for 4 h. Subsequently, plates were centrifuged at 1200 rpm for 3 min. Each well received 150 </w:t>
      </w:r>
      <w:proofErr w:type="spellStart"/>
      <w:r>
        <w:t>μL</w:t>
      </w:r>
      <w:proofErr w:type="spellEnd"/>
      <w:r>
        <w:t xml:space="preserve"> DMSO after carefully aspirating the supernatant. Cell viability was assessed by measuring absorbance at 570 nm on a Bio-Tek microtiter plate reader. The proliferation inhibition rate was calculated as [1-(experimental group/control group)] </w:t>
      </w:r>
      <w:r w:rsidR="00E75C07">
        <w:t>x</w:t>
      </w:r>
      <w:r>
        <w:t>100% after three repetitions.</w:t>
      </w:r>
    </w:p>
    <w:p w14:paraId="595EEE1A" w14:textId="77777777" w:rsidR="00C22348" w:rsidRPr="00E75C07" w:rsidRDefault="00C22348" w:rsidP="00E75C07">
      <w:pPr>
        <w:spacing w:beforeLines="50" w:before="156" w:afterLines="50" w:after="156"/>
        <w:rPr>
          <w:b/>
          <w:bCs/>
        </w:rPr>
      </w:pPr>
      <w:r w:rsidRPr="00E75C07">
        <w:rPr>
          <w:b/>
          <w:bCs/>
        </w:rPr>
        <w:t>Soft agar colony formation assay</w:t>
      </w:r>
    </w:p>
    <w:p w14:paraId="444DB561" w14:textId="59400776" w:rsidR="00C22348" w:rsidRPr="00E75C07" w:rsidRDefault="00C22348">
      <w:pPr>
        <w:rPr>
          <w:rFonts w:eastAsiaTheme="minorEastAsia" w:hint="eastAsia"/>
        </w:rPr>
      </w:pPr>
      <w:r>
        <w:t xml:space="preserve">In the logarithmic growth phase, K562, KCL22, KU812, NB4, K562-IMR, and KCL22-IMR cells were harvested to detect proliferation capacity by the soft agar colony formation assay. After transfection, RPMI-1640 medium containing 20% FBS was mixed with soft agar (Sigma, USA) containing 1.2% in a 1:1 ratio and 2 mL of the mixture was added to each well of the six-well plate to form the lowest gel layer and allowed to solidify. After transfection, RPMI-1640 containing </w:t>
      </w:r>
      <w:proofErr w:type="spellStart"/>
      <w:r>
        <w:t>saRNAs</w:t>
      </w:r>
      <w:proofErr w:type="spellEnd"/>
      <w:r>
        <w:t xml:space="preserve"> was gently combined with 0.3% soft agar on the upper gel. Next, 1 mL was added per well to the </w:t>
      </w:r>
      <w:r>
        <w:lastRenderedPageBreak/>
        <w:t xml:space="preserve">bottom gel that had solidified while waiting for the upper gel to solidify. After observing more than 40 cell clonal groups under a microscope, 4% paraformaldehyde was added for 30 minutes. After washing with PBS, 0.6 mL of 0.005% crystal violet solution was added to each well for staining for 1 h to 2 h, and then the staining solution was aspirated and discarded. The cell clusters were washed with PBS until they were visible. Subsequently, photographs of the clusters were obtained, and </w:t>
      </w:r>
      <w:proofErr w:type="spellStart"/>
      <w:r>
        <w:t>imageJ</w:t>
      </w:r>
      <w:proofErr w:type="spellEnd"/>
      <w:r>
        <w:t xml:space="preserve"> and GraphPad were used to determine the number of cell colonies.</w:t>
      </w:r>
    </w:p>
    <w:p w14:paraId="49BFEEAE" w14:textId="77777777" w:rsidR="00C22348" w:rsidRPr="00E75C07" w:rsidRDefault="00C22348" w:rsidP="00E75C07">
      <w:pPr>
        <w:spacing w:beforeLines="50" w:before="156" w:afterLines="50" w:after="156"/>
        <w:rPr>
          <w:b/>
          <w:bCs/>
        </w:rPr>
      </w:pPr>
      <w:r w:rsidRPr="00E75C07">
        <w:rPr>
          <w:b/>
          <w:bCs/>
        </w:rPr>
        <w:t xml:space="preserve">Transfection of </w:t>
      </w:r>
      <w:proofErr w:type="spellStart"/>
      <w:r w:rsidRPr="00E75C07">
        <w:rPr>
          <w:b/>
          <w:bCs/>
        </w:rPr>
        <w:t>saRNA</w:t>
      </w:r>
      <w:proofErr w:type="spellEnd"/>
      <w:r w:rsidRPr="00E75C07">
        <w:rPr>
          <w:b/>
          <w:bCs/>
        </w:rPr>
        <w:t xml:space="preserve"> drugs</w:t>
      </w:r>
    </w:p>
    <w:p w14:paraId="63345988" w14:textId="77777777" w:rsidR="00C22348" w:rsidRDefault="00C22348" w:rsidP="00C22348">
      <w:proofErr w:type="spellStart"/>
      <w:r>
        <w:t>SaRNAs</w:t>
      </w:r>
      <w:proofErr w:type="spellEnd"/>
      <w:r>
        <w:t xml:space="preserve"> (1-4) and NC (negative control, random sequences) were transfected into K562, KCL22, KU812, NB4, K562-IMR, and KCL22-IMR cells by </w:t>
      </w:r>
      <w:proofErr w:type="spellStart"/>
      <w:r>
        <w:t>LipofectamineTM</w:t>
      </w:r>
      <w:proofErr w:type="spellEnd"/>
      <w:r>
        <w:t xml:space="preserve"> 2000 reagent (Invitrogen, China). The final concentrations of </w:t>
      </w:r>
      <w:proofErr w:type="spellStart"/>
      <w:r>
        <w:t>saRNA</w:t>
      </w:r>
      <w:proofErr w:type="spellEnd"/>
      <w:r>
        <w:t xml:space="preserve"> and NC ranged 30–50 </w:t>
      </w:r>
      <w:proofErr w:type="spellStart"/>
      <w:r>
        <w:t>nM.</w:t>
      </w:r>
      <w:proofErr w:type="spellEnd"/>
      <w:r>
        <w:t xml:space="preserve"> For transfection, </w:t>
      </w:r>
      <w:proofErr w:type="spellStart"/>
      <w:r>
        <w:t>LipofectamineTM</w:t>
      </w:r>
      <w:proofErr w:type="spellEnd"/>
      <w:r>
        <w:t xml:space="preserve"> 2000 reagent was diluted with Opti-MEM and incubated for 5 minutes at room temperature. The </w:t>
      </w:r>
      <w:proofErr w:type="spellStart"/>
      <w:r>
        <w:t>saRNAs</w:t>
      </w:r>
      <w:proofErr w:type="spellEnd"/>
      <w:r>
        <w:t xml:space="preserve"> were diluted in Opti-MEM. After a 5-minute incubation, the </w:t>
      </w:r>
      <w:proofErr w:type="spellStart"/>
      <w:r>
        <w:t>LipofectamineTM</w:t>
      </w:r>
      <w:proofErr w:type="spellEnd"/>
      <w:r>
        <w:t xml:space="preserve"> 2000 reagent was gently mixed in a 1:1 (v/v) ratio with nucleic acid and incubated for 15 min at room temperature. After six hours at 37°C, the wells were replaced with complete medium RPMI-1640 (10% FBS by volume). </w:t>
      </w:r>
    </w:p>
    <w:p w14:paraId="6A5BABD1" w14:textId="77777777" w:rsidR="00C22348" w:rsidRPr="00E75C07" w:rsidRDefault="00C22348" w:rsidP="00E75C07">
      <w:pPr>
        <w:spacing w:beforeLines="50" w:before="156" w:afterLines="50" w:after="156"/>
        <w:rPr>
          <w:b/>
          <w:bCs/>
        </w:rPr>
      </w:pPr>
      <w:r w:rsidRPr="00E75C07">
        <w:rPr>
          <w:b/>
          <w:bCs/>
        </w:rPr>
        <w:t xml:space="preserve">Quantitative real-time </w:t>
      </w:r>
    </w:p>
    <w:p w14:paraId="59DB62F7" w14:textId="77777777" w:rsidR="00C22348" w:rsidRDefault="00C22348" w:rsidP="00C22348">
      <w:r>
        <w:t xml:space="preserve">To verify the expression of CDH13 mRNA in K562, KCL22, KU812, NB4, and K562-IMR, and KCL22-IMR cells, </w:t>
      </w:r>
      <w:proofErr w:type="spellStart"/>
      <w:r>
        <w:t>Trizol</w:t>
      </w:r>
      <w:proofErr w:type="spellEnd"/>
      <w:r>
        <w:t xml:space="preserve"> (Invitrogen, USA) was used as the extraction method to obtain total RNA from cells. The total RNA (500 ng) was then reverse transcribed using a </w:t>
      </w:r>
      <w:proofErr w:type="spellStart"/>
      <w:r>
        <w:t>SuperScript</w:t>
      </w:r>
      <w:proofErr w:type="spellEnd"/>
      <w:r>
        <w:t xml:space="preserve"> IV first-strand synthesis system (Invitrogen, USA). Relative expression of mRNA was detected by 2x SYBR Green qPCR Master Mix (</w:t>
      </w:r>
      <w:proofErr w:type="spellStart"/>
      <w:r>
        <w:t>Bimake</w:t>
      </w:r>
      <w:proofErr w:type="spellEnd"/>
      <w:r>
        <w:t>, USA) according to the manufacturer's instructions by quantitative real-time PCR (</w:t>
      </w:r>
      <w:proofErr w:type="spellStart"/>
      <w:r>
        <w:t>qRT</w:t>
      </w:r>
      <w:proofErr w:type="spellEnd"/>
      <w:r>
        <w:t xml:space="preserve">-PCR). The 2-ΔΔCt method was used to determine the relative expression of mRNA. </w:t>
      </w:r>
    </w:p>
    <w:p w14:paraId="5070891A" w14:textId="77777777" w:rsidR="00C22348" w:rsidRPr="00E75C07" w:rsidRDefault="00C22348" w:rsidP="00E75C07">
      <w:pPr>
        <w:spacing w:beforeLines="50" w:before="156" w:afterLines="50" w:after="156"/>
        <w:rPr>
          <w:b/>
          <w:bCs/>
        </w:rPr>
      </w:pPr>
      <w:r w:rsidRPr="00E75C07">
        <w:rPr>
          <w:b/>
          <w:bCs/>
        </w:rPr>
        <w:t>Western blotting analysis</w:t>
      </w:r>
    </w:p>
    <w:p w14:paraId="08488F74" w14:textId="77777777" w:rsidR="00C22348" w:rsidRDefault="00C22348" w:rsidP="00C22348">
      <w:r>
        <w:t xml:space="preserve">Following cell lysis with PMSF-containing RIPA buffer (Roche, USA) for 30 minutes. </w:t>
      </w:r>
      <w:r>
        <w:lastRenderedPageBreak/>
        <w:t>The BCA Protein Assay Kit was utilized to determine total protein concentrations (</w:t>
      </w:r>
      <w:proofErr w:type="spellStart"/>
      <w:r>
        <w:t>KeyGen</w:t>
      </w:r>
      <w:proofErr w:type="spellEnd"/>
      <w:r>
        <w:t xml:space="preserve"> Biotech, China). SDS-PAGE was used to separate a total of 30 µg of protein mixture from each sample, and the separated proteins were then transferred to PVDF membranes (Merck Millipore, Germany). The PVDF membrane was blocked with 5% milk (in PBST) for one hour and then incubated overnight at 4°C with primary antibody against H-Cadherin (Abcam, USA). As a control, antibodies against beta-actin (Abcam, USA) and GAPDH (Abcam) were utilized. Signals were detected using HRP-conjugated anti-rabbit IgG antibodies (Cell Signaling Technology, USA), and were observed using ECL detection. Both reagents were purchased from Cell Signaling Technology.</w:t>
      </w:r>
    </w:p>
    <w:p w14:paraId="62B402EC" w14:textId="77777777" w:rsidR="00C22348" w:rsidRPr="00E75C07" w:rsidRDefault="00C22348" w:rsidP="00E75C07">
      <w:pPr>
        <w:spacing w:beforeLines="50" w:before="156" w:afterLines="50" w:after="156"/>
        <w:rPr>
          <w:b/>
          <w:bCs/>
        </w:rPr>
      </w:pPr>
      <w:r w:rsidRPr="00E75C07">
        <w:rPr>
          <w:b/>
          <w:bCs/>
        </w:rPr>
        <w:t>DNA Methylation Assay</w:t>
      </w:r>
    </w:p>
    <w:p w14:paraId="71FF0746" w14:textId="64C86A4D" w:rsidR="00C22348" w:rsidRPr="00E75C07" w:rsidRDefault="00C22348" w:rsidP="00C22348">
      <w:pPr>
        <w:rPr>
          <w:rFonts w:eastAsiaTheme="minorEastAsia" w:hint="eastAsia"/>
        </w:rPr>
      </w:pPr>
      <w:r>
        <w:t xml:space="preserve">Samples were bisulfite-converted with the EZ DNA </w:t>
      </w:r>
      <w:proofErr w:type="spellStart"/>
      <w:r>
        <w:t>MethylationTM</w:t>
      </w:r>
      <w:proofErr w:type="spellEnd"/>
      <w:r>
        <w:t xml:space="preserve"> Kit (</w:t>
      </w:r>
      <w:proofErr w:type="spellStart"/>
      <w:r>
        <w:t>Zymo</w:t>
      </w:r>
      <w:proofErr w:type="spellEnd"/>
      <w:r>
        <w:t xml:space="preserve"> Research, USA). Methylation-specific PCR (MSP) uses amplification to determine the methylation status of a particular CpG site. Differential amplification of the template with (M) methylated and (U) unmethylated primer sets is crucial to the success of this method. MSP primers were constructed using the online platform available at </w:t>
      </w:r>
      <w:hyperlink r:id="rId6" w:history="1">
        <w:r w:rsidRPr="00C66F63">
          <w:rPr>
            <w:rStyle w:val="af0"/>
          </w:rPr>
          <w:t>https://zymoresearch.eu/pages/services</w:t>
        </w:r>
      </w:hyperlink>
      <w:r>
        <w:t>.</w:t>
      </w:r>
    </w:p>
    <w:p w14:paraId="6D2A732E" w14:textId="77777777" w:rsidR="00C22348" w:rsidRPr="00E75C07" w:rsidRDefault="00C22348" w:rsidP="00E75C07">
      <w:pPr>
        <w:spacing w:beforeLines="50" w:before="156" w:afterLines="50" w:after="156"/>
        <w:rPr>
          <w:b/>
          <w:bCs/>
        </w:rPr>
      </w:pPr>
      <w:r w:rsidRPr="00E75C07">
        <w:rPr>
          <w:b/>
          <w:bCs/>
        </w:rPr>
        <w:t>Flow cytometric detection of apoptosis</w:t>
      </w:r>
    </w:p>
    <w:p w14:paraId="44820DD2" w14:textId="1091937D" w:rsidR="00C22348" w:rsidRPr="00C22348" w:rsidRDefault="00C22348" w:rsidP="00C22348">
      <w:r>
        <w:t xml:space="preserve">Equal numbers of cells were placed in flow cytometry tubes and washed with PBS by centrifugation at 800 rpm for 3 min. Each group of cells were resuspended with 300μL of Binding Buffer. Next. 3 </w:t>
      </w:r>
      <w:proofErr w:type="spellStart"/>
      <w:r>
        <w:t>μL</w:t>
      </w:r>
      <w:proofErr w:type="spellEnd"/>
      <w:r>
        <w:t xml:space="preserve"> of Annexin V-FITC, were added and the solution was mixed gently with a pipette, and then incubate it at room temperature for 15 minutes while shielding it from the light. After carefully adding 3 </w:t>
      </w:r>
      <w:proofErr w:type="spellStart"/>
      <w:r>
        <w:t>μL</w:t>
      </w:r>
      <w:proofErr w:type="spellEnd"/>
      <w:r>
        <w:t xml:space="preserve"> of the Propidium staining solution, the contents of the two vials were combined using a pipette, and then incubated at room temperature for 15 minutes while shielding it from the light.</w:t>
      </w:r>
    </w:p>
    <w:p w14:paraId="494E3CC8" w14:textId="77777777" w:rsidR="00C22348" w:rsidRDefault="00C22348"/>
    <w:p w14:paraId="6BE924E8" w14:textId="77777777" w:rsidR="00C22348" w:rsidRDefault="00C22348">
      <w:pPr>
        <w:rPr>
          <w:rFonts w:eastAsiaTheme="minorEastAsia"/>
          <w:b/>
          <w:bCs/>
        </w:rPr>
      </w:pPr>
    </w:p>
    <w:p w14:paraId="145CD42D" w14:textId="77777777" w:rsidR="00E75C07" w:rsidRPr="00E75C07" w:rsidRDefault="00E75C07">
      <w:pPr>
        <w:rPr>
          <w:rFonts w:eastAsiaTheme="minorEastAsia" w:hint="eastAsia"/>
          <w:b/>
          <w:bCs/>
        </w:rPr>
      </w:pPr>
    </w:p>
    <w:p w14:paraId="4627B655" w14:textId="07836014" w:rsidR="00C22348" w:rsidRPr="00E75C07" w:rsidRDefault="00E75C07" w:rsidP="00E75C07">
      <w:pPr>
        <w:spacing w:beforeLines="50" w:before="156" w:afterLines="50" w:after="156"/>
        <w:rPr>
          <w:rFonts w:eastAsiaTheme="minorEastAsia" w:hint="eastAsia"/>
          <w:b/>
          <w:bCs/>
        </w:rPr>
      </w:pPr>
      <w:r w:rsidRPr="00E75C07">
        <w:rPr>
          <w:rFonts w:eastAsiaTheme="minorEastAsia" w:hint="eastAsia"/>
          <w:b/>
          <w:bCs/>
        </w:rPr>
        <w:lastRenderedPageBreak/>
        <w:t>S</w:t>
      </w:r>
      <w:r w:rsidRPr="00E75C07">
        <w:rPr>
          <w:rFonts w:eastAsiaTheme="minorEastAsia"/>
          <w:b/>
          <w:bCs/>
        </w:rPr>
        <w:t>upplemental results</w:t>
      </w:r>
    </w:p>
    <w:p w14:paraId="689DF210" w14:textId="7290EA44" w:rsidR="00814B31" w:rsidRDefault="00FC584B" w:rsidP="00774903">
      <w:pPr>
        <w:jc w:val="center"/>
      </w:pPr>
      <w:r>
        <w:rPr>
          <w:noProof/>
        </w:rPr>
        <w:object w:dxaOrig="7078" w:dyaOrig="4565" w14:anchorId="219880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52.2pt;height:228.75pt;mso-width-percent:0;mso-height-percent:0;mso-width-percent:0;mso-height-percent:0" o:ole="">
            <v:imagedata r:id="rId7" o:title=""/>
          </v:shape>
          <o:OLEObject Type="Embed" ProgID="Prism9.Document" ShapeID="_x0000_i1025" DrawAspect="Content" ObjectID="_1756892277" r:id="rId8"/>
        </w:object>
      </w:r>
    </w:p>
    <w:p w14:paraId="09EE9ADA" w14:textId="651B5F11" w:rsidR="00313EEA" w:rsidRPr="00774903" w:rsidRDefault="00313EEA">
      <w:pPr>
        <w:rPr>
          <w:rFonts w:cs="Times New Roman"/>
        </w:rPr>
      </w:pPr>
      <w:r w:rsidRPr="00313EEA">
        <w:rPr>
          <w:rFonts w:cs="Times New Roman"/>
          <w:b/>
          <w:spacing w:val="4"/>
        </w:rPr>
        <w:t>Figure</w:t>
      </w:r>
      <w:r w:rsidRPr="00313EEA">
        <w:rPr>
          <w:rFonts w:cs="Times New Roman"/>
          <w:b/>
          <w:spacing w:val="2"/>
        </w:rPr>
        <w:t xml:space="preserve"> </w:t>
      </w:r>
      <w:r w:rsidRPr="00313EEA">
        <w:rPr>
          <w:rFonts w:cs="Times New Roman"/>
          <w:b/>
          <w:spacing w:val="3"/>
        </w:rPr>
        <w:t>S1</w:t>
      </w:r>
      <w:r w:rsidR="00774903">
        <w:rPr>
          <w:rFonts w:cs="Times New Roman"/>
          <w:b/>
          <w:spacing w:val="3"/>
        </w:rPr>
        <w:t xml:space="preserve">. </w:t>
      </w:r>
      <w:r w:rsidR="00774903" w:rsidRPr="00774903">
        <w:rPr>
          <w:rFonts w:eastAsia="黑体" w:cs="Times New Roman"/>
          <w:szCs w:val="21"/>
        </w:rPr>
        <w:t>Different concentrations of NC and saRNA (C3) were transfected into K562 cells, and after 72 hours, the relative viability of the cells was detected using</w:t>
      </w:r>
      <w:r w:rsidR="002E4E8F">
        <w:rPr>
          <w:rFonts w:eastAsia="黑体" w:cs="Times New Roman"/>
          <w:szCs w:val="21"/>
        </w:rPr>
        <w:t xml:space="preserve"> the</w:t>
      </w:r>
      <w:r w:rsidR="00774903" w:rsidRPr="00774903">
        <w:rPr>
          <w:rFonts w:eastAsia="黑体" w:cs="Times New Roman"/>
          <w:szCs w:val="21"/>
        </w:rPr>
        <w:t xml:space="preserve"> MTT assay</w:t>
      </w:r>
      <w:r w:rsidR="00774903" w:rsidRPr="00774903">
        <w:rPr>
          <w:rFonts w:eastAsia="黑体" w:cs="Times New Roman" w:hint="eastAsia"/>
          <w:szCs w:val="21"/>
        </w:rPr>
        <w:t>（</w:t>
      </w:r>
      <w:r w:rsidR="00774903" w:rsidRPr="00774903">
        <w:rPr>
          <w:rFonts w:eastAsia="黑体" w:cs="Times New Roman" w:hint="eastAsia"/>
          <w:szCs w:val="21"/>
        </w:rPr>
        <w:t>***P&lt;0.001; mean</w:t>
      </w:r>
      <w:r w:rsidR="00774903" w:rsidRPr="00774903">
        <w:rPr>
          <w:rFonts w:eastAsia="黑体" w:cs="Times New Roman" w:hint="eastAsia"/>
          <w:szCs w:val="21"/>
        </w:rPr>
        <w:t>±</w:t>
      </w:r>
      <w:r w:rsidR="00774903" w:rsidRPr="00774903">
        <w:rPr>
          <w:rFonts w:eastAsia="黑体" w:cs="Times New Roman" w:hint="eastAsia"/>
          <w:szCs w:val="21"/>
        </w:rPr>
        <w:t>SD; n=3</w:t>
      </w:r>
      <w:r w:rsidR="00774903" w:rsidRPr="00774903">
        <w:rPr>
          <w:rFonts w:eastAsia="黑体" w:cs="Times New Roman" w:hint="eastAsia"/>
          <w:szCs w:val="21"/>
        </w:rPr>
        <w:t>）</w:t>
      </w:r>
      <w:r w:rsidR="00774903" w:rsidRPr="00774903">
        <w:rPr>
          <w:rFonts w:eastAsia="黑体" w:cs="Times New Roman"/>
          <w:szCs w:val="21"/>
        </w:rPr>
        <w:t>.</w:t>
      </w:r>
      <w:r w:rsidR="002D6326" w:rsidRPr="002D6326">
        <w:t xml:space="preserve"> </w:t>
      </w:r>
      <w:proofErr w:type="spellStart"/>
      <w:r w:rsidR="002D6326">
        <w:rPr>
          <w:rFonts w:eastAsia="黑体" w:cs="Times New Roman"/>
          <w:szCs w:val="21"/>
        </w:rPr>
        <w:t>saRNA</w:t>
      </w:r>
      <w:proofErr w:type="spellEnd"/>
      <w:r w:rsidR="002D6326">
        <w:rPr>
          <w:rFonts w:eastAsia="黑体" w:cs="Times New Roman"/>
          <w:szCs w:val="21"/>
        </w:rPr>
        <w:t>(C3)</w:t>
      </w:r>
      <w:r w:rsidR="002D6326" w:rsidRPr="002D6326">
        <w:rPr>
          <w:rFonts w:eastAsia="黑体" w:cs="Times New Roman"/>
          <w:szCs w:val="21"/>
        </w:rPr>
        <w:t xml:space="preserve"> </w:t>
      </w:r>
      <w:r w:rsidR="002E4E8F">
        <w:rPr>
          <w:rFonts w:eastAsia="黑体" w:cs="Times New Roman"/>
          <w:szCs w:val="21"/>
        </w:rPr>
        <w:t>shows</w:t>
      </w:r>
      <w:r w:rsidR="002E4E8F" w:rsidRPr="002D6326">
        <w:rPr>
          <w:rFonts w:eastAsia="黑体" w:cs="Times New Roman"/>
          <w:szCs w:val="21"/>
        </w:rPr>
        <w:t xml:space="preserve"> </w:t>
      </w:r>
      <w:r w:rsidR="002D6326" w:rsidRPr="002D6326">
        <w:rPr>
          <w:rFonts w:eastAsia="黑体" w:cs="Times New Roman"/>
          <w:szCs w:val="21"/>
        </w:rPr>
        <w:t xml:space="preserve">a cell-inhibiting effect at 30 nM, but the efficacy </w:t>
      </w:r>
      <w:r w:rsidR="002E4E8F">
        <w:rPr>
          <w:rFonts w:eastAsia="黑体" w:cs="Times New Roman"/>
          <w:szCs w:val="21"/>
        </w:rPr>
        <w:t>does</w:t>
      </w:r>
      <w:r w:rsidR="002E4E8F" w:rsidRPr="002D6326">
        <w:rPr>
          <w:rFonts w:eastAsia="黑体" w:cs="Times New Roman"/>
          <w:szCs w:val="21"/>
        </w:rPr>
        <w:t xml:space="preserve"> </w:t>
      </w:r>
      <w:r w:rsidR="002D6326" w:rsidRPr="002D6326">
        <w:rPr>
          <w:rFonts w:eastAsia="黑体" w:cs="Times New Roman"/>
          <w:szCs w:val="21"/>
        </w:rPr>
        <w:t xml:space="preserve">not change significantly as the concentration </w:t>
      </w:r>
      <w:r w:rsidR="002E4E8F" w:rsidRPr="002D6326">
        <w:rPr>
          <w:rFonts w:eastAsia="黑体" w:cs="Times New Roman"/>
          <w:szCs w:val="21"/>
        </w:rPr>
        <w:t>increase</w:t>
      </w:r>
      <w:r w:rsidR="002E4E8F">
        <w:rPr>
          <w:rFonts w:eastAsia="黑体" w:cs="Times New Roman"/>
          <w:szCs w:val="21"/>
        </w:rPr>
        <w:t>s</w:t>
      </w:r>
      <w:r w:rsidR="002D6326" w:rsidRPr="002D6326">
        <w:rPr>
          <w:rFonts w:eastAsia="黑体" w:cs="Times New Roman"/>
          <w:szCs w:val="21"/>
        </w:rPr>
        <w:t>.</w:t>
      </w:r>
    </w:p>
    <w:p w14:paraId="02DEA483" w14:textId="02ADDCC8" w:rsidR="002E4E8F" w:rsidRDefault="002E4E8F">
      <w:pPr>
        <w:widowControl/>
        <w:jc w:val="left"/>
      </w:pPr>
      <w:r>
        <w:br w:type="page"/>
      </w:r>
    </w:p>
    <w:p w14:paraId="62FB91C3" w14:textId="77777777" w:rsidR="00814B31" w:rsidRDefault="00814B31"/>
    <w:p w14:paraId="4065AACC" w14:textId="77777777" w:rsidR="00814B31" w:rsidRDefault="00814B31"/>
    <w:p w14:paraId="0220D262" w14:textId="7DDE09C4" w:rsidR="00814B31" w:rsidRDefault="00814B31" w:rsidP="00774903">
      <w:pPr>
        <w:jc w:val="center"/>
      </w:pPr>
      <w:r>
        <w:rPr>
          <w:noProof/>
          <w:lang w:eastAsia="en-US"/>
        </w:rPr>
        <w:drawing>
          <wp:inline distT="0" distB="0" distL="0" distR="0" wp14:anchorId="688C1C50" wp14:editId="2C2761C2">
            <wp:extent cx="4322445" cy="1779905"/>
            <wp:effectExtent l="0" t="0" r="1905" b="0"/>
            <wp:docPr id="20229097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2445" cy="1779905"/>
                    </a:xfrm>
                    <a:prstGeom prst="rect">
                      <a:avLst/>
                    </a:prstGeom>
                    <a:noFill/>
                  </pic:spPr>
                </pic:pic>
              </a:graphicData>
            </a:graphic>
          </wp:inline>
        </w:drawing>
      </w:r>
    </w:p>
    <w:p w14:paraId="56F2517E" w14:textId="77777777" w:rsidR="00313EEA" w:rsidRDefault="00313EEA" w:rsidP="00313EEA">
      <w:pPr>
        <w:rPr>
          <w:rFonts w:cs="Times New Roman"/>
          <w:b/>
          <w:spacing w:val="4"/>
        </w:rPr>
      </w:pPr>
    </w:p>
    <w:p w14:paraId="1FA6BC4A" w14:textId="33C5B4F8" w:rsidR="00774903" w:rsidRPr="00774903" w:rsidRDefault="00313EEA" w:rsidP="00774903">
      <w:pPr>
        <w:rPr>
          <w:rFonts w:eastAsia="黑体" w:cs="Times New Roman"/>
          <w:sz w:val="20"/>
          <w:szCs w:val="20"/>
        </w:rPr>
      </w:pPr>
      <w:r w:rsidRPr="00313EEA">
        <w:rPr>
          <w:rFonts w:cs="Times New Roman"/>
          <w:b/>
          <w:spacing w:val="4"/>
        </w:rPr>
        <w:t>Figure</w:t>
      </w:r>
      <w:r w:rsidRPr="00313EEA">
        <w:rPr>
          <w:rFonts w:cs="Times New Roman"/>
          <w:b/>
          <w:spacing w:val="2"/>
        </w:rPr>
        <w:t xml:space="preserve"> </w:t>
      </w:r>
      <w:r w:rsidRPr="00313EEA">
        <w:rPr>
          <w:rFonts w:cs="Times New Roman"/>
          <w:b/>
          <w:spacing w:val="3"/>
        </w:rPr>
        <w:t>S</w:t>
      </w:r>
      <w:r>
        <w:rPr>
          <w:rFonts w:cs="Times New Roman"/>
          <w:b/>
          <w:spacing w:val="3"/>
        </w:rPr>
        <w:t>2</w:t>
      </w:r>
      <w:r w:rsidR="00774903">
        <w:rPr>
          <w:rFonts w:cs="Times New Roman"/>
          <w:b/>
          <w:spacing w:val="3"/>
        </w:rPr>
        <w:t xml:space="preserve">. </w:t>
      </w:r>
      <w:r w:rsidR="00774903" w:rsidRPr="00774903">
        <w:rPr>
          <w:rFonts w:eastAsia="黑体" w:cs="Times New Roman"/>
          <w:szCs w:val="21"/>
        </w:rPr>
        <w:t xml:space="preserve">NC and saRNA(C3) were transfected into K562 cells respectively, and the expression of proteins related to the regulation of cell proliferation was examined using </w:t>
      </w:r>
      <w:r w:rsidR="002E4E8F">
        <w:rPr>
          <w:rFonts w:eastAsia="黑体" w:cs="Times New Roman"/>
          <w:szCs w:val="21"/>
        </w:rPr>
        <w:t>w</w:t>
      </w:r>
      <w:r w:rsidR="00774903" w:rsidRPr="00774903">
        <w:rPr>
          <w:rFonts w:eastAsia="黑体" w:cs="Times New Roman"/>
          <w:szCs w:val="21"/>
        </w:rPr>
        <w:t xml:space="preserve">estern </w:t>
      </w:r>
      <w:r w:rsidR="002E4E8F">
        <w:rPr>
          <w:rFonts w:eastAsia="黑体" w:cs="Times New Roman"/>
          <w:szCs w:val="21"/>
        </w:rPr>
        <w:t>b</w:t>
      </w:r>
      <w:r w:rsidR="002E4E8F" w:rsidRPr="00774903">
        <w:rPr>
          <w:rFonts w:eastAsia="黑体" w:cs="Times New Roman"/>
          <w:szCs w:val="21"/>
        </w:rPr>
        <w:t>lot</w:t>
      </w:r>
      <w:r w:rsidR="002E4E8F">
        <w:rPr>
          <w:rFonts w:eastAsia="黑体" w:cs="Times New Roman"/>
          <w:szCs w:val="21"/>
        </w:rPr>
        <w:t>ting</w:t>
      </w:r>
      <w:r w:rsidR="002E4E8F" w:rsidRPr="00774903">
        <w:rPr>
          <w:rFonts w:eastAsia="黑体" w:cs="Times New Roman"/>
          <w:szCs w:val="21"/>
        </w:rPr>
        <w:t xml:space="preserve"> </w:t>
      </w:r>
      <w:r w:rsidR="00774903" w:rsidRPr="00774903">
        <w:rPr>
          <w:rFonts w:eastAsia="黑体" w:cs="Times New Roman"/>
          <w:szCs w:val="21"/>
        </w:rPr>
        <w:t>assays.</w:t>
      </w:r>
    </w:p>
    <w:p w14:paraId="4CC1898C" w14:textId="5008E6D4" w:rsidR="00313EEA" w:rsidRPr="00774903" w:rsidRDefault="005F6948" w:rsidP="00313EEA">
      <w:pPr>
        <w:rPr>
          <w:rFonts w:cs="Times New Roman"/>
        </w:rPr>
      </w:pPr>
      <w:r w:rsidRPr="005F6948">
        <w:rPr>
          <w:rFonts w:cs="Times New Roman"/>
        </w:rPr>
        <w:t>Activation of CDH13 in K562 cells did not affect the expression of cell proliferation-related proteins.</w:t>
      </w:r>
    </w:p>
    <w:p w14:paraId="3098D049" w14:textId="1E739A06" w:rsidR="002E4E8F" w:rsidRDefault="002E4E8F">
      <w:pPr>
        <w:widowControl/>
        <w:jc w:val="left"/>
      </w:pPr>
      <w:r>
        <w:br w:type="page"/>
      </w:r>
    </w:p>
    <w:p w14:paraId="53E88AE8" w14:textId="77777777" w:rsidR="00286E8F" w:rsidRDefault="00286E8F"/>
    <w:p w14:paraId="21DF28C6" w14:textId="77777777" w:rsidR="00286E8F" w:rsidRDefault="00286E8F"/>
    <w:p w14:paraId="7436D401" w14:textId="76700ED7" w:rsidR="00286E8F" w:rsidRDefault="00286E8F" w:rsidP="00774903">
      <w:pPr>
        <w:jc w:val="center"/>
      </w:pPr>
      <w:r>
        <w:rPr>
          <w:rFonts w:eastAsia="黑体" w:cs="Times New Roman"/>
          <w:noProof/>
          <w:sz w:val="20"/>
          <w:szCs w:val="20"/>
          <w:lang w:eastAsia="en-US"/>
        </w:rPr>
        <w:drawing>
          <wp:inline distT="0" distB="0" distL="0" distR="0" wp14:anchorId="43F63E46" wp14:editId="64D96F2D">
            <wp:extent cx="3440404" cy="3356385"/>
            <wp:effectExtent l="0" t="0" r="8255" b="0"/>
            <wp:docPr id="16523910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391074" name="图片 165239107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51643" cy="3367350"/>
                    </a:xfrm>
                    <a:prstGeom prst="rect">
                      <a:avLst/>
                    </a:prstGeom>
                  </pic:spPr>
                </pic:pic>
              </a:graphicData>
            </a:graphic>
          </wp:inline>
        </w:drawing>
      </w:r>
    </w:p>
    <w:p w14:paraId="64106574" w14:textId="42BC520E" w:rsidR="00774903" w:rsidRPr="00774903" w:rsidRDefault="00313EEA" w:rsidP="00774903">
      <w:pPr>
        <w:rPr>
          <w:rFonts w:eastAsia="黑体" w:cs="Times New Roman"/>
          <w:szCs w:val="21"/>
        </w:rPr>
      </w:pPr>
      <w:r w:rsidRPr="00313EEA">
        <w:rPr>
          <w:rFonts w:cs="Times New Roman"/>
          <w:b/>
          <w:spacing w:val="4"/>
        </w:rPr>
        <w:t>Figure</w:t>
      </w:r>
      <w:r w:rsidRPr="00313EEA">
        <w:rPr>
          <w:rFonts w:cs="Times New Roman"/>
          <w:b/>
          <w:spacing w:val="2"/>
        </w:rPr>
        <w:t xml:space="preserve"> </w:t>
      </w:r>
      <w:r w:rsidRPr="00313EEA">
        <w:rPr>
          <w:rFonts w:cs="Times New Roman"/>
          <w:b/>
          <w:spacing w:val="3"/>
        </w:rPr>
        <w:t>S</w:t>
      </w:r>
      <w:r>
        <w:rPr>
          <w:rFonts w:cs="Times New Roman"/>
          <w:b/>
          <w:spacing w:val="3"/>
        </w:rPr>
        <w:t>3</w:t>
      </w:r>
      <w:r w:rsidR="00774903">
        <w:rPr>
          <w:rFonts w:cs="Times New Roman"/>
          <w:b/>
          <w:spacing w:val="3"/>
        </w:rPr>
        <w:t>.</w:t>
      </w:r>
      <w:r w:rsidR="00774903" w:rsidRPr="00774903">
        <w:rPr>
          <w:rFonts w:cs="Times New Roman"/>
          <w:b/>
          <w:spacing w:val="3"/>
          <w:sz w:val="22"/>
          <w:szCs w:val="24"/>
        </w:rPr>
        <w:t xml:space="preserve"> </w:t>
      </w:r>
      <w:r w:rsidR="00774903" w:rsidRPr="00774903">
        <w:rPr>
          <w:rFonts w:eastAsia="黑体" w:cs="Times New Roman"/>
          <w:szCs w:val="21"/>
        </w:rPr>
        <w:t>The mutation sites of BCR-ABL1 in K562-IMR were analyzed and sequenced. There were no commo</w:t>
      </w:r>
      <w:r w:rsidR="002E4E8F">
        <w:rPr>
          <w:rFonts w:eastAsia="黑体" w:cs="Times New Roman"/>
          <w:szCs w:val="21"/>
        </w:rPr>
        <w:t xml:space="preserve">nly known </w:t>
      </w:r>
      <w:r w:rsidR="00774903" w:rsidRPr="00774903">
        <w:rPr>
          <w:rFonts w:eastAsia="黑体" w:cs="Times New Roman"/>
          <w:szCs w:val="21"/>
        </w:rPr>
        <w:t xml:space="preserve">mutations of BCR-ABL1 such as T315I in </w:t>
      </w:r>
      <w:r w:rsidR="002E4E8F">
        <w:rPr>
          <w:rFonts w:eastAsia="黑体" w:cs="Times New Roman"/>
          <w:szCs w:val="21"/>
        </w:rPr>
        <w:t xml:space="preserve">the </w:t>
      </w:r>
      <w:r w:rsidR="00774903" w:rsidRPr="00774903">
        <w:rPr>
          <w:rFonts w:eastAsia="黑体" w:cs="Times New Roman"/>
          <w:szCs w:val="21"/>
        </w:rPr>
        <w:t>cell lines, indicating that CML resistant cell lines are imatinib resistant strains independent of BCR-ABL1.</w:t>
      </w:r>
    </w:p>
    <w:p w14:paraId="259402F1" w14:textId="64110D46" w:rsidR="00313EEA" w:rsidRPr="00774903" w:rsidRDefault="00313EEA" w:rsidP="00313EEA">
      <w:pPr>
        <w:rPr>
          <w:rFonts w:cs="Times New Roman"/>
        </w:rPr>
      </w:pPr>
    </w:p>
    <w:p w14:paraId="73BB6188" w14:textId="77777777" w:rsidR="00286E8F" w:rsidRDefault="00286E8F"/>
    <w:p w14:paraId="7D3B49DA" w14:textId="3124793A" w:rsidR="002E4E8F" w:rsidRDefault="002E4E8F">
      <w:pPr>
        <w:widowControl/>
        <w:jc w:val="left"/>
      </w:pPr>
      <w:r>
        <w:br w:type="page"/>
      </w:r>
    </w:p>
    <w:p w14:paraId="5F4B7EDC" w14:textId="77777777" w:rsidR="00286E8F" w:rsidRDefault="00286E8F"/>
    <w:p w14:paraId="532FF7A9" w14:textId="4503981C" w:rsidR="00286E8F" w:rsidRDefault="00286E8F">
      <w:r>
        <w:rPr>
          <w:noProof/>
          <w:lang w:eastAsia="en-US"/>
        </w:rPr>
        <w:drawing>
          <wp:inline distT="0" distB="0" distL="0" distR="0" wp14:anchorId="7626945D" wp14:editId="5BB1A2B8">
            <wp:extent cx="2480649" cy="2820273"/>
            <wp:effectExtent l="0" t="0" r="0" b="0"/>
            <wp:docPr id="5197645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06848" cy="2850058"/>
                    </a:xfrm>
                    <a:prstGeom prst="rect">
                      <a:avLst/>
                    </a:prstGeom>
                    <a:noFill/>
                  </pic:spPr>
                </pic:pic>
              </a:graphicData>
            </a:graphic>
          </wp:inline>
        </w:drawing>
      </w:r>
      <w:r>
        <w:rPr>
          <w:rFonts w:cs="Times New Roman"/>
          <w:noProof/>
          <w:color w:val="212121"/>
          <w:shd w:val="clear" w:color="auto" w:fill="FFFFFF"/>
          <w:lang w:eastAsia="en-US"/>
        </w:rPr>
        <w:drawing>
          <wp:inline distT="0" distB="0" distL="0" distR="0" wp14:anchorId="35EF3E3E" wp14:editId="2F184632">
            <wp:extent cx="2540000" cy="2779720"/>
            <wp:effectExtent l="0" t="0" r="0" b="1905"/>
            <wp:docPr id="147759408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594085" name="图片 147759408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72755" cy="2815566"/>
                    </a:xfrm>
                    <a:prstGeom prst="rect">
                      <a:avLst/>
                    </a:prstGeom>
                  </pic:spPr>
                </pic:pic>
              </a:graphicData>
            </a:graphic>
          </wp:inline>
        </w:drawing>
      </w:r>
    </w:p>
    <w:p w14:paraId="0C5C9F68" w14:textId="6FFF800F" w:rsidR="00774903" w:rsidRPr="00774903" w:rsidRDefault="00313EEA" w:rsidP="00774903">
      <w:pPr>
        <w:rPr>
          <w:rFonts w:eastAsia="宋体" w:cs="Times New Roman"/>
          <w:color w:val="212121"/>
          <w:szCs w:val="20"/>
          <w:shd w:val="clear" w:color="auto" w:fill="FFFFFF"/>
        </w:rPr>
      </w:pPr>
      <w:r w:rsidRPr="00313EEA">
        <w:rPr>
          <w:rFonts w:cs="Times New Roman"/>
          <w:b/>
          <w:spacing w:val="4"/>
        </w:rPr>
        <w:t>Figure</w:t>
      </w:r>
      <w:r w:rsidRPr="00313EEA">
        <w:rPr>
          <w:rFonts w:cs="Times New Roman"/>
          <w:b/>
          <w:spacing w:val="2"/>
        </w:rPr>
        <w:t xml:space="preserve"> </w:t>
      </w:r>
      <w:r w:rsidRPr="00313EEA">
        <w:rPr>
          <w:rFonts w:cs="Times New Roman"/>
          <w:b/>
          <w:spacing w:val="3"/>
        </w:rPr>
        <w:t>S</w:t>
      </w:r>
      <w:r>
        <w:rPr>
          <w:rFonts w:cs="Times New Roman"/>
          <w:b/>
          <w:spacing w:val="3"/>
        </w:rPr>
        <w:t>4</w:t>
      </w:r>
      <w:r w:rsidR="00774903">
        <w:rPr>
          <w:rFonts w:cs="Times New Roman"/>
          <w:b/>
          <w:spacing w:val="3"/>
        </w:rPr>
        <w:t xml:space="preserve">. </w:t>
      </w:r>
      <w:r w:rsidR="00774903" w:rsidRPr="00774903">
        <w:rPr>
          <w:rFonts w:eastAsia="宋体" w:cs="Times New Roman"/>
          <w:color w:val="212121"/>
          <w:szCs w:val="20"/>
          <w:shd w:val="clear" w:color="auto" w:fill="FFFFFF"/>
        </w:rPr>
        <w:t>The proportion of cells with early versus late apoptosis was detected by flow cytometry after saRNA (C2,C3) transfection into K562-IMR</w:t>
      </w:r>
      <w:r w:rsidR="00774903">
        <w:rPr>
          <w:rFonts w:eastAsia="宋体" w:cs="Times New Roman"/>
          <w:color w:val="212121"/>
          <w:szCs w:val="20"/>
          <w:shd w:val="clear" w:color="auto" w:fill="FFFFFF"/>
        </w:rPr>
        <w:t xml:space="preserve"> and KCL22-IMR</w:t>
      </w:r>
      <w:r w:rsidR="00774903" w:rsidRPr="00774903">
        <w:rPr>
          <w:rFonts w:eastAsia="宋体" w:cs="Times New Roman"/>
          <w:color w:val="212121"/>
          <w:szCs w:val="20"/>
          <w:shd w:val="clear" w:color="auto" w:fill="FFFFFF"/>
        </w:rPr>
        <w:t xml:space="preserve"> cells.</w:t>
      </w:r>
      <w:r w:rsidR="005B78E3">
        <w:rPr>
          <w:rFonts w:eastAsia="宋体" w:cs="Times New Roman"/>
          <w:color w:val="212121"/>
          <w:szCs w:val="20"/>
          <w:shd w:val="clear" w:color="auto" w:fill="FFFFFF"/>
        </w:rPr>
        <w:t xml:space="preserve"> </w:t>
      </w:r>
      <w:r w:rsidR="005B78E3" w:rsidRPr="005B78E3">
        <w:rPr>
          <w:rFonts w:eastAsia="宋体" w:cs="Times New Roman"/>
          <w:color w:val="212121"/>
          <w:szCs w:val="20"/>
          <w:shd w:val="clear" w:color="auto" w:fill="FFFFFF"/>
        </w:rPr>
        <w:t xml:space="preserve">After </w:t>
      </w:r>
      <w:proofErr w:type="spellStart"/>
      <w:r w:rsidR="005B78E3" w:rsidRPr="005B78E3">
        <w:rPr>
          <w:rFonts w:eastAsia="宋体" w:cs="Times New Roman"/>
          <w:color w:val="212121"/>
          <w:szCs w:val="20"/>
          <w:shd w:val="clear" w:color="auto" w:fill="FFFFFF"/>
        </w:rPr>
        <w:t>saRNA</w:t>
      </w:r>
      <w:proofErr w:type="spellEnd"/>
      <w:r w:rsidR="005B78E3" w:rsidRPr="005B78E3">
        <w:rPr>
          <w:rFonts w:eastAsia="宋体" w:cs="Times New Roman"/>
          <w:color w:val="212121"/>
          <w:szCs w:val="20"/>
          <w:shd w:val="clear" w:color="auto" w:fill="FFFFFF"/>
        </w:rPr>
        <w:t xml:space="preserve"> (C</w:t>
      </w:r>
      <w:proofErr w:type="gramStart"/>
      <w:r w:rsidR="005B78E3" w:rsidRPr="005B78E3">
        <w:rPr>
          <w:rFonts w:eastAsia="宋体" w:cs="Times New Roman"/>
          <w:color w:val="212121"/>
          <w:szCs w:val="20"/>
          <w:shd w:val="clear" w:color="auto" w:fill="FFFFFF"/>
        </w:rPr>
        <w:t>2,C</w:t>
      </w:r>
      <w:proofErr w:type="gramEnd"/>
      <w:r w:rsidR="005B78E3" w:rsidRPr="005B78E3">
        <w:rPr>
          <w:rFonts w:eastAsia="宋体" w:cs="Times New Roman"/>
          <w:color w:val="212121"/>
          <w:szCs w:val="20"/>
          <w:shd w:val="clear" w:color="auto" w:fill="FFFFFF"/>
        </w:rPr>
        <w:t xml:space="preserve">3) activates CDH13 </w:t>
      </w:r>
      <w:r w:rsidR="002E4E8F">
        <w:rPr>
          <w:rFonts w:eastAsia="宋体" w:cs="Times New Roman"/>
          <w:color w:val="212121"/>
          <w:szCs w:val="20"/>
          <w:shd w:val="clear" w:color="auto" w:fill="FFFFFF"/>
        </w:rPr>
        <w:t>and</w:t>
      </w:r>
      <w:r w:rsidR="002E4E8F" w:rsidRPr="005B78E3">
        <w:rPr>
          <w:rFonts w:eastAsia="宋体" w:cs="Times New Roman"/>
          <w:color w:val="212121"/>
          <w:szCs w:val="20"/>
          <w:shd w:val="clear" w:color="auto" w:fill="FFFFFF"/>
        </w:rPr>
        <w:t xml:space="preserve"> </w:t>
      </w:r>
      <w:r w:rsidR="005B78E3" w:rsidRPr="005B78E3">
        <w:rPr>
          <w:rFonts w:eastAsia="宋体" w:cs="Times New Roman"/>
          <w:color w:val="212121"/>
          <w:szCs w:val="20"/>
          <w:shd w:val="clear" w:color="auto" w:fill="FFFFFF"/>
        </w:rPr>
        <w:t>promotes apoptosis in K562-IMR and KCL22-IMR cells.</w:t>
      </w:r>
    </w:p>
    <w:p w14:paraId="47E4BC3D" w14:textId="585C14B9" w:rsidR="00313EEA" w:rsidRPr="00774903" w:rsidRDefault="00313EEA" w:rsidP="00313EEA">
      <w:pPr>
        <w:rPr>
          <w:rFonts w:cs="Times New Roman"/>
        </w:rPr>
      </w:pPr>
    </w:p>
    <w:p w14:paraId="57800A74" w14:textId="38E0B4F0" w:rsidR="002E4E8F" w:rsidRDefault="002E4E8F">
      <w:pPr>
        <w:widowControl/>
        <w:jc w:val="left"/>
      </w:pPr>
      <w:r>
        <w:br w:type="page"/>
      </w:r>
    </w:p>
    <w:p w14:paraId="0CEC98AC" w14:textId="77777777" w:rsidR="00F1328D" w:rsidRDefault="00F1328D" w:rsidP="00F1328D"/>
    <w:p w14:paraId="6BA9B182" w14:textId="77777777" w:rsidR="00F1328D" w:rsidRDefault="00F1328D" w:rsidP="00774903">
      <w:pPr>
        <w:jc w:val="center"/>
      </w:pPr>
      <w:r>
        <w:rPr>
          <w:noProof/>
          <w:lang w:eastAsia="en-US"/>
        </w:rPr>
        <w:drawing>
          <wp:inline distT="0" distB="0" distL="0" distR="0" wp14:anchorId="257E0431" wp14:editId="6C9680D5">
            <wp:extent cx="2520000" cy="1809083"/>
            <wp:effectExtent l="0" t="0" r="0" b="1270"/>
            <wp:docPr id="5174205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20000" cy="1809083"/>
                    </a:xfrm>
                    <a:prstGeom prst="rect">
                      <a:avLst/>
                    </a:prstGeom>
                    <a:noFill/>
                    <a:ln>
                      <a:noFill/>
                    </a:ln>
                  </pic:spPr>
                </pic:pic>
              </a:graphicData>
            </a:graphic>
          </wp:inline>
        </w:drawing>
      </w:r>
    </w:p>
    <w:p w14:paraId="680BBCD0" w14:textId="40E960A9" w:rsidR="00F1328D" w:rsidRPr="00313EEA" w:rsidRDefault="00F1328D" w:rsidP="00F1328D">
      <w:pPr>
        <w:rPr>
          <w:rFonts w:cs="Times New Roman"/>
        </w:rPr>
      </w:pPr>
      <w:r w:rsidRPr="00313EEA">
        <w:rPr>
          <w:rFonts w:cs="Times New Roman"/>
          <w:b/>
          <w:spacing w:val="4"/>
        </w:rPr>
        <w:t>Figure</w:t>
      </w:r>
      <w:r w:rsidRPr="00313EEA">
        <w:rPr>
          <w:rFonts w:cs="Times New Roman"/>
          <w:b/>
          <w:spacing w:val="2"/>
        </w:rPr>
        <w:t xml:space="preserve"> </w:t>
      </w:r>
      <w:r w:rsidRPr="00313EEA">
        <w:rPr>
          <w:rFonts w:cs="Times New Roman"/>
          <w:b/>
          <w:spacing w:val="3"/>
        </w:rPr>
        <w:t>S</w:t>
      </w:r>
      <w:r>
        <w:rPr>
          <w:rFonts w:cs="Times New Roman"/>
          <w:b/>
          <w:spacing w:val="3"/>
        </w:rPr>
        <w:t>5</w:t>
      </w:r>
      <w:r w:rsidR="00774903">
        <w:rPr>
          <w:rFonts w:cs="Times New Roman"/>
          <w:b/>
          <w:spacing w:val="3"/>
        </w:rPr>
        <w:t xml:space="preserve">. </w:t>
      </w:r>
      <w:r w:rsidR="00774903" w:rsidRPr="00774903">
        <w:rPr>
          <w:rFonts w:eastAsia="黑体" w:cs="Times New Roman"/>
          <w:szCs w:val="21"/>
        </w:rPr>
        <w:t>NC and saRNA (C3) were transfected into K562-IMR cells</w:t>
      </w:r>
      <w:r w:rsidR="002E4E8F">
        <w:rPr>
          <w:rFonts w:eastAsia="黑体" w:cs="Times New Roman"/>
          <w:szCs w:val="21"/>
        </w:rPr>
        <w:t>,</w:t>
      </w:r>
      <w:r w:rsidR="00774903" w:rsidRPr="00774903">
        <w:rPr>
          <w:rFonts w:eastAsia="黑体" w:cs="Times New Roman"/>
          <w:szCs w:val="21"/>
        </w:rPr>
        <w:t xml:space="preserve"> respectively</w:t>
      </w:r>
      <w:r w:rsidR="00E824D2">
        <w:rPr>
          <w:rFonts w:eastAsia="黑体" w:cs="Times New Roman"/>
          <w:szCs w:val="21"/>
        </w:rPr>
        <w:t>. The expression of</w:t>
      </w:r>
      <w:r w:rsidR="00774903" w:rsidRPr="00774903">
        <w:rPr>
          <w:rFonts w:eastAsia="黑体" w:cs="Times New Roman"/>
          <w:szCs w:val="21"/>
        </w:rPr>
        <w:t xml:space="preserve"> </w:t>
      </w:r>
      <w:r w:rsidR="00E824D2">
        <w:rPr>
          <w:rFonts w:eastAsia="黑体" w:cs="Times New Roman"/>
          <w:szCs w:val="21"/>
        </w:rPr>
        <w:t xml:space="preserve">SAPK/JNK and FADD </w:t>
      </w:r>
      <w:r w:rsidR="002E4E8F">
        <w:rPr>
          <w:rFonts w:eastAsia="黑体" w:cs="Times New Roman"/>
          <w:szCs w:val="21"/>
        </w:rPr>
        <w:t xml:space="preserve">showed </w:t>
      </w:r>
      <w:r w:rsidR="00E824D2">
        <w:rPr>
          <w:rFonts w:eastAsia="黑体" w:cs="Times New Roman"/>
          <w:szCs w:val="21"/>
        </w:rPr>
        <w:t>no changes</w:t>
      </w:r>
      <w:r w:rsidR="002E4E8F">
        <w:rPr>
          <w:rFonts w:eastAsia="黑体" w:cs="Times New Roman"/>
          <w:szCs w:val="21"/>
        </w:rPr>
        <w:t xml:space="preserve"> in expression</w:t>
      </w:r>
      <w:r w:rsidR="00774903" w:rsidRPr="00774903">
        <w:rPr>
          <w:rFonts w:eastAsia="黑体" w:cs="Times New Roman"/>
          <w:szCs w:val="21"/>
        </w:rPr>
        <w:t xml:space="preserve"> using </w:t>
      </w:r>
      <w:r w:rsidR="002E4E8F">
        <w:rPr>
          <w:rFonts w:eastAsia="黑体" w:cs="Times New Roman"/>
          <w:szCs w:val="21"/>
        </w:rPr>
        <w:t>the w</w:t>
      </w:r>
      <w:r w:rsidR="002E4E8F" w:rsidRPr="00774903">
        <w:rPr>
          <w:rFonts w:eastAsia="黑体" w:cs="Times New Roman"/>
          <w:szCs w:val="21"/>
        </w:rPr>
        <w:t xml:space="preserve">estern </w:t>
      </w:r>
      <w:r w:rsidR="00774903" w:rsidRPr="00774903">
        <w:rPr>
          <w:rFonts w:eastAsia="黑体" w:cs="Times New Roman"/>
          <w:szCs w:val="21"/>
        </w:rPr>
        <w:t>Blot</w:t>
      </w:r>
      <w:r w:rsidR="002E4E8F">
        <w:rPr>
          <w:rFonts w:eastAsia="黑体" w:cs="Times New Roman"/>
          <w:szCs w:val="21"/>
        </w:rPr>
        <w:t>ting</w:t>
      </w:r>
      <w:r w:rsidR="00774903" w:rsidRPr="00774903">
        <w:rPr>
          <w:rFonts w:eastAsia="黑体" w:cs="Times New Roman"/>
          <w:szCs w:val="21"/>
        </w:rPr>
        <w:t xml:space="preserve"> assay.</w:t>
      </w:r>
    </w:p>
    <w:p w14:paraId="255769AE" w14:textId="1B560FB6" w:rsidR="002E4E8F" w:rsidRDefault="002E4E8F">
      <w:pPr>
        <w:widowControl/>
        <w:jc w:val="left"/>
      </w:pPr>
      <w:r>
        <w:br w:type="page"/>
      </w:r>
    </w:p>
    <w:p w14:paraId="4FA57F19" w14:textId="77777777" w:rsidR="00F1328D" w:rsidRDefault="00F1328D" w:rsidP="00F1328D"/>
    <w:p w14:paraId="3EECF20C" w14:textId="772D57CD" w:rsidR="00814B31" w:rsidRDefault="00814B31">
      <w:r>
        <w:rPr>
          <w:rFonts w:eastAsia="黑体" w:cs="Times New Roman"/>
          <w:noProof/>
          <w:sz w:val="20"/>
          <w:szCs w:val="20"/>
          <w:lang w:eastAsia="en-US"/>
        </w:rPr>
        <w:drawing>
          <wp:inline distT="0" distB="0" distL="0" distR="0" wp14:anchorId="218E546D" wp14:editId="6C49A44C">
            <wp:extent cx="4680000" cy="2212682"/>
            <wp:effectExtent l="0" t="0" r="6350" b="0"/>
            <wp:docPr id="18019540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954028" name="图片 180195402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680000" cy="2212682"/>
                    </a:xfrm>
                    <a:prstGeom prst="rect">
                      <a:avLst/>
                    </a:prstGeom>
                  </pic:spPr>
                </pic:pic>
              </a:graphicData>
            </a:graphic>
          </wp:inline>
        </w:drawing>
      </w:r>
    </w:p>
    <w:p w14:paraId="68E07E2B" w14:textId="542E115B" w:rsidR="00774903" w:rsidRPr="00774903" w:rsidRDefault="00313EEA" w:rsidP="00774903">
      <w:pPr>
        <w:rPr>
          <w:rFonts w:eastAsia="黑体" w:cs="Times New Roman"/>
          <w:szCs w:val="21"/>
        </w:rPr>
      </w:pPr>
      <w:r w:rsidRPr="00313EEA">
        <w:rPr>
          <w:rFonts w:cs="Times New Roman"/>
          <w:b/>
          <w:spacing w:val="4"/>
        </w:rPr>
        <w:t>Figure</w:t>
      </w:r>
      <w:r w:rsidRPr="00313EEA">
        <w:rPr>
          <w:rFonts w:cs="Times New Roman"/>
          <w:b/>
          <w:spacing w:val="2"/>
        </w:rPr>
        <w:t xml:space="preserve"> </w:t>
      </w:r>
      <w:r w:rsidRPr="00313EEA">
        <w:rPr>
          <w:rFonts w:cs="Times New Roman"/>
          <w:b/>
          <w:spacing w:val="3"/>
        </w:rPr>
        <w:t>S</w:t>
      </w:r>
      <w:r w:rsidR="00F1328D">
        <w:rPr>
          <w:rFonts w:cs="Times New Roman"/>
          <w:b/>
          <w:spacing w:val="3"/>
        </w:rPr>
        <w:t>6</w:t>
      </w:r>
      <w:r w:rsidR="00774903">
        <w:rPr>
          <w:rFonts w:cs="Times New Roman"/>
          <w:b/>
          <w:spacing w:val="3"/>
        </w:rPr>
        <w:t xml:space="preserve">. </w:t>
      </w:r>
      <w:r w:rsidR="00774903" w:rsidRPr="00774903">
        <w:rPr>
          <w:rFonts w:eastAsia="黑体" w:cs="Times New Roman"/>
          <w:szCs w:val="21"/>
        </w:rPr>
        <w:t>Identification of K562-IMR/luciferase cells. (A) Enzyme marker showing luciferase activity proportional to cell number</w:t>
      </w:r>
      <w:r w:rsidR="002E4E8F">
        <w:rPr>
          <w:rFonts w:eastAsia="黑体" w:cs="Times New Roman"/>
          <w:szCs w:val="21"/>
        </w:rPr>
        <w:t>.</w:t>
      </w:r>
      <w:r w:rsidR="00774903" w:rsidRPr="00774903">
        <w:rPr>
          <w:rFonts w:eastAsia="黑体" w:cs="Times New Roman"/>
          <w:szCs w:val="21"/>
        </w:rPr>
        <w:t xml:space="preserve"> (B) Small animal live imaging system showing fluorescence intensity proportional to cell number.</w:t>
      </w:r>
      <w:r w:rsidR="005B78E3">
        <w:rPr>
          <w:rFonts w:eastAsia="黑体" w:cs="Times New Roman"/>
          <w:szCs w:val="21"/>
        </w:rPr>
        <w:t xml:space="preserve"> </w:t>
      </w:r>
      <w:r w:rsidR="005B78E3" w:rsidRPr="005B78E3">
        <w:rPr>
          <w:rFonts w:eastAsia="黑体" w:cs="Times New Roman"/>
          <w:szCs w:val="21"/>
        </w:rPr>
        <w:t>The results showed that K562-IMR</w:t>
      </w:r>
      <w:r w:rsidR="005B78E3" w:rsidRPr="005B78E3">
        <w:rPr>
          <w:rFonts w:eastAsia="黑体" w:cs="Times New Roman"/>
          <w:szCs w:val="21"/>
          <w:vertAlign w:val="superscript"/>
        </w:rPr>
        <w:t>Luc</w:t>
      </w:r>
      <w:r w:rsidR="005B78E3" w:rsidRPr="005B78E3">
        <w:rPr>
          <w:rFonts w:eastAsia="黑体" w:cs="Times New Roman"/>
          <w:szCs w:val="21"/>
        </w:rPr>
        <w:t xml:space="preserve"> cells were successfully constructed.</w:t>
      </w:r>
    </w:p>
    <w:p w14:paraId="48BC604F" w14:textId="0755240C" w:rsidR="00313EEA" w:rsidRPr="00774903" w:rsidRDefault="00313EEA" w:rsidP="00313EEA">
      <w:pPr>
        <w:rPr>
          <w:rFonts w:cs="Times New Roman"/>
        </w:rPr>
      </w:pPr>
    </w:p>
    <w:p w14:paraId="02AD2FF6" w14:textId="77777777" w:rsidR="00814B31" w:rsidRDefault="00814B31"/>
    <w:sectPr w:rsidR="00814B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139A4" w14:textId="77777777" w:rsidR="00B8292A" w:rsidRDefault="00B8292A" w:rsidP="00814B31">
      <w:r>
        <w:separator/>
      </w:r>
    </w:p>
  </w:endnote>
  <w:endnote w:type="continuationSeparator" w:id="0">
    <w:p w14:paraId="7014B32C" w14:textId="77777777" w:rsidR="00B8292A" w:rsidRDefault="00B8292A" w:rsidP="00814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altName w:val="Segoe Print"/>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E283D" w14:textId="77777777" w:rsidR="00B8292A" w:rsidRDefault="00B8292A" w:rsidP="00814B31">
      <w:r>
        <w:separator/>
      </w:r>
    </w:p>
  </w:footnote>
  <w:footnote w:type="continuationSeparator" w:id="0">
    <w:p w14:paraId="2E6F64FB" w14:textId="77777777" w:rsidR="00B8292A" w:rsidRDefault="00B8292A" w:rsidP="00814B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removePersonalInformation/>
  <w:removeDateAndTim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1B0C"/>
    <w:rsid w:val="00030F57"/>
    <w:rsid w:val="000446E8"/>
    <w:rsid w:val="000F7896"/>
    <w:rsid w:val="00114F2F"/>
    <w:rsid w:val="001703D5"/>
    <w:rsid w:val="001B7029"/>
    <w:rsid w:val="001C7B4D"/>
    <w:rsid w:val="00221A59"/>
    <w:rsid w:val="002441C9"/>
    <w:rsid w:val="0025114D"/>
    <w:rsid w:val="00256F49"/>
    <w:rsid w:val="0027013B"/>
    <w:rsid w:val="00284B47"/>
    <w:rsid w:val="00286E8F"/>
    <w:rsid w:val="002A086A"/>
    <w:rsid w:val="002A31E2"/>
    <w:rsid w:val="002D6326"/>
    <w:rsid w:val="002E4E8F"/>
    <w:rsid w:val="00303042"/>
    <w:rsid w:val="00313EEA"/>
    <w:rsid w:val="003F46D8"/>
    <w:rsid w:val="003F75EB"/>
    <w:rsid w:val="004126AF"/>
    <w:rsid w:val="00425D57"/>
    <w:rsid w:val="00447D2D"/>
    <w:rsid w:val="004B7E8F"/>
    <w:rsid w:val="004E0ED6"/>
    <w:rsid w:val="0050632C"/>
    <w:rsid w:val="00543CE9"/>
    <w:rsid w:val="00572F19"/>
    <w:rsid w:val="00592E98"/>
    <w:rsid w:val="005B78E3"/>
    <w:rsid w:val="005E0C77"/>
    <w:rsid w:val="005E4720"/>
    <w:rsid w:val="005F6948"/>
    <w:rsid w:val="00696607"/>
    <w:rsid w:val="006F3C02"/>
    <w:rsid w:val="00774903"/>
    <w:rsid w:val="007A3EF4"/>
    <w:rsid w:val="007B5665"/>
    <w:rsid w:val="00814B31"/>
    <w:rsid w:val="00825D12"/>
    <w:rsid w:val="008350E7"/>
    <w:rsid w:val="00843C22"/>
    <w:rsid w:val="008842B5"/>
    <w:rsid w:val="00884C67"/>
    <w:rsid w:val="008F3935"/>
    <w:rsid w:val="009139A0"/>
    <w:rsid w:val="009308F6"/>
    <w:rsid w:val="00961799"/>
    <w:rsid w:val="00973886"/>
    <w:rsid w:val="00A17C85"/>
    <w:rsid w:val="00A35303"/>
    <w:rsid w:val="00A43267"/>
    <w:rsid w:val="00B37C59"/>
    <w:rsid w:val="00B62DA2"/>
    <w:rsid w:val="00B8292A"/>
    <w:rsid w:val="00B93DF2"/>
    <w:rsid w:val="00C136FB"/>
    <w:rsid w:val="00C22348"/>
    <w:rsid w:val="00C33AC3"/>
    <w:rsid w:val="00C52B97"/>
    <w:rsid w:val="00C606D1"/>
    <w:rsid w:val="00C97909"/>
    <w:rsid w:val="00CB3576"/>
    <w:rsid w:val="00D37B1D"/>
    <w:rsid w:val="00DF2F39"/>
    <w:rsid w:val="00E02D77"/>
    <w:rsid w:val="00E75C07"/>
    <w:rsid w:val="00E824D2"/>
    <w:rsid w:val="00EB3B29"/>
    <w:rsid w:val="00ED24AA"/>
    <w:rsid w:val="00EF50D3"/>
    <w:rsid w:val="00F1328D"/>
    <w:rsid w:val="00F26134"/>
    <w:rsid w:val="00F431A8"/>
    <w:rsid w:val="00F52F4F"/>
    <w:rsid w:val="00F61B0C"/>
    <w:rsid w:val="00FB3149"/>
    <w:rsid w:val="00FC584B"/>
    <w:rsid w:val="00FD1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FEBD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4F2F"/>
    <w:pPr>
      <w:widowControl w:val="0"/>
      <w:spacing w:line="360" w:lineRule="auto"/>
      <w:jc w:val="both"/>
    </w:pPr>
    <w:rPr>
      <w:rFonts w:ascii="Times New Roman" w:eastAsia="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9308F6"/>
    <w:tblPr>
      <w:tblBorders>
        <w:top w:val="single" w:sz="12" w:space="0" w:color="auto"/>
        <w:bottom w:val="single" w:sz="12" w:space="0" w:color="auto"/>
      </w:tblBorders>
    </w:tblPr>
    <w:tblStylePr w:type="firstRow">
      <w:tblPr/>
      <w:tcPr>
        <w:tcBorders>
          <w:bottom w:val="single" w:sz="4" w:space="0" w:color="auto"/>
        </w:tcBorders>
      </w:tcPr>
    </w:tblStylePr>
  </w:style>
  <w:style w:type="paragraph" w:styleId="a4">
    <w:name w:val="header"/>
    <w:basedOn w:val="a"/>
    <w:link w:val="a5"/>
    <w:uiPriority w:val="99"/>
    <w:unhideWhenUsed/>
    <w:rsid w:val="00814B31"/>
    <w:pPr>
      <w:tabs>
        <w:tab w:val="center" w:pos="4153"/>
        <w:tab w:val="right" w:pos="8306"/>
      </w:tabs>
      <w:snapToGrid w:val="0"/>
      <w:jc w:val="center"/>
    </w:pPr>
    <w:rPr>
      <w:sz w:val="18"/>
      <w:szCs w:val="18"/>
    </w:rPr>
  </w:style>
  <w:style w:type="character" w:customStyle="1" w:styleId="a5">
    <w:name w:val="页眉 字符"/>
    <w:basedOn w:val="a0"/>
    <w:link w:val="a4"/>
    <w:uiPriority w:val="99"/>
    <w:rsid w:val="00814B31"/>
    <w:rPr>
      <w:sz w:val="18"/>
      <w:szCs w:val="18"/>
    </w:rPr>
  </w:style>
  <w:style w:type="paragraph" w:styleId="a6">
    <w:name w:val="footer"/>
    <w:basedOn w:val="a"/>
    <w:link w:val="a7"/>
    <w:uiPriority w:val="99"/>
    <w:unhideWhenUsed/>
    <w:rsid w:val="00814B31"/>
    <w:pPr>
      <w:tabs>
        <w:tab w:val="center" w:pos="4153"/>
        <w:tab w:val="right" w:pos="8306"/>
      </w:tabs>
      <w:snapToGrid w:val="0"/>
      <w:jc w:val="left"/>
    </w:pPr>
    <w:rPr>
      <w:sz w:val="18"/>
      <w:szCs w:val="18"/>
    </w:rPr>
  </w:style>
  <w:style w:type="character" w:customStyle="1" w:styleId="a7">
    <w:name w:val="页脚 字符"/>
    <w:basedOn w:val="a0"/>
    <w:link w:val="a6"/>
    <w:uiPriority w:val="99"/>
    <w:rsid w:val="00814B31"/>
    <w:rPr>
      <w:sz w:val="18"/>
      <w:szCs w:val="18"/>
    </w:rPr>
  </w:style>
  <w:style w:type="character" w:styleId="a8">
    <w:name w:val="annotation reference"/>
    <w:basedOn w:val="a0"/>
    <w:uiPriority w:val="99"/>
    <w:semiHidden/>
    <w:unhideWhenUsed/>
    <w:rsid w:val="00A35303"/>
    <w:rPr>
      <w:sz w:val="16"/>
      <w:szCs w:val="16"/>
    </w:rPr>
  </w:style>
  <w:style w:type="paragraph" w:styleId="a9">
    <w:name w:val="annotation text"/>
    <w:basedOn w:val="a"/>
    <w:link w:val="aa"/>
    <w:uiPriority w:val="99"/>
    <w:semiHidden/>
    <w:unhideWhenUsed/>
    <w:rsid w:val="00A35303"/>
    <w:rPr>
      <w:sz w:val="20"/>
      <w:szCs w:val="20"/>
    </w:rPr>
  </w:style>
  <w:style w:type="character" w:customStyle="1" w:styleId="aa">
    <w:name w:val="批注文字 字符"/>
    <w:basedOn w:val="a0"/>
    <w:link w:val="a9"/>
    <w:uiPriority w:val="99"/>
    <w:semiHidden/>
    <w:rsid w:val="00A35303"/>
    <w:rPr>
      <w:sz w:val="20"/>
      <w:szCs w:val="20"/>
    </w:rPr>
  </w:style>
  <w:style w:type="paragraph" w:styleId="ab">
    <w:name w:val="annotation subject"/>
    <w:basedOn w:val="a9"/>
    <w:next w:val="a9"/>
    <w:link w:val="ac"/>
    <w:uiPriority w:val="99"/>
    <w:semiHidden/>
    <w:unhideWhenUsed/>
    <w:rsid w:val="00A35303"/>
    <w:rPr>
      <w:b/>
      <w:bCs/>
    </w:rPr>
  </w:style>
  <w:style w:type="character" w:customStyle="1" w:styleId="ac">
    <w:name w:val="批注主题 字符"/>
    <w:basedOn w:val="aa"/>
    <w:link w:val="ab"/>
    <w:uiPriority w:val="99"/>
    <w:semiHidden/>
    <w:rsid w:val="00A35303"/>
    <w:rPr>
      <w:b/>
      <w:bCs/>
      <w:sz w:val="20"/>
      <w:szCs w:val="20"/>
    </w:rPr>
  </w:style>
  <w:style w:type="paragraph" w:styleId="ad">
    <w:name w:val="Revision"/>
    <w:hidden/>
    <w:uiPriority w:val="99"/>
    <w:semiHidden/>
    <w:rsid w:val="002E4E8F"/>
  </w:style>
  <w:style w:type="paragraph" w:styleId="ae">
    <w:name w:val="Balloon Text"/>
    <w:basedOn w:val="a"/>
    <w:link w:val="af"/>
    <w:uiPriority w:val="99"/>
    <w:semiHidden/>
    <w:unhideWhenUsed/>
    <w:rsid w:val="006F3C02"/>
    <w:rPr>
      <w:rFonts w:ascii="Segoe UI" w:hAnsi="Segoe UI" w:cs="Segoe UI"/>
      <w:sz w:val="18"/>
      <w:szCs w:val="18"/>
    </w:rPr>
  </w:style>
  <w:style w:type="character" w:customStyle="1" w:styleId="af">
    <w:name w:val="批注框文本 字符"/>
    <w:basedOn w:val="a0"/>
    <w:link w:val="ae"/>
    <w:uiPriority w:val="99"/>
    <w:semiHidden/>
    <w:rsid w:val="006F3C02"/>
    <w:rPr>
      <w:rFonts w:ascii="Segoe UI" w:hAnsi="Segoe UI" w:cs="Segoe UI"/>
      <w:sz w:val="18"/>
      <w:szCs w:val="18"/>
    </w:rPr>
  </w:style>
  <w:style w:type="character" w:styleId="af0">
    <w:name w:val="Hyperlink"/>
    <w:basedOn w:val="a0"/>
    <w:uiPriority w:val="99"/>
    <w:unhideWhenUsed/>
    <w:rsid w:val="00C22348"/>
    <w:rPr>
      <w:color w:val="0563C1" w:themeColor="hyperlink"/>
      <w:u w:val="single"/>
    </w:rPr>
  </w:style>
  <w:style w:type="character" w:styleId="af1">
    <w:name w:val="Unresolved Mention"/>
    <w:basedOn w:val="a0"/>
    <w:uiPriority w:val="99"/>
    <w:semiHidden/>
    <w:unhideWhenUsed/>
    <w:rsid w:val="00C223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1.emf"/><Relationship Id="rId12" Type="http://schemas.openxmlformats.org/officeDocument/2006/relationships/image" Target="media/image5.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zymoresearch.eu/pages/services"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1099</Words>
  <Characters>6268</Characters>
  <Application>Microsoft Office Word</Application>
  <DocSecurity>0</DocSecurity>
  <Lines>52</Lines>
  <Paragraphs>14</Paragraphs>
  <ScaleCrop>false</ScaleCrop>
  <Company/>
  <LinksUpToDate>false</LinksUpToDate>
  <CharactersWithSpaces>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2023-08-23T15:07:00Z</dcterms:created>
  <dcterms:modified xsi:type="dcterms:W3CDTF">2023-09-22T04:52:00Z</dcterms:modified>
</cp:coreProperties>
</file>