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DD5D3" w14:textId="77777777" w:rsidR="00E42CCA" w:rsidRDefault="00E42CCA" w:rsidP="00E42CCA">
      <w:pPr>
        <w:pStyle w:val="Heading1"/>
        <w:tabs>
          <w:tab w:val="left" w:pos="581"/>
          <w:tab w:val="left" w:pos="582"/>
        </w:tabs>
        <w:spacing w:line="360" w:lineRule="auto"/>
        <w:ind w:left="0" w:firstLine="0"/>
      </w:pPr>
      <w:r>
        <w:t>Supplementary Information</w:t>
      </w:r>
    </w:p>
    <w:p w14:paraId="3B10ECF9" w14:textId="77777777" w:rsidR="00E42CCA" w:rsidRDefault="00E42CCA" w:rsidP="00E42CCA">
      <w:pPr>
        <w:pStyle w:val="Heading1"/>
        <w:tabs>
          <w:tab w:val="left" w:pos="581"/>
          <w:tab w:val="left" w:pos="582"/>
        </w:tabs>
        <w:spacing w:line="360" w:lineRule="auto"/>
        <w:ind w:left="0" w:firstLine="0"/>
        <w:rPr>
          <w:rFonts w:ascii="Georgia" w:hAnsi="Georgia"/>
          <w:sz w:val="20"/>
          <w:szCs w:val="20"/>
        </w:rPr>
      </w:pPr>
      <w:r>
        <w:rPr>
          <w:rFonts w:ascii="Georgia" w:hAnsi="Georgia"/>
          <w:sz w:val="20"/>
          <w:szCs w:val="20"/>
        </w:rPr>
        <w:t>Coverage of AR6 scenarios</w:t>
      </w:r>
    </w:p>
    <w:p w14:paraId="135FE6E6" w14:textId="77777777" w:rsidR="00E42CCA" w:rsidRDefault="00E42CCA" w:rsidP="00E42CCA">
      <w:pPr>
        <w:pStyle w:val="Heading1"/>
        <w:tabs>
          <w:tab w:val="left" w:pos="581"/>
          <w:tab w:val="left" w:pos="582"/>
        </w:tabs>
        <w:spacing w:line="360" w:lineRule="auto"/>
        <w:ind w:left="0" w:firstLine="0"/>
        <w:rPr>
          <w:rFonts w:ascii="Georgia" w:hAnsi="Georgia"/>
          <w:b w:val="0"/>
          <w:bCs w:val="0"/>
          <w:sz w:val="20"/>
          <w:szCs w:val="20"/>
          <w:lang w:val="en-GB"/>
        </w:rPr>
      </w:pPr>
      <w:bookmarkStart w:id="0" w:name="_GoBack"/>
      <w:bookmarkEnd w:id="0"/>
      <w:r w:rsidRPr="0086545C">
        <w:rPr>
          <w:rFonts w:ascii="Georgia" w:hAnsi="Georgia"/>
          <w:b w:val="0"/>
          <w:bCs w:val="0"/>
          <w:sz w:val="20"/>
          <w:szCs w:val="20"/>
          <w:lang w:val="en-GB"/>
        </w:rPr>
        <w:t>As expl</w:t>
      </w:r>
      <w:r>
        <w:rPr>
          <w:rFonts w:ascii="Georgia" w:hAnsi="Georgia"/>
          <w:b w:val="0"/>
          <w:bCs w:val="0"/>
          <w:sz w:val="20"/>
          <w:szCs w:val="20"/>
          <w:lang w:val="en-GB"/>
        </w:rPr>
        <w:t>ained</w:t>
      </w:r>
      <w:r w:rsidRPr="0086545C">
        <w:rPr>
          <w:rFonts w:ascii="Georgia" w:hAnsi="Georgia"/>
          <w:b w:val="0"/>
          <w:bCs w:val="0"/>
          <w:sz w:val="20"/>
          <w:szCs w:val="20"/>
          <w:lang w:val="en-GB"/>
        </w:rPr>
        <w:t xml:space="preserve"> in the </w:t>
      </w:r>
      <w:r>
        <w:rPr>
          <w:rFonts w:ascii="Georgia" w:hAnsi="Georgia"/>
          <w:b w:val="0"/>
          <w:bCs w:val="0"/>
          <w:sz w:val="20"/>
          <w:szCs w:val="20"/>
          <w:lang w:val="en-GB"/>
        </w:rPr>
        <w:t>main text</w:t>
      </w:r>
      <w:r w:rsidRPr="0086545C">
        <w:rPr>
          <w:rFonts w:ascii="Georgia" w:hAnsi="Georgia"/>
          <w:b w:val="0"/>
          <w:bCs w:val="0"/>
          <w:sz w:val="20"/>
          <w:szCs w:val="20"/>
          <w:lang w:val="en-GB"/>
        </w:rPr>
        <w:t xml:space="preserve">, our Pathfinder scenarios encompass the entirety of comparable AR6 scenarios in 100% of the configurations. This signifies that the estimated limits of the compatible spaces we explore are consistently less restrictive than those of the AR6 scenario ensemble, thereby </w:t>
      </w:r>
      <w:r>
        <w:rPr>
          <w:rFonts w:ascii="Georgia" w:hAnsi="Georgia"/>
          <w:b w:val="0"/>
          <w:bCs w:val="0"/>
          <w:sz w:val="20"/>
          <w:szCs w:val="20"/>
          <w:lang w:val="en-GB"/>
        </w:rPr>
        <w:t>con</w:t>
      </w:r>
      <w:r w:rsidRPr="0086545C">
        <w:rPr>
          <w:rFonts w:ascii="Georgia" w:hAnsi="Georgia"/>
          <w:b w:val="0"/>
          <w:bCs w:val="0"/>
          <w:sz w:val="20"/>
          <w:szCs w:val="20"/>
          <w:lang w:val="en-GB"/>
        </w:rPr>
        <w:t>firming our exploration of a broader range of potential future scenarios</w:t>
      </w:r>
      <w:r>
        <w:rPr>
          <w:rFonts w:ascii="Georgia" w:hAnsi="Georgia"/>
          <w:b w:val="0"/>
          <w:bCs w:val="0"/>
          <w:sz w:val="20"/>
          <w:szCs w:val="20"/>
          <w:lang w:val="en-GB"/>
        </w:rPr>
        <w:t xml:space="preserve"> (Figure S1 for illustration)</w:t>
      </w:r>
      <w:r w:rsidRPr="0086545C">
        <w:rPr>
          <w:rFonts w:ascii="Georgia" w:hAnsi="Georgia"/>
          <w:b w:val="0"/>
          <w:bCs w:val="0"/>
          <w:sz w:val="20"/>
          <w:szCs w:val="20"/>
          <w:lang w:val="en-GB"/>
        </w:rPr>
        <w:t>.</w:t>
      </w:r>
      <w:r>
        <w:rPr>
          <w:rFonts w:ascii="Georgia" w:hAnsi="Georgia"/>
          <w:b w:val="0"/>
          <w:bCs w:val="0"/>
          <w:sz w:val="20"/>
          <w:szCs w:val="20"/>
          <w:lang w:val="en-GB"/>
        </w:rPr>
        <w:t xml:space="preserve"> </w:t>
      </w:r>
      <w:r w:rsidRPr="0069023A">
        <w:rPr>
          <w:rFonts w:ascii="Georgia" w:hAnsi="Georgia"/>
          <w:b w:val="0"/>
          <w:bCs w:val="0"/>
          <w:sz w:val="20"/>
          <w:szCs w:val="20"/>
          <w:lang w:val="en-GB"/>
        </w:rPr>
        <w:t>Figure S</w:t>
      </w:r>
      <w:r>
        <w:rPr>
          <w:rFonts w:ascii="Georgia" w:hAnsi="Georgia"/>
          <w:b w:val="0"/>
          <w:bCs w:val="0"/>
          <w:sz w:val="20"/>
          <w:szCs w:val="20"/>
          <w:lang w:val="en-GB"/>
        </w:rPr>
        <w:t>9</w:t>
      </w:r>
      <w:r w:rsidRPr="0069023A">
        <w:rPr>
          <w:rFonts w:ascii="Georgia" w:hAnsi="Georgia"/>
          <w:b w:val="0"/>
          <w:bCs w:val="0"/>
          <w:sz w:val="20"/>
          <w:szCs w:val="20"/>
          <w:lang w:val="en-GB"/>
        </w:rPr>
        <w:t xml:space="preserve"> provides a comparative analysis of the limits of the compatible space between AR6 scenarios and the scenarios generated by Pathfinder. The considered ensembles employ a consistent year</w:t>
      </w:r>
      <w:r>
        <w:rPr>
          <w:rFonts w:ascii="Georgia" w:hAnsi="Georgia"/>
          <w:b w:val="0"/>
          <w:bCs w:val="0"/>
          <w:sz w:val="20"/>
          <w:szCs w:val="20"/>
          <w:lang w:val="en-GB"/>
        </w:rPr>
        <w:t xml:space="preserve"> of peak CO</w:t>
      </w:r>
      <w:r>
        <w:rPr>
          <w:rFonts w:ascii="Georgia" w:hAnsi="Georgia"/>
          <w:b w:val="0"/>
          <w:bCs w:val="0"/>
          <w:sz w:val="20"/>
          <w:szCs w:val="20"/>
          <w:vertAlign w:val="subscript"/>
          <w:lang w:val="en-GB"/>
        </w:rPr>
        <w:t>2</w:t>
      </w:r>
      <w:r>
        <w:rPr>
          <w:rFonts w:ascii="Georgia" w:hAnsi="Georgia"/>
          <w:b w:val="0"/>
          <w:bCs w:val="0"/>
          <w:sz w:val="20"/>
          <w:szCs w:val="20"/>
          <w:lang w:val="en-GB"/>
        </w:rPr>
        <w:t xml:space="preserve"> emissions</w:t>
      </w:r>
      <w:r w:rsidRPr="0069023A">
        <w:rPr>
          <w:rFonts w:ascii="Georgia" w:hAnsi="Georgia"/>
          <w:b w:val="0"/>
          <w:bCs w:val="0"/>
          <w:sz w:val="20"/>
          <w:szCs w:val="20"/>
          <w:lang w:val="en-GB"/>
        </w:rPr>
        <w:t xml:space="preserve"> in 2022, </w:t>
      </w:r>
      <w:r>
        <w:rPr>
          <w:rFonts w:ascii="Georgia" w:hAnsi="Georgia"/>
          <w:b w:val="0"/>
          <w:bCs w:val="0"/>
          <w:sz w:val="20"/>
          <w:szCs w:val="20"/>
          <w:lang w:val="en-GB"/>
        </w:rPr>
        <w:t>assuming net-zero achievable in 2050</w:t>
      </w:r>
      <w:r w:rsidRPr="0069023A">
        <w:rPr>
          <w:rFonts w:ascii="Georgia" w:hAnsi="Georgia"/>
          <w:b w:val="0"/>
          <w:bCs w:val="0"/>
          <w:sz w:val="20"/>
          <w:szCs w:val="20"/>
          <w:lang w:val="en-GB"/>
        </w:rPr>
        <w:t xml:space="preserve">, prohibiting SRM, and permitting the deployment of CDR up to 10 </w:t>
      </w:r>
      <w:proofErr w:type="spellStart"/>
      <w:r w:rsidRPr="0069023A">
        <w:rPr>
          <w:rFonts w:ascii="Georgia" w:hAnsi="Georgia"/>
          <w:b w:val="0"/>
          <w:bCs w:val="0"/>
          <w:sz w:val="20"/>
          <w:szCs w:val="20"/>
          <w:lang w:val="en-GB"/>
        </w:rPr>
        <w:t>PgC</w:t>
      </w:r>
      <w:proofErr w:type="spellEnd"/>
      <w:r w:rsidRPr="0069023A">
        <w:rPr>
          <w:rFonts w:ascii="Georgia" w:hAnsi="Georgia"/>
          <w:b w:val="0"/>
          <w:bCs w:val="0"/>
          <w:sz w:val="20"/>
          <w:szCs w:val="20"/>
          <w:lang w:val="en-GB"/>
        </w:rPr>
        <w:t xml:space="preserve"> yr</w:t>
      </w:r>
      <w:r w:rsidRPr="006A156A">
        <w:rPr>
          <w:rFonts w:ascii="Georgia" w:hAnsi="Georgia"/>
          <w:b w:val="0"/>
          <w:bCs w:val="0"/>
          <w:sz w:val="20"/>
          <w:szCs w:val="20"/>
          <w:vertAlign w:val="superscript"/>
          <w:lang w:val="en-GB"/>
        </w:rPr>
        <w:t>-1</w:t>
      </w:r>
      <w:r w:rsidRPr="0069023A">
        <w:rPr>
          <w:rFonts w:ascii="Georgia" w:hAnsi="Georgia"/>
          <w:b w:val="0"/>
          <w:bCs w:val="0"/>
          <w:sz w:val="20"/>
          <w:szCs w:val="20"/>
          <w:lang w:val="en-GB"/>
        </w:rPr>
        <w:t>. Each subplot of Figure S</w:t>
      </w:r>
      <w:r>
        <w:rPr>
          <w:rFonts w:ascii="Georgia" w:hAnsi="Georgia"/>
          <w:b w:val="0"/>
          <w:bCs w:val="0"/>
          <w:sz w:val="20"/>
          <w:szCs w:val="20"/>
          <w:lang w:val="en-GB"/>
        </w:rPr>
        <w:t>9</w:t>
      </w:r>
      <w:r w:rsidRPr="0069023A">
        <w:rPr>
          <w:rFonts w:ascii="Georgia" w:hAnsi="Georgia"/>
          <w:b w:val="0"/>
          <w:bCs w:val="0"/>
          <w:sz w:val="20"/>
          <w:szCs w:val="20"/>
          <w:lang w:val="en-GB"/>
        </w:rPr>
        <w:t xml:space="preserve"> represents a limit for a distinct key characteristic while the other pathway characteristics adhere to their default constraints.</w:t>
      </w:r>
      <w:r>
        <w:rPr>
          <w:rFonts w:ascii="Georgia" w:hAnsi="Georgia"/>
          <w:b w:val="0"/>
          <w:bCs w:val="0"/>
          <w:sz w:val="20"/>
          <w:szCs w:val="20"/>
          <w:lang w:val="en-GB"/>
        </w:rPr>
        <w:t xml:space="preserve"> </w:t>
      </w:r>
      <w:r w:rsidRPr="00565E91">
        <w:rPr>
          <w:rFonts w:ascii="Georgia" w:hAnsi="Georgia"/>
          <w:b w:val="0"/>
          <w:bCs w:val="0"/>
          <w:sz w:val="20"/>
          <w:szCs w:val="20"/>
          <w:lang w:val="en-GB"/>
        </w:rPr>
        <w:t>It is noteworthy that both AR6 and Pathfinder scenarios identify pathways that do not require the implementation of CDR</w:t>
      </w:r>
      <w:r>
        <w:rPr>
          <w:rFonts w:ascii="Georgia" w:hAnsi="Georgia"/>
          <w:b w:val="0"/>
          <w:bCs w:val="0"/>
          <w:sz w:val="20"/>
          <w:szCs w:val="20"/>
          <w:lang w:val="en-GB"/>
        </w:rPr>
        <w:t xml:space="preserve"> (Figure S9.a)</w:t>
      </w:r>
      <w:r w:rsidRPr="00565E91">
        <w:rPr>
          <w:rFonts w:ascii="Georgia" w:hAnsi="Georgia"/>
          <w:b w:val="0"/>
          <w:bCs w:val="0"/>
          <w:sz w:val="20"/>
          <w:szCs w:val="20"/>
          <w:lang w:val="en-GB"/>
        </w:rPr>
        <w:t>. Figure S</w:t>
      </w:r>
      <w:r>
        <w:rPr>
          <w:rFonts w:ascii="Georgia" w:hAnsi="Georgia"/>
          <w:b w:val="0"/>
          <w:bCs w:val="0"/>
          <w:sz w:val="20"/>
          <w:szCs w:val="20"/>
          <w:lang w:val="en-GB"/>
        </w:rPr>
        <w:t>9</w:t>
      </w:r>
      <w:r w:rsidRPr="00565E91">
        <w:rPr>
          <w:rFonts w:ascii="Georgia" w:hAnsi="Georgia"/>
          <w:b w:val="0"/>
          <w:bCs w:val="0"/>
          <w:sz w:val="20"/>
          <w:szCs w:val="20"/>
          <w:lang w:val="en-GB"/>
        </w:rPr>
        <w:t>.b, focusing on the year of peak CO</w:t>
      </w:r>
      <w:r w:rsidRPr="006B5E03">
        <w:rPr>
          <w:rFonts w:ascii="Georgia" w:hAnsi="Georgia"/>
          <w:b w:val="0"/>
          <w:bCs w:val="0"/>
          <w:sz w:val="20"/>
          <w:szCs w:val="20"/>
          <w:vertAlign w:val="subscript"/>
          <w:lang w:val="en-GB"/>
        </w:rPr>
        <w:t>2</w:t>
      </w:r>
      <w:r w:rsidRPr="00565E91">
        <w:rPr>
          <w:rFonts w:ascii="Georgia" w:hAnsi="Georgia"/>
          <w:b w:val="0"/>
          <w:bCs w:val="0"/>
          <w:sz w:val="20"/>
          <w:szCs w:val="20"/>
          <w:lang w:val="en-GB"/>
        </w:rPr>
        <w:t xml:space="preserve"> emissions, reveals that Pathfinder identifies pathways capable of peaking between 2030 and 2040, irrespective of the safety level or boundary considered. In contrast, the AR6 scenarios indicate a peak in 2030 </w:t>
      </w:r>
      <w:r>
        <w:rPr>
          <w:rFonts w:ascii="Georgia" w:hAnsi="Georgia"/>
          <w:b w:val="0"/>
          <w:bCs w:val="0"/>
          <w:sz w:val="20"/>
          <w:szCs w:val="20"/>
          <w:lang w:val="en-GB"/>
        </w:rPr>
        <w:t xml:space="preserve">at latest </w:t>
      </w:r>
      <w:r w:rsidRPr="00565E91">
        <w:rPr>
          <w:rFonts w:ascii="Georgia" w:hAnsi="Georgia"/>
          <w:b w:val="0"/>
          <w:bCs w:val="0"/>
          <w:sz w:val="20"/>
          <w:szCs w:val="20"/>
          <w:lang w:val="en-GB"/>
        </w:rPr>
        <w:t xml:space="preserve">or </w:t>
      </w:r>
      <w:r>
        <w:rPr>
          <w:rFonts w:ascii="Georgia" w:hAnsi="Georgia"/>
          <w:b w:val="0"/>
          <w:bCs w:val="0"/>
          <w:sz w:val="20"/>
          <w:szCs w:val="20"/>
          <w:lang w:val="en-GB"/>
        </w:rPr>
        <w:t xml:space="preserve">even </w:t>
      </w:r>
      <w:r w:rsidRPr="00565E91">
        <w:rPr>
          <w:rFonts w:ascii="Georgia" w:hAnsi="Georgia"/>
          <w:b w:val="0"/>
          <w:bCs w:val="0"/>
          <w:sz w:val="20"/>
          <w:szCs w:val="20"/>
          <w:lang w:val="en-GB"/>
        </w:rPr>
        <w:t xml:space="preserve">2025 for the Arctic sea ice boundary </w:t>
      </w:r>
      <w:r>
        <w:rPr>
          <w:rFonts w:ascii="Georgia" w:hAnsi="Georgia"/>
          <w:b w:val="0"/>
          <w:bCs w:val="0"/>
          <w:sz w:val="20"/>
          <w:szCs w:val="20"/>
          <w:lang w:val="en-GB"/>
        </w:rPr>
        <w:t>associated to</w:t>
      </w:r>
      <w:r w:rsidRPr="00565E91">
        <w:rPr>
          <w:rFonts w:ascii="Georgia" w:hAnsi="Georgia"/>
          <w:b w:val="0"/>
          <w:bCs w:val="0"/>
          <w:sz w:val="20"/>
          <w:szCs w:val="20"/>
          <w:lang w:val="en-GB"/>
        </w:rPr>
        <w:t xml:space="preserve"> a 90% safety level. Moreover, Figure S</w:t>
      </w:r>
      <w:r>
        <w:rPr>
          <w:rFonts w:ascii="Georgia" w:hAnsi="Georgia"/>
          <w:b w:val="0"/>
          <w:bCs w:val="0"/>
          <w:sz w:val="20"/>
          <w:szCs w:val="20"/>
          <w:lang w:val="en-GB"/>
        </w:rPr>
        <w:t>9</w:t>
      </w:r>
      <w:r w:rsidRPr="00565E91">
        <w:rPr>
          <w:rFonts w:ascii="Georgia" w:hAnsi="Georgia"/>
          <w:b w:val="0"/>
          <w:bCs w:val="0"/>
          <w:sz w:val="20"/>
          <w:szCs w:val="20"/>
          <w:lang w:val="en-GB"/>
        </w:rPr>
        <w:t>.c demonstrates that Pathfinder scenarios exhibit peak CO</w:t>
      </w:r>
      <w:r w:rsidRPr="006B5E03">
        <w:rPr>
          <w:rFonts w:ascii="Georgia" w:hAnsi="Georgia"/>
          <w:b w:val="0"/>
          <w:bCs w:val="0"/>
          <w:sz w:val="20"/>
          <w:szCs w:val="20"/>
          <w:vertAlign w:val="subscript"/>
          <w:lang w:val="en-GB"/>
        </w:rPr>
        <w:t>2</w:t>
      </w:r>
      <w:r w:rsidRPr="00565E91">
        <w:rPr>
          <w:rFonts w:ascii="Georgia" w:hAnsi="Georgia"/>
          <w:b w:val="0"/>
          <w:bCs w:val="0"/>
          <w:sz w:val="20"/>
          <w:szCs w:val="20"/>
          <w:lang w:val="en-GB"/>
        </w:rPr>
        <w:t xml:space="preserve"> emissions surpassing those depicted in AR6 scenarios across all boundaries and safety levels.</w:t>
      </w:r>
    </w:p>
    <w:p w14:paraId="6129C23F" w14:textId="77777777" w:rsidR="00E42CCA" w:rsidRDefault="00E42CCA" w:rsidP="00E42CCA">
      <w:pPr>
        <w:pStyle w:val="Heading1"/>
        <w:tabs>
          <w:tab w:val="left" w:pos="581"/>
          <w:tab w:val="left" w:pos="582"/>
        </w:tabs>
        <w:spacing w:line="360" w:lineRule="auto"/>
        <w:ind w:left="0" w:firstLine="0"/>
        <w:rPr>
          <w:rFonts w:ascii="Georgia" w:hAnsi="Georgia"/>
          <w:sz w:val="20"/>
          <w:szCs w:val="20"/>
          <w:lang w:val="en-GB"/>
        </w:rPr>
      </w:pPr>
      <w:r>
        <w:rPr>
          <w:rFonts w:ascii="Georgia" w:hAnsi="Georgia"/>
          <w:sz w:val="20"/>
          <w:szCs w:val="20"/>
          <w:lang w:val="en-GB"/>
        </w:rPr>
        <w:t>Interpretation</w:t>
      </w:r>
      <w:r w:rsidRPr="0086545C">
        <w:rPr>
          <w:rFonts w:ascii="Georgia" w:hAnsi="Georgia"/>
          <w:sz w:val="20"/>
          <w:szCs w:val="20"/>
          <w:lang w:val="en-GB"/>
        </w:rPr>
        <w:t xml:space="preserve"> of the limits of compatible space</w:t>
      </w:r>
      <w:r>
        <w:rPr>
          <w:rFonts w:ascii="Georgia" w:hAnsi="Georgia"/>
          <w:sz w:val="20"/>
          <w:szCs w:val="20"/>
          <w:lang w:val="en-GB"/>
        </w:rPr>
        <w:t>s</w:t>
      </w:r>
    </w:p>
    <w:p w14:paraId="1A0DC9AC" w14:textId="77777777" w:rsidR="00E42CCA" w:rsidRPr="004D0DF5" w:rsidRDefault="00E42CCA" w:rsidP="00E42CCA">
      <w:pPr>
        <w:pStyle w:val="Heading1"/>
        <w:tabs>
          <w:tab w:val="left" w:pos="581"/>
          <w:tab w:val="left" w:pos="582"/>
        </w:tabs>
        <w:spacing w:line="360" w:lineRule="auto"/>
        <w:ind w:left="0" w:firstLine="0"/>
        <w:rPr>
          <w:rFonts w:ascii="Georgia" w:hAnsi="Georgia"/>
          <w:b w:val="0"/>
          <w:bCs w:val="0"/>
          <w:sz w:val="20"/>
          <w:szCs w:val="20"/>
        </w:rPr>
      </w:pPr>
      <w:r>
        <w:rPr>
          <w:rFonts w:ascii="Georgia" w:hAnsi="Georgia"/>
          <w:b w:val="0"/>
          <w:bCs w:val="0"/>
          <w:sz w:val="20"/>
          <w:szCs w:val="20"/>
        </w:rPr>
        <w:t xml:space="preserve">We look at thousands of pathways in every state of the world. </w:t>
      </w:r>
      <w:r w:rsidRPr="00C82C2B">
        <w:rPr>
          <w:rFonts w:ascii="Georgia" w:hAnsi="Georgia"/>
          <w:b w:val="0"/>
          <w:bCs w:val="0"/>
          <w:sz w:val="20"/>
          <w:szCs w:val="20"/>
        </w:rPr>
        <w:t xml:space="preserve">Although our sampling is extensive enough to provide a comprehensive estimation of the range of possibilities, it does not encompass every conceivable pathway. Consequently, situations arise in which, under identical constraints on all pathway characteristics except for one (e.g., 10 </w:t>
      </w:r>
      <w:proofErr w:type="spellStart"/>
      <w:r w:rsidRPr="00C82C2B">
        <w:rPr>
          <w:rFonts w:ascii="Georgia" w:hAnsi="Georgia"/>
          <w:b w:val="0"/>
          <w:bCs w:val="0"/>
          <w:sz w:val="20"/>
          <w:szCs w:val="20"/>
        </w:rPr>
        <w:t>PgC</w:t>
      </w:r>
      <w:proofErr w:type="spellEnd"/>
      <w:r>
        <w:rPr>
          <w:rFonts w:ascii="Georgia" w:hAnsi="Georgia"/>
          <w:b w:val="0"/>
          <w:bCs w:val="0"/>
          <w:sz w:val="20"/>
          <w:szCs w:val="20"/>
        </w:rPr>
        <w:t xml:space="preserve"> </w:t>
      </w:r>
      <w:r w:rsidRPr="00C82C2B">
        <w:rPr>
          <w:rFonts w:ascii="Georgia" w:hAnsi="Georgia"/>
          <w:b w:val="0"/>
          <w:bCs w:val="0"/>
          <w:sz w:val="20"/>
          <w:szCs w:val="20"/>
        </w:rPr>
        <w:t>yr</w:t>
      </w:r>
      <w:r w:rsidRPr="00CA28EB">
        <w:rPr>
          <w:rFonts w:ascii="Georgia" w:hAnsi="Georgia"/>
          <w:b w:val="0"/>
          <w:bCs w:val="0"/>
          <w:sz w:val="20"/>
          <w:szCs w:val="20"/>
          <w:vertAlign w:val="superscript"/>
        </w:rPr>
        <w:t>-1</w:t>
      </w:r>
      <w:r w:rsidRPr="00C82C2B">
        <w:rPr>
          <w:rFonts w:ascii="Georgia" w:hAnsi="Georgia"/>
          <w:b w:val="0"/>
          <w:bCs w:val="0"/>
          <w:sz w:val="20"/>
          <w:szCs w:val="20"/>
        </w:rPr>
        <w:t xml:space="preserve"> of CDR, absence SRM, net zero emissions by 2100), we may not identify a compatible pathway for all values of the variable pathway characteristic below the limit of the compatible space</w:t>
      </w:r>
      <w:r>
        <w:rPr>
          <w:rFonts w:ascii="Georgia" w:hAnsi="Georgia"/>
          <w:b w:val="0"/>
          <w:bCs w:val="0"/>
          <w:sz w:val="20"/>
          <w:szCs w:val="20"/>
        </w:rPr>
        <w:t>,</w:t>
      </w:r>
      <w:r w:rsidRPr="00C82C2B">
        <w:rPr>
          <w:rFonts w:ascii="Georgia" w:hAnsi="Georgia"/>
          <w:b w:val="0"/>
          <w:bCs w:val="0"/>
          <w:sz w:val="20"/>
          <w:szCs w:val="20"/>
        </w:rPr>
        <w:t xml:space="preserve"> in a given state of the world. For instance, we might establish a limit of the compatible space in 2037 for the peak date but fail to discover a pathway with a peak in 2035. For the sake of simplicity in interpreting the results, we assume that this pathway would be viable but was not generated by Pathfinder.</w:t>
      </w:r>
      <w:r w:rsidRPr="00D7365F">
        <w:rPr>
          <w:rFonts w:ascii="Georgia" w:hAnsi="Georgia"/>
          <w:b w:val="0"/>
          <w:bCs w:val="0"/>
          <w:sz w:val="20"/>
          <w:szCs w:val="20"/>
        </w:rPr>
        <w:t xml:space="preserve"> </w:t>
      </w:r>
      <w:r w:rsidRPr="00C82C2B">
        <w:rPr>
          <w:rFonts w:ascii="Georgia" w:hAnsi="Georgia"/>
          <w:b w:val="0"/>
          <w:bCs w:val="0"/>
          <w:sz w:val="20"/>
          <w:szCs w:val="20"/>
        </w:rPr>
        <w:t xml:space="preserve">To illustrate the advantages of this simplification, let us consider </w:t>
      </w:r>
      <w:r>
        <w:rPr>
          <w:rFonts w:ascii="Georgia" w:hAnsi="Georgia"/>
          <w:b w:val="0"/>
          <w:bCs w:val="0"/>
          <w:sz w:val="20"/>
          <w:szCs w:val="20"/>
        </w:rPr>
        <w:t>the result</w:t>
      </w:r>
      <w:r w:rsidRPr="00C82C2B">
        <w:rPr>
          <w:rFonts w:ascii="Georgia" w:hAnsi="Georgia"/>
          <w:b w:val="0"/>
          <w:bCs w:val="0"/>
          <w:sz w:val="20"/>
          <w:szCs w:val="20"/>
        </w:rPr>
        <w:t xml:space="preserve"> in which the limit of the compatible space for all boundaries</w:t>
      </w:r>
      <w:r>
        <w:rPr>
          <w:rFonts w:ascii="Georgia" w:hAnsi="Georgia"/>
          <w:b w:val="0"/>
          <w:bCs w:val="0"/>
          <w:sz w:val="20"/>
          <w:szCs w:val="20"/>
        </w:rPr>
        <w:t xml:space="preserve"> combined</w:t>
      </w:r>
      <w:r w:rsidRPr="00C82C2B">
        <w:rPr>
          <w:rFonts w:ascii="Georgia" w:hAnsi="Georgia"/>
          <w:b w:val="0"/>
          <w:bCs w:val="0"/>
          <w:sz w:val="20"/>
          <w:szCs w:val="20"/>
        </w:rPr>
        <w:t xml:space="preserve"> is determined to be 2033 at a 67% safety level, with net-zero emissions achieved by 2050, </w:t>
      </w:r>
      <w:r>
        <w:rPr>
          <w:rFonts w:ascii="Georgia" w:hAnsi="Georgia"/>
          <w:b w:val="0"/>
          <w:bCs w:val="0"/>
          <w:sz w:val="20"/>
          <w:szCs w:val="20"/>
        </w:rPr>
        <w:t>CDR</w:t>
      </w:r>
      <w:r w:rsidRPr="00C82C2B">
        <w:rPr>
          <w:rFonts w:ascii="Georgia" w:hAnsi="Georgia"/>
          <w:b w:val="0"/>
          <w:bCs w:val="0"/>
          <w:sz w:val="20"/>
          <w:szCs w:val="20"/>
        </w:rPr>
        <w:t xml:space="preserve"> limited to 10 </w:t>
      </w:r>
      <w:proofErr w:type="spellStart"/>
      <w:r w:rsidRPr="00C82C2B">
        <w:rPr>
          <w:rFonts w:ascii="Georgia" w:hAnsi="Georgia"/>
          <w:b w:val="0"/>
          <w:bCs w:val="0"/>
          <w:sz w:val="20"/>
          <w:szCs w:val="20"/>
        </w:rPr>
        <w:t>PgC</w:t>
      </w:r>
      <w:proofErr w:type="spellEnd"/>
      <w:r>
        <w:rPr>
          <w:rFonts w:ascii="Georgia" w:hAnsi="Georgia"/>
          <w:b w:val="0"/>
          <w:bCs w:val="0"/>
          <w:sz w:val="20"/>
          <w:szCs w:val="20"/>
        </w:rPr>
        <w:t xml:space="preserve"> </w:t>
      </w:r>
      <w:r w:rsidRPr="00C82C2B">
        <w:rPr>
          <w:rFonts w:ascii="Georgia" w:hAnsi="Georgia"/>
          <w:b w:val="0"/>
          <w:bCs w:val="0"/>
          <w:sz w:val="20"/>
          <w:szCs w:val="20"/>
        </w:rPr>
        <w:t>yr</w:t>
      </w:r>
      <w:r w:rsidRPr="00AA6467">
        <w:rPr>
          <w:rFonts w:ascii="Georgia" w:hAnsi="Georgia"/>
          <w:b w:val="0"/>
          <w:bCs w:val="0"/>
          <w:sz w:val="20"/>
          <w:szCs w:val="20"/>
          <w:vertAlign w:val="superscript"/>
        </w:rPr>
        <w:t>-1</w:t>
      </w:r>
      <w:r w:rsidRPr="00C82C2B">
        <w:rPr>
          <w:rFonts w:ascii="Georgia" w:hAnsi="Georgia"/>
          <w:b w:val="0"/>
          <w:bCs w:val="0"/>
          <w:sz w:val="20"/>
          <w:szCs w:val="20"/>
        </w:rPr>
        <w:t xml:space="preserve">, and no </w:t>
      </w:r>
      <w:r>
        <w:rPr>
          <w:rFonts w:ascii="Georgia" w:hAnsi="Georgia"/>
          <w:b w:val="0"/>
          <w:bCs w:val="0"/>
          <w:sz w:val="20"/>
          <w:szCs w:val="20"/>
        </w:rPr>
        <w:t>SRM</w:t>
      </w:r>
      <w:r w:rsidRPr="00C82C2B">
        <w:rPr>
          <w:rFonts w:ascii="Georgia" w:hAnsi="Georgia"/>
          <w:b w:val="0"/>
          <w:bCs w:val="0"/>
          <w:sz w:val="20"/>
          <w:szCs w:val="20"/>
        </w:rPr>
        <w:t>. In practice, this outcome indicates that 67% of Pathfinder's configurations identify at least one pathway meeting these conditions with a peak date in 2033 or later. Consequently, it is plausible that a configuration exists with a pathway peaking in 2035 but no pathways peaking in 2033. By virtue of our assumption, we can confidently assert that 67% of Pathfinder's configurations discover at least one pathway with a peak date in 2033</w:t>
      </w:r>
      <w:r>
        <w:rPr>
          <w:rFonts w:ascii="Georgia" w:hAnsi="Georgia"/>
          <w:b w:val="0"/>
          <w:bCs w:val="0"/>
          <w:sz w:val="20"/>
          <w:szCs w:val="20"/>
        </w:rPr>
        <w:t>.</w:t>
      </w:r>
    </w:p>
    <w:p w14:paraId="1DFE9CB6" w14:textId="77777777" w:rsidR="009B3896" w:rsidRDefault="009B3896"/>
    <w:sectPr w:rsidR="009B3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CA"/>
    <w:rsid w:val="009B3896"/>
    <w:rsid w:val="00E4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298B"/>
  <w15:chartTrackingRefBased/>
  <w15:docId w15:val="{AB0800C5-8A0C-498E-B79C-919BB903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2CCA"/>
    <w:pPr>
      <w:spacing w:after="120" w:line="276" w:lineRule="auto"/>
      <w:ind w:left="581" w:right="446" w:hanging="474"/>
      <w:jc w:val="both"/>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CCA"/>
    <w:rPr>
      <w:rFonts w:ascii="Cambria" w:eastAsia="Cambria" w:hAnsi="Cambria" w:cs="Cambri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659C3A39BA234584207279A4C3555E" ma:contentTypeVersion="9" ma:contentTypeDescription="Ein neues Dokument erstellen." ma:contentTypeScope="" ma:versionID="973a507356f55f3b41d02241df4f7dc1">
  <xsd:schema xmlns:xsd="http://www.w3.org/2001/XMLSchema" xmlns:xs="http://www.w3.org/2001/XMLSchema" xmlns:p="http://schemas.microsoft.com/office/2006/metadata/properties" xmlns:ns3="66a4892b-c151-4740-91ff-d0d5ae24ae2b" xmlns:ns4="b81b0c07-c93e-4cf3-bac1-d2dafc2eaa46" targetNamespace="http://schemas.microsoft.com/office/2006/metadata/properties" ma:root="true" ma:fieldsID="a5f7b38bd761b00f4198101c36da7645" ns3:_="" ns4:_="">
    <xsd:import namespace="66a4892b-c151-4740-91ff-d0d5ae24ae2b"/>
    <xsd:import namespace="b81b0c07-c93e-4cf3-bac1-d2dafc2eaa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4892b-c151-4740-91ff-d0d5ae24a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b0c07-c93e-4cf3-bac1-d2dafc2eaa4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a4892b-c151-4740-91ff-d0d5ae24ae2b" xsi:nil="true"/>
  </documentManagement>
</p:properties>
</file>

<file path=customXml/itemProps1.xml><?xml version="1.0" encoding="utf-8"?>
<ds:datastoreItem xmlns:ds="http://schemas.openxmlformats.org/officeDocument/2006/customXml" ds:itemID="{05654A1B-F0FA-435F-B129-5B105D07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4892b-c151-4740-91ff-d0d5ae24ae2b"/>
    <ds:schemaRef ds:uri="b81b0c07-c93e-4cf3-bac1-d2dafc2ea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3A871-ACAE-41D2-9FF5-019746CEB39F}">
  <ds:schemaRefs>
    <ds:schemaRef ds:uri="http://schemas.microsoft.com/sharepoint/v3/contenttype/forms"/>
  </ds:schemaRefs>
</ds:datastoreItem>
</file>

<file path=customXml/itemProps3.xml><?xml version="1.0" encoding="utf-8"?>
<ds:datastoreItem xmlns:ds="http://schemas.openxmlformats.org/officeDocument/2006/customXml" ds:itemID="{E2B868C0-03D1-4D2E-BEA7-6EE313B3E8DA}">
  <ds:schemaRefs>
    <ds:schemaRef ds:uri="http://purl.org/dc/dcmitype/"/>
    <ds:schemaRef ds:uri="http://purl.org/dc/terms/"/>
    <ds:schemaRef ds:uri="66a4892b-c151-4740-91ff-d0d5ae24ae2b"/>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81b0c07-c93e-4cf3-bac1-d2dafc2eaa4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BOSSY Thomas</dc:creator>
  <cp:keywords/>
  <dc:description/>
  <cp:lastModifiedBy>BOSSY Thomas</cp:lastModifiedBy>
  <cp:revision>1</cp:revision>
  <dcterms:created xsi:type="dcterms:W3CDTF">2023-09-26T15:05:00Z</dcterms:created>
  <dcterms:modified xsi:type="dcterms:W3CDTF">2023-09-26T15:09:00Z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0x01010072659C3A39BA234584207279A4C3555E</vt:lpwstr>
  </property>
</Properties>
</file>