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A8836" w14:textId="14E8EA30" w:rsidR="00356DEA" w:rsidRPr="00B8068D" w:rsidRDefault="00B8068D">
      <w:pPr>
        <w:jc w:val="both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A01EC4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1</w:t>
      </w:r>
      <w:bookmarkStart w:id="0" w:name="_heading=h.gjdgxs" w:colFirst="0" w:colLast="0"/>
      <w:bookmarkEnd w:id="0"/>
      <w:r>
        <w:rPr>
          <w:rFonts w:ascii="Arial" w:eastAsia="Arial" w:hAnsi="Arial" w:cs="Arial"/>
          <w:b/>
          <w:sz w:val="16"/>
          <w:szCs w:val="16"/>
        </w:rPr>
        <w:t xml:space="preserve">1. </w:t>
      </w:r>
      <w:r>
        <w:rPr>
          <w:rFonts w:ascii="Arial" w:eastAsia="Arial" w:hAnsi="Arial" w:cs="Arial"/>
          <w:sz w:val="16"/>
          <w:szCs w:val="16"/>
        </w:rPr>
        <w:t>Influence of rs1128503 (ABCB1) polymorphism on tacrolimus dosage (D) and trough concentration in blood (C</w:t>
      </w:r>
      <w:r>
        <w:rPr>
          <w:rFonts w:ascii="Arial" w:eastAsia="Arial" w:hAnsi="Arial" w:cs="Arial"/>
          <w:sz w:val="16"/>
          <w:szCs w:val="16"/>
          <w:vertAlign w:val="subscript"/>
        </w:rPr>
        <w:t>0</w:t>
      </w:r>
      <w:r>
        <w:rPr>
          <w:rFonts w:ascii="Arial" w:eastAsia="Arial" w:hAnsi="Arial" w:cs="Arial"/>
          <w:sz w:val="16"/>
          <w:szCs w:val="16"/>
        </w:rPr>
        <w:t>) (mean values ± standard deviation)</w:t>
      </w:r>
    </w:p>
    <w:tbl>
      <w:tblPr>
        <w:tblStyle w:val="a"/>
        <w:tblW w:w="8505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1359"/>
        <w:gridCol w:w="582"/>
        <w:gridCol w:w="583"/>
        <w:gridCol w:w="582"/>
        <w:gridCol w:w="583"/>
        <w:gridCol w:w="646"/>
        <w:gridCol w:w="648"/>
        <w:gridCol w:w="40"/>
        <w:gridCol w:w="582"/>
        <w:gridCol w:w="583"/>
        <w:gridCol w:w="582"/>
        <w:gridCol w:w="583"/>
        <w:gridCol w:w="582"/>
        <w:gridCol w:w="570"/>
      </w:tblGrid>
      <w:tr w:rsidR="00356DEA" w14:paraId="0771B77E" w14:textId="77777777">
        <w:trPr>
          <w:trHeight w:val="290"/>
          <w:jc w:val="center"/>
        </w:trPr>
        <w:tc>
          <w:tcPr>
            <w:tcW w:w="1359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885ABB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24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C0D8CFA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Donor genotype</w:t>
            </w:r>
          </w:p>
        </w:tc>
        <w:tc>
          <w:tcPr>
            <w:tcW w:w="4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E632E1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482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03AB65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Recipient genotype</w:t>
            </w:r>
          </w:p>
        </w:tc>
      </w:tr>
      <w:tr w:rsidR="00356DEA" w14:paraId="1103A305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9923BB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FC974B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AA (n=12)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451AB2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 (n=54)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C1E01A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GG (n=31)</w:t>
            </w:r>
          </w:p>
        </w:tc>
        <w:tc>
          <w:tcPr>
            <w:tcW w:w="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31EEC2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A15DD3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AA (n=10)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9916DC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AG (n=41)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0EBA08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GG (n=45)</w:t>
            </w:r>
          </w:p>
        </w:tc>
      </w:tr>
      <w:tr w:rsidR="00356DEA" w14:paraId="4BA5859A" w14:textId="77777777">
        <w:trPr>
          <w:trHeight w:val="334"/>
          <w:jc w:val="center"/>
        </w:trPr>
        <w:tc>
          <w:tcPr>
            <w:tcW w:w="135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391AFB0" w14:textId="77777777" w:rsidR="00356DEA" w:rsidRDefault="00B8068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0</w:t>
            </w:r>
          </w:p>
        </w:tc>
        <w:tc>
          <w:tcPr>
            <w:tcW w:w="3624" w:type="dxa"/>
            <w:gridSpan w:val="6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0DC79C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6AF68E4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57B5AB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9E1157F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B0281B3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A36A4B2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D58ED05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789C70A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356DEA" w14:paraId="3E17561E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8033CEA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F4499ED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D1E66D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81A87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286793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E1A286D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8DC183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± 0.02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45B400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</w:tr>
      <w:tr w:rsidR="00356DEA" w14:paraId="1D7BD010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4F88E1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 xml:space="preserve">0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42DA42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2.92 ± 2.56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BBEA7E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3.73 ± 4.03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D1FDFC7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4.24 ± 5.41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AD8C6D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4FD428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2.77 ± 1.01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68ADE04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3.72 ± 4.42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74375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3.88 ± 4.64</w:t>
            </w:r>
          </w:p>
        </w:tc>
      </w:tr>
      <w:tr w:rsidR="00356DEA" w14:paraId="1F059026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1E9A5FE" w14:textId="77777777" w:rsidR="00356DEA" w:rsidRDefault="00B8068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B91D33E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461E6C9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ADF9133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DD225BE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1FEF086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5DF9F5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4AE51A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043F0A9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74518B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E692CA4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3E2860B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3D0E24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554531E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356DEA" w14:paraId="248FB806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377CB03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B3F754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23FEB3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0.16 ± 0.08 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EEE0CF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0.07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E333F7C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F177387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0.05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B7E911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0.08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75281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0.08</w:t>
            </w:r>
          </w:p>
        </w:tc>
      </w:tr>
      <w:tr w:rsidR="00356DEA" w14:paraId="1E0758A2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8938477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4D8B3F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7.23 ± 3.86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E3A45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7.18 ± 3.3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B2456C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 ± 3.11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21DA78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C72733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6.33 ± 1.37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37C83D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7.93 ± 4.07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09978A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6.5 ± 2.63</w:t>
            </w:r>
          </w:p>
        </w:tc>
      </w:tr>
      <w:tr w:rsidR="00356DEA" w14:paraId="15A664A4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AE00DFA" w14:textId="77777777" w:rsidR="00356DEA" w:rsidRDefault="00B8068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850278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9BC767C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E1A321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DFF607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9236D4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F22EB71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9AF3AEB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7446BA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1CA231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B00051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50905A8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62ADCE5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68EF05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356DEA" w14:paraId="6DA4EEBE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B6FA88B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A1A27A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E3152F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0.1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B09773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± 0.1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FAED56A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3E3E04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DDF89E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0.1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97A514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</w:tr>
      <w:tr w:rsidR="00356DEA" w14:paraId="1AFEED49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B67E03D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126FB0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9.05 ± 5.13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D535939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7.96 ± 4.07 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92D8F0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9.66 ± 10.14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996B58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B7E7FB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7.12 ± 3.39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34B804B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8.52 ± 4.78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859DAE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9.07 ± 8.58</w:t>
            </w:r>
          </w:p>
        </w:tc>
      </w:tr>
      <w:tr w:rsidR="00356DEA" w14:paraId="53241CCE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0E1D187" w14:textId="77777777" w:rsidR="00356DEA" w:rsidRDefault="00B8068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30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22FF0E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4388A21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817FC24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B30B724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6EE8D2F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AB2B4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A714AA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9D06C23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BD16542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B26A06B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3E5041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3D98F77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C617DCE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356DEA" w14:paraId="5921933F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B71E3ED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41D3D0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67AECD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FA9B8F4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0.09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D29313F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53181A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D06B98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CBC915E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0.08</w:t>
            </w:r>
          </w:p>
        </w:tc>
      </w:tr>
      <w:tr w:rsidR="00356DEA" w14:paraId="3FD41EB6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81AB864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20D2BC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8.33 ± 4.51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413A41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8.26 ± 3.75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64C62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8.01 ± 3.11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128748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DDCA913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6.24 ± 2.11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4F288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8.9 ± 4.37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D288B9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7.91 ± 2.94</w:t>
            </w:r>
          </w:p>
        </w:tc>
      </w:tr>
      <w:tr w:rsidR="00356DEA" w14:paraId="1D383156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7AB0F8C" w14:textId="77777777" w:rsidR="00356DEA" w:rsidRDefault="00B8068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90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880492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C820D3E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442DB56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3E56DF2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3B7D8D8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F06C117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12A7B67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5CCF590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2F5524D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8634EA1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CC5DAB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F32212B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12F435D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356DEA" w14:paraId="036447FE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FC96EF6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B2881E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± 0.06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1CBBF2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0.13 ± 0.06 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62EC9C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0.08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01BF145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039A50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0.09 ± 0.05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43DC62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0.12 ± 0.07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A6A845B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0.14 ± 0.07</w:t>
            </w:r>
          </w:p>
        </w:tc>
      </w:tr>
      <w:tr w:rsidR="00356DEA" w14:paraId="2910534C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92A7FD7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772729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8.17 ± 2.49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C261162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8.86 ± 5.19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75AD00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8.26 ± 3.27</w:t>
            </w:r>
          </w:p>
        </w:tc>
        <w:tc>
          <w:tcPr>
            <w:tcW w:w="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C7AAF04" w14:textId="77777777" w:rsidR="00356DEA" w:rsidRDefault="00356DE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991A60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7.18 ± 2.58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959A55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8.36 ± 5.45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34E9753" w14:textId="77777777" w:rsidR="00356DEA" w:rsidRDefault="00B8068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9.03 ± 3.5</w:t>
            </w:r>
          </w:p>
        </w:tc>
      </w:tr>
    </w:tbl>
    <w:p w14:paraId="72586618" w14:textId="77777777" w:rsidR="00356DEA" w:rsidRDefault="00B8068D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Values in bold in the same row differ significantly (p&lt;.05)</w:t>
      </w:r>
      <w:r>
        <w:rPr>
          <w:rFonts w:ascii="Arial" w:eastAsia="Arial" w:hAnsi="Arial" w:cs="Arial"/>
          <w:color w:val="000000"/>
          <w:sz w:val="16"/>
          <w:szCs w:val="16"/>
          <w:highlight w:val="white"/>
        </w:rPr>
        <w:t xml:space="preserve">. </w:t>
      </w:r>
      <w:r>
        <w:rPr>
          <w:rFonts w:ascii="Arial" w:eastAsia="Arial" w:hAnsi="Arial" w:cs="Arial"/>
          <w:sz w:val="16"/>
          <w:szCs w:val="16"/>
          <w:highlight w:val="white"/>
        </w:rPr>
        <w:t>G = variant allele; A =</w:t>
      </w:r>
      <w:r>
        <w:rPr>
          <w:rFonts w:ascii="Arial" w:eastAsia="Arial" w:hAnsi="Arial" w:cs="Arial"/>
          <w:sz w:val="16"/>
          <w:szCs w:val="16"/>
        </w:rPr>
        <w:t xml:space="preserve"> reference allele.</w:t>
      </w:r>
    </w:p>
    <w:p w14:paraId="44519E9B" w14:textId="77777777" w:rsidR="00356DEA" w:rsidRDefault="00B8068D">
      <w:pPr>
        <w:rPr>
          <w:rFonts w:ascii="Arial" w:eastAsia="Arial" w:hAnsi="Arial" w:cs="Arial"/>
          <w:sz w:val="16"/>
          <w:szCs w:val="16"/>
        </w:rPr>
      </w:pPr>
      <w:proofErr w:type="gramStart"/>
      <w:r>
        <w:rPr>
          <w:rFonts w:ascii="Arial" w:eastAsia="Arial" w:hAnsi="Arial" w:cs="Arial"/>
          <w:sz w:val="16"/>
          <w:szCs w:val="16"/>
          <w:vertAlign w:val="superscript"/>
        </w:rPr>
        <w:t xml:space="preserve">a  </w:t>
      </w:r>
      <w:r>
        <w:rPr>
          <w:rFonts w:ascii="Arial" w:eastAsia="Arial" w:hAnsi="Arial" w:cs="Arial"/>
          <w:sz w:val="16"/>
          <w:szCs w:val="16"/>
        </w:rPr>
        <w:t>mg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/kg/day; </w:t>
      </w:r>
      <w:r>
        <w:rPr>
          <w:rFonts w:ascii="Arial" w:eastAsia="Arial" w:hAnsi="Arial" w:cs="Arial"/>
          <w:sz w:val="16"/>
          <w:szCs w:val="16"/>
          <w:vertAlign w:val="superscript"/>
        </w:rPr>
        <w:t xml:space="preserve">b  </w:t>
      </w:r>
      <w:r>
        <w:rPr>
          <w:rFonts w:ascii="Arial" w:eastAsia="Arial" w:hAnsi="Arial" w:cs="Arial"/>
          <w:sz w:val="16"/>
          <w:szCs w:val="16"/>
        </w:rPr>
        <w:t>ng/</w:t>
      </w:r>
      <w:proofErr w:type="spellStart"/>
      <w:r>
        <w:rPr>
          <w:rFonts w:ascii="Arial" w:eastAsia="Arial" w:hAnsi="Arial" w:cs="Arial"/>
          <w:sz w:val="16"/>
          <w:szCs w:val="16"/>
        </w:rPr>
        <w:t>mL.</w:t>
      </w:r>
      <w:proofErr w:type="spellEnd"/>
    </w:p>
    <w:p w14:paraId="0A3E6BC4" w14:textId="77777777" w:rsidR="00356DEA" w:rsidRDefault="00356DEA">
      <w:pPr>
        <w:jc w:val="both"/>
        <w:rPr>
          <w:rFonts w:ascii="Arial" w:eastAsia="Arial" w:hAnsi="Arial" w:cs="Arial"/>
          <w:b/>
          <w:sz w:val="16"/>
          <w:szCs w:val="16"/>
        </w:rPr>
      </w:pPr>
    </w:p>
    <w:p w14:paraId="17B8EE4F" w14:textId="77777777" w:rsidR="00356DEA" w:rsidRDefault="00356DEA">
      <w:pPr>
        <w:jc w:val="both"/>
      </w:pPr>
    </w:p>
    <w:sectPr w:rsidR="00356DE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DEA"/>
    <w:rsid w:val="00356DEA"/>
    <w:rsid w:val="00A01EC4"/>
    <w:rsid w:val="00B8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92769"/>
  <w15:docId w15:val="{7ED855CC-AB9C-4A00-9897-D6A6C424B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05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vfYzaYPkiC9SG0hLFIut3UrHag==">CgMxLjAyCGguZ2pkZ3hzOAByITE0ZDdudWhCVjlOcGxUM1JIeGxYUGFGeHEzQ2Jsc0FVZg==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2023-09-27T16:59:00Z</dcterms:created>
  <dcterms:modified xsi:type="dcterms:W3CDTF">2023-09-30T01:28:00Z</dcterms:modified>
</cp:coreProperties>
</file>