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4249F" w14:textId="315EB2BF" w:rsidR="001F768E" w:rsidRPr="00981C37" w:rsidRDefault="001F768E">
      <w:pPr>
        <w:rPr>
          <w:rFonts w:ascii="Arial" w:hAnsi="Arial" w:cs="Arial"/>
          <w:b/>
          <w:bCs/>
          <w:sz w:val="20"/>
          <w:szCs w:val="20"/>
        </w:rPr>
      </w:pPr>
      <w:r w:rsidRPr="00981C37">
        <w:rPr>
          <w:rFonts w:ascii="Arial" w:hAnsi="Arial" w:cs="Arial"/>
          <w:b/>
          <w:bCs/>
          <w:sz w:val="20"/>
          <w:szCs w:val="20"/>
        </w:rPr>
        <w:t>Appendix B. Example of CMOs</w:t>
      </w:r>
    </w:p>
    <w:tbl>
      <w:tblPr>
        <w:tblW w:w="0" w:type="auto"/>
        <w:tblLayout w:type="fixed"/>
        <w:tblCellMar>
          <w:left w:w="70" w:type="dxa"/>
          <w:right w:w="70" w:type="dxa"/>
        </w:tblCellMar>
        <w:tblLook w:val="04A0" w:firstRow="1" w:lastRow="0" w:firstColumn="1" w:lastColumn="0" w:noHBand="0" w:noVBand="1"/>
      </w:tblPr>
      <w:tblGrid>
        <w:gridCol w:w="363"/>
        <w:gridCol w:w="3033"/>
        <w:gridCol w:w="2978"/>
        <w:gridCol w:w="2642"/>
      </w:tblGrid>
      <w:tr w:rsidR="00045276" w:rsidRPr="00981C37" w14:paraId="66CD6621" w14:textId="77777777" w:rsidTr="00045276">
        <w:trPr>
          <w:trHeight w:val="274"/>
        </w:trPr>
        <w:tc>
          <w:tcPr>
            <w:tcW w:w="363" w:type="dxa"/>
            <w:tcBorders>
              <w:top w:val="single" w:sz="4" w:space="0" w:color="auto"/>
              <w:left w:val="single" w:sz="4" w:space="0" w:color="auto"/>
              <w:bottom w:val="nil"/>
              <w:right w:val="nil"/>
            </w:tcBorders>
            <w:shd w:val="clear" w:color="000000" w:fill="2F75B5"/>
            <w:noWrap/>
            <w:vAlign w:val="center"/>
            <w:hideMark/>
          </w:tcPr>
          <w:p w14:paraId="6FF3FB63" w14:textId="00532F9E" w:rsidR="001F768E" w:rsidRPr="00981C37" w:rsidRDefault="00045276" w:rsidP="001F768E">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8653" w:type="dxa"/>
            <w:gridSpan w:val="3"/>
            <w:tcBorders>
              <w:top w:val="single" w:sz="4" w:space="0" w:color="auto"/>
              <w:left w:val="nil"/>
              <w:bottom w:val="nil"/>
              <w:right w:val="single" w:sz="4" w:space="0" w:color="auto"/>
            </w:tcBorders>
            <w:shd w:val="clear" w:color="000000" w:fill="2F75B5"/>
            <w:noWrap/>
            <w:vAlign w:val="center"/>
            <w:hideMark/>
          </w:tcPr>
          <w:p w14:paraId="3B31210B" w14:textId="12567FDE" w:rsidR="00045276" w:rsidRPr="00981C37" w:rsidRDefault="00045276" w:rsidP="00045276">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Commitment from all parties involved</w:t>
            </w:r>
          </w:p>
        </w:tc>
      </w:tr>
      <w:tr w:rsidR="00045276" w:rsidRPr="00981C37" w14:paraId="4C3D5240" w14:textId="77777777" w:rsidTr="00045276">
        <w:trPr>
          <w:trHeight w:val="300"/>
        </w:trPr>
        <w:tc>
          <w:tcPr>
            <w:tcW w:w="363" w:type="dxa"/>
            <w:tcBorders>
              <w:top w:val="single" w:sz="4" w:space="0" w:color="auto"/>
              <w:left w:val="single" w:sz="4" w:space="0" w:color="auto"/>
              <w:bottom w:val="single" w:sz="4" w:space="0" w:color="auto"/>
              <w:right w:val="nil"/>
            </w:tcBorders>
            <w:shd w:val="clear" w:color="000000" w:fill="BDD7EE"/>
            <w:noWrap/>
            <w:vAlign w:val="center"/>
            <w:hideMark/>
          </w:tcPr>
          <w:p w14:paraId="70D3F699"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single" w:sz="4" w:space="0" w:color="auto"/>
              <w:left w:val="nil"/>
              <w:bottom w:val="single" w:sz="4" w:space="0" w:color="auto"/>
              <w:right w:val="nil"/>
            </w:tcBorders>
            <w:shd w:val="clear" w:color="000000" w:fill="BDD7EE"/>
            <w:noWrap/>
            <w:vAlign w:val="center"/>
            <w:hideMark/>
          </w:tcPr>
          <w:p w14:paraId="0EA83A08"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single" w:sz="4" w:space="0" w:color="auto"/>
              <w:left w:val="nil"/>
              <w:bottom w:val="single" w:sz="4" w:space="0" w:color="auto"/>
              <w:right w:val="nil"/>
            </w:tcBorders>
            <w:shd w:val="clear" w:color="000000" w:fill="BDD7EE"/>
            <w:noWrap/>
            <w:vAlign w:val="center"/>
            <w:hideMark/>
          </w:tcPr>
          <w:p w14:paraId="66C6EE7D"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single" w:sz="4" w:space="0" w:color="auto"/>
              <w:left w:val="nil"/>
              <w:bottom w:val="single" w:sz="4" w:space="0" w:color="auto"/>
              <w:right w:val="single" w:sz="4" w:space="0" w:color="auto"/>
            </w:tcBorders>
            <w:shd w:val="clear" w:color="000000" w:fill="BDD7EE"/>
            <w:noWrap/>
            <w:vAlign w:val="center"/>
            <w:hideMark/>
          </w:tcPr>
          <w:p w14:paraId="78B82A57"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6474791D" w14:textId="77777777" w:rsidTr="00045276">
        <w:trPr>
          <w:trHeight w:val="1785"/>
        </w:trPr>
        <w:tc>
          <w:tcPr>
            <w:tcW w:w="363" w:type="dxa"/>
            <w:tcBorders>
              <w:top w:val="nil"/>
              <w:left w:val="single" w:sz="4" w:space="0" w:color="auto"/>
              <w:bottom w:val="nil"/>
              <w:right w:val="nil"/>
            </w:tcBorders>
            <w:shd w:val="clear" w:color="auto" w:fill="auto"/>
            <w:noWrap/>
            <w:vAlign w:val="center"/>
            <w:hideMark/>
          </w:tcPr>
          <w:p w14:paraId="67894AD2"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w:t>
            </w:r>
          </w:p>
        </w:tc>
        <w:tc>
          <w:tcPr>
            <w:tcW w:w="3033" w:type="dxa"/>
            <w:tcBorders>
              <w:top w:val="nil"/>
              <w:left w:val="nil"/>
              <w:bottom w:val="nil"/>
              <w:right w:val="nil"/>
            </w:tcBorders>
            <w:shd w:val="clear" w:color="auto" w:fill="auto"/>
            <w:vAlign w:val="center"/>
            <w:hideMark/>
          </w:tcPr>
          <w:p w14:paraId="190857DF"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Region B chose to work with interventions that have proven effective through research, like social prescribing (WOR). </w:t>
            </w:r>
          </w:p>
        </w:tc>
        <w:tc>
          <w:tcPr>
            <w:tcW w:w="2978" w:type="dxa"/>
            <w:tcBorders>
              <w:top w:val="nil"/>
              <w:left w:val="nil"/>
              <w:bottom w:val="nil"/>
              <w:right w:val="nil"/>
            </w:tcBorders>
            <w:shd w:val="clear" w:color="auto" w:fill="auto"/>
            <w:vAlign w:val="center"/>
            <w:hideMark/>
          </w:tcPr>
          <w:p w14:paraId="701FC9F8"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No administration of indicators in the GP practice is necessary for research purposes as the intervention is already proven to be effective. Therefore, GPs do not have to do extra administration. The </w:t>
            </w: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focusses on keeping GPs connected and enthusiastic. </w:t>
            </w:r>
          </w:p>
        </w:tc>
        <w:tc>
          <w:tcPr>
            <w:tcW w:w="2642" w:type="dxa"/>
            <w:tcBorders>
              <w:top w:val="nil"/>
              <w:left w:val="nil"/>
              <w:bottom w:val="nil"/>
              <w:right w:val="single" w:sz="4" w:space="0" w:color="auto"/>
            </w:tcBorders>
            <w:shd w:val="clear" w:color="auto" w:fill="auto"/>
            <w:vAlign w:val="center"/>
            <w:hideMark/>
          </w:tcPr>
          <w:p w14:paraId="0E9425A2"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GPs are motivated to participate in this intervention. GPs are not necessarily spending more time in consultations or administration. </w:t>
            </w:r>
          </w:p>
        </w:tc>
      </w:tr>
      <w:tr w:rsidR="00045276" w:rsidRPr="00981C37" w14:paraId="2C8D188F" w14:textId="77777777" w:rsidTr="00045276">
        <w:trPr>
          <w:trHeight w:val="1800"/>
        </w:trPr>
        <w:tc>
          <w:tcPr>
            <w:tcW w:w="363" w:type="dxa"/>
            <w:tcBorders>
              <w:top w:val="nil"/>
              <w:left w:val="single" w:sz="4" w:space="0" w:color="auto"/>
              <w:bottom w:val="nil"/>
              <w:right w:val="nil"/>
            </w:tcBorders>
            <w:shd w:val="clear" w:color="auto" w:fill="auto"/>
            <w:noWrap/>
            <w:vAlign w:val="center"/>
            <w:hideMark/>
          </w:tcPr>
          <w:p w14:paraId="63572F64"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2</w:t>
            </w:r>
          </w:p>
        </w:tc>
        <w:tc>
          <w:tcPr>
            <w:tcW w:w="3033" w:type="dxa"/>
            <w:tcBorders>
              <w:top w:val="nil"/>
              <w:left w:val="nil"/>
              <w:bottom w:val="nil"/>
              <w:right w:val="nil"/>
            </w:tcBorders>
            <w:shd w:val="clear" w:color="auto" w:fill="auto"/>
            <w:vAlign w:val="bottom"/>
            <w:hideMark/>
          </w:tcPr>
          <w:p w14:paraId="22C1F1B6" w14:textId="7D46A773"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Region A wanted to adopt PH into the vision of their coalition, but experienced resistance from partners when PH was used in their coalition name. Even though the partners agree on the philosophy of PH ('enhancing well-being') some partners do not like the language and terminology used within PH. </w:t>
            </w:r>
          </w:p>
        </w:tc>
        <w:tc>
          <w:tcPr>
            <w:tcW w:w="2978" w:type="dxa"/>
            <w:tcBorders>
              <w:top w:val="nil"/>
              <w:left w:val="nil"/>
              <w:bottom w:val="nil"/>
              <w:right w:val="nil"/>
            </w:tcBorders>
            <w:shd w:val="clear" w:color="auto" w:fill="auto"/>
            <w:vAlign w:val="center"/>
            <w:hideMark/>
          </w:tcPr>
          <w:p w14:paraId="0562998E"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Instead of sticking to one specific concept and its name, partners together chose a more appealing name; one that implies a broad view of health </w:t>
            </w:r>
          </w:p>
        </w:tc>
        <w:tc>
          <w:tcPr>
            <w:tcW w:w="2642" w:type="dxa"/>
            <w:tcBorders>
              <w:top w:val="nil"/>
              <w:left w:val="nil"/>
              <w:bottom w:val="nil"/>
              <w:right w:val="single" w:sz="4" w:space="0" w:color="auto"/>
            </w:tcBorders>
            <w:shd w:val="clear" w:color="auto" w:fill="auto"/>
            <w:vAlign w:val="center"/>
            <w:hideMark/>
          </w:tcPr>
          <w:p w14:paraId="32A9862C"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Name of the coalition includes the term 'wellbeing', in which all partners recognize themselves. </w:t>
            </w:r>
          </w:p>
        </w:tc>
      </w:tr>
      <w:tr w:rsidR="00045276" w:rsidRPr="00981C37" w14:paraId="050C056C" w14:textId="77777777" w:rsidTr="00045276">
        <w:trPr>
          <w:trHeight w:val="2040"/>
        </w:trPr>
        <w:tc>
          <w:tcPr>
            <w:tcW w:w="363" w:type="dxa"/>
            <w:tcBorders>
              <w:top w:val="nil"/>
              <w:left w:val="single" w:sz="4" w:space="0" w:color="auto"/>
              <w:bottom w:val="nil"/>
              <w:right w:val="nil"/>
            </w:tcBorders>
            <w:shd w:val="clear" w:color="auto" w:fill="auto"/>
            <w:noWrap/>
            <w:vAlign w:val="center"/>
            <w:hideMark/>
          </w:tcPr>
          <w:p w14:paraId="3BF3DFDF"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3</w:t>
            </w:r>
          </w:p>
        </w:tc>
        <w:tc>
          <w:tcPr>
            <w:tcW w:w="3033" w:type="dxa"/>
            <w:tcBorders>
              <w:top w:val="nil"/>
              <w:left w:val="nil"/>
              <w:bottom w:val="nil"/>
              <w:right w:val="nil"/>
            </w:tcBorders>
            <w:shd w:val="clear" w:color="auto" w:fill="auto"/>
            <w:vAlign w:val="center"/>
            <w:hideMark/>
          </w:tcPr>
          <w:p w14:paraId="15E03126"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Citizens from region B are concerned about upcoming health challenges (an aging population, medical care is scarce, </w:t>
            </w:r>
            <w:proofErr w:type="spellStart"/>
            <w:r w:rsidRPr="00981C37">
              <w:rPr>
                <w:rFonts w:ascii="Arial" w:eastAsia="Times New Roman" w:hAnsi="Arial" w:cs="Arial"/>
                <w:color w:val="000000"/>
                <w:sz w:val="20"/>
                <w:szCs w:val="20"/>
                <w:lang w:eastAsia="nl-NL"/>
              </w:rPr>
              <w:t>labor</w:t>
            </w:r>
            <w:proofErr w:type="spellEnd"/>
            <w:r w:rsidRPr="00981C37">
              <w:rPr>
                <w:rFonts w:ascii="Arial" w:eastAsia="Times New Roman" w:hAnsi="Arial" w:cs="Arial"/>
                <w:color w:val="000000"/>
                <w:sz w:val="20"/>
                <w:szCs w:val="20"/>
                <w:lang w:eastAsia="nl-NL"/>
              </w:rPr>
              <w:t xml:space="preserve"> market). As a citizens' initiative they started looking for ways to solve this challenge. Through contact with the health insurer (innovation team) the concept of PH got introduced</w:t>
            </w:r>
          </w:p>
        </w:tc>
        <w:tc>
          <w:tcPr>
            <w:tcW w:w="2978" w:type="dxa"/>
            <w:tcBorders>
              <w:top w:val="nil"/>
              <w:left w:val="nil"/>
              <w:bottom w:val="nil"/>
              <w:right w:val="nil"/>
            </w:tcBorders>
            <w:shd w:val="clear" w:color="auto" w:fill="auto"/>
            <w:vAlign w:val="center"/>
            <w:hideMark/>
          </w:tcPr>
          <w:p w14:paraId="54CA4F0D" w14:textId="0EEDD15E"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During a lecture about PH many citizens and organisations became enthusiastic and motivated, they formed a 'coalition of the willing' on the spot.</w:t>
            </w:r>
          </w:p>
        </w:tc>
        <w:tc>
          <w:tcPr>
            <w:tcW w:w="2642" w:type="dxa"/>
            <w:tcBorders>
              <w:top w:val="nil"/>
              <w:left w:val="nil"/>
              <w:bottom w:val="nil"/>
              <w:right w:val="single" w:sz="4" w:space="0" w:color="auto"/>
            </w:tcBorders>
            <w:shd w:val="clear" w:color="auto" w:fill="auto"/>
            <w:vAlign w:val="center"/>
            <w:hideMark/>
          </w:tcPr>
          <w:p w14:paraId="7047942A"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The coalition was the driving force/engine behind a bigger cooperation/change. It enhanced intrinsic motivation in the people involved. </w:t>
            </w:r>
          </w:p>
        </w:tc>
      </w:tr>
      <w:tr w:rsidR="001F768E" w:rsidRPr="00981C37" w14:paraId="7E2EBF26" w14:textId="77777777" w:rsidTr="00B94CD6">
        <w:trPr>
          <w:trHeight w:val="300"/>
        </w:trPr>
        <w:tc>
          <w:tcPr>
            <w:tcW w:w="363" w:type="dxa"/>
            <w:tcBorders>
              <w:top w:val="single" w:sz="4" w:space="0" w:color="auto"/>
              <w:left w:val="single" w:sz="4" w:space="0" w:color="auto"/>
              <w:bottom w:val="single" w:sz="4" w:space="0" w:color="auto"/>
              <w:right w:val="nil"/>
            </w:tcBorders>
            <w:shd w:val="clear" w:color="000000" w:fill="2F75B5"/>
            <w:noWrap/>
            <w:vAlign w:val="center"/>
            <w:hideMark/>
          </w:tcPr>
          <w:p w14:paraId="3938C4F2"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8653" w:type="dxa"/>
            <w:gridSpan w:val="3"/>
            <w:tcBorders>
              <w:top w:val="single" w:sz="4" w:space="0" w:color="auto"/>
              <w:left w:val="nil"/>
              <w:bottom w:val="single" w:sz="4" w:space="0" w:color="auto"/>
              <w:right w:val="single" w:sz="4" w:space="0" w:color="auto"/>
            </w:tcBorders>
            <w:shd w:val="clear" w:color="000000" w:fill="2F75B5"/>
            <w:noWrap/>
            <w:vAlign w:val="center"/>
            <w:hideMark/>
          </w:tcPr>
          <w:p w14:paraId="5E40FCCA" w14:textId="2813E951"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A clear focus within the approach</w:t>
            </w:r>
            <w:r w:rsidRPr="00981C37">
              <w:rPr>
                <w:rFonts w:ascii="Arial" w:eastAsia="Times New Roman" w:hAnsi="Arial" w:cs="Arial"/>
                <w:color w:val="000000"/>
                <w:sz w:val="20"/>
                <w:szCs w:val="20"/>
                <w:lang w:eastAsia="nl-NL"/>
              </w:rPr>
              <w:t> </w:t>
            </w:r>
          </w:p>
        </w:tc>
      </w:tr>
      <w:tr w:rsidR="00045276" w:rsidRPr="00981C37" w14:paraId="084DD9F7" w14:textId="77777777" w:rsidTr="00045276">
        <w:trPr>
          <w:trHeight w:val="300"/>
        </w:trPr>
        <w:tc>
          <w:tcPr>
            <w:tcW w:w="363" w:type="dxa"/>
            <w:tcBorders>
              <w:top w:val="nil"/>
              <w:left w:val="single" w:sz="4" w:space="0" w:color="auto"/>
              <w:bottom w:val="single" w:sz="4" w:space="0" w:color="auto"/>
              <w:right w:val="nil"/>
            </w:tcBorders>
            <w:shd w:val="clear" w:color="000000" w:fill="BDD7EE"/>
            <w:noWrap/>
            <w:vAlign w:val="center"/>
            <w:hideMark/>
          </w:tcPr>
          <w:p w14:paraId="626818FA"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nil"/>
              <w:left w:val="nil"/>
              <w:bottom w:val="single" w:sz="4" w:space="0" w:color="auto"/>
              <w:right w:val="nil"/>
            </w:tcBorders>
            <w:shd w:val="clear" w:color="000000" w:fill="BDD7EE"/>
            <w:noWrap/>
            <w:vAlign w:val="center"/>
            <w:hideMark/>
          </w:tcPr>
          <w:p w14:paraId="4E93188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nil"/>
              <w:left w:val="nil"/>
              <w:bottom w:val="single" w:sz="4" w:space="0" w:color="auto"/>
              <w:right w:val="nil"/>
            </w:tcBorders>
            <w:shd w:val="clear" w:color="000000" w:fill="BDD7EE"/>
            <w:noWrap/>
            <w:vAlign w:val="center"/>
            <w:hideMark/>
          </w:tcPr>
          <w:p w14:paraId="7C2171A5"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nil"/>
              <w:left w:val="nil"/>
              <w:bottom w:val="single" w:sz="4" w:space="0" w:color="auto"/>
              <w:right w:val="single" w:sz="4" w:space="0" w:color="auto"/>
            </w:tcBorders>
            <w:shd w:val="clear" w:color="000000" w:fill="BDD7EE"/>
            <w:noWrap/>
            <w:vAlign w:val="center"/>
            <w:hideMark/>
          </w:tcPr>
          <w:p w14:paraId="2A11CF63"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56E75ED4" w14:textId="77777777" w:rsidTr="00BA6626">
        <w:trPr>
          <w:trHeight w:val="2040"/>
        </w:trPr>
        <w:tc>
          <w:tcPr>
            <w:tcW w:w="363" w:type="dxa"/>
            <w:tcBorders>
              <w:top w:val="nil"/>
              <w:left w:val="single" w:sz="4" w:space="0" w:color="auto"/>
              <w:right w:val="nil"/>
            </w:tcBorders>
            <w:shd w:val="clear" w:color="auto" w:fill="auto"/>
            <w:noWrap/>
            <w:vAlign w:val="center"/>
            <w:hideMark/>
          </w:tcPr>
          <w:p w14:paraId="2DAF99C5"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4</w:t>
            </w:r>
          </w:p>
        </w:tc>
        <w:tc>
          <w:tcPr>
            <w:tcW w:w="3033" w:type="dxa"/>
            <w:tcBorders>
              <w:top w:val="nil"/>
              <w:left w:val="nil"/>
              <w:right w:val="nil"/>
            </w:tcBorders>
            <w:shd w:val="clear" w:color="auto" w:fill="auto"/>
            <w:vAlign w:val="center"/>
            <w:hideMark/>
          </w:tcPr>
          <w:p w14:paraId="44AAE785" w14:textId="751EE62C"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In Region C the </w:t>
            </w:r>
            <w:proofErr w:type="spellStart"/>
            <w:r w:rsidRPr="00981C37">
              <w:rPr>
                <w:rFonts w:ascii="Arial" w:eastAsia="Times New Roman" w:hAnsi="Arial" w:cs="Arial"/>
                <w:color w:val="000000"/>
                <w:sz w:val="20"/>
                <w:szCs w:val="20"/>
                <w:lang w:eastAsia="nl-NL"/>
              </w:rPr>
              <w:t>Neighborhood</w:t>
            </w:r>
            <w:proofErr w:type="spellEnd"/>
            <w:r w:rsidRPr="00981C37">
              <w:rPr>
                <w:rFonts w:ascii="Arial" w:eastAsia="Times New Roman" w:hAnsi="Arial" w:cs="Arial"/>
                <w:color w:val="000000"/>
                <w:sz w:val="20"/>
                <w:szCs w:val="20"/>
                <w:lang w:eastAsia="nl-NL"/>
              </w:rPr>
              <w:t xml:space="preserve"> Alliance wants to expand by including new partners but at the same time they want to get started quickly. Discussions are held with various partners to explore how to shape cooperation.</w:t>
            </w:r>
            <w:r w:rsidR="0000588D" w:rsidRPr="00981C37">
              <w:rPr>
                <w:rFonts w:ascii="Arial" w:eastAsia="Times New Roman" w:hAnsi="Arial" w:cs="Arial"/>
                <w:color w:val="000000"/>
                <w:sz w:val="20"/>
                <w:szCs w:val="20"/>
                <w:lang w:eastAsia="nl-NL"/>
              </w:rPr>
              <w:t xml:space="preserve"> </w:t>
            </w:r>
            <w:r w:rsidRPr="00981C37">
              <w:rPr>
                <w:rFonts w:ascii="Arial" w:eastAsia="Times New Roman" w:hAnsi="Arial" w:cs="Arial"/>
                <w:color w:val="000000"/>
                <w:sz w:val="20"/>
                <w:szCs w:val="20"/>
                <w:lang w:eastAsia="nl-NL"/>
              </w:rPr>
              <w:t>The Alliance wonders if there is enough support for expansion.</w:t>
            </w:r>
          </w:p>
        </w:tc>
        <w:tc>
          <w:tcPr>
            <w:tcW w:w="2978" w:type="dxa"/>
            <w:tcBorders>
              <w:top w:val="nil"/>
              <w:left w:val="nil"/>
              <w:right w:val="nil"/>
            </w:tcBorders>
            <w:shd w:val="clear" w:color="auto" w:fill="auto"/>
            <w:vAlign w:val="center"/>
            <w:hideMark/>
          </w:tcPr>
          <w:p w14:paraId="6B80A1B2"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Guided by an external consultancy company on the alliances' approach, discussion were held about the goals and vision.</w:t>
            </w:r>
          </w:p>
        </w:tc>
        <w:tc>
          <w:tcPr>
            <w:tcW w:w="2642" w:type="dxa"/>
            <w:tcBorders>
              <w:top w:val="nil"/>
              <w:left w:val="nil"/>
              <w:right w:val="single" w:sz="4" w:space="0" w:color="auto"/>
            </w:tcBorders>
            <w:shd w:val="clear" w:color="auto" w:fill="auto"/>
            <w:vAlign w:val="center"/>
            <w:hideMark/>
          </w:tcPr>
          <w:p w14:paraId="40C81556"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Support for the program has grown stronger through discussions. They concluded that they need to prevent fragmentation and loss of focus. Therefore, the working group has been made smaller instead of larger. Each year they want to focus on one major theme.</w:t>
            </w:r>
          </w:p>
        </w:tc>
      </w:tr>
      <w:tr w:rsidR="00045276" w:rsidRPr="00981C37" w14:paraId="55EA1796" w14:textId="77777777" w:rsidTr="00BA6626">
        <w:trPr>
          <w:trHeight w:val="1785"/>
        </w:trPr>
        <w:tc>
          <w:tcPr>
            <w:tcW w:w="363" w:type="dxa"/>
            <w:tcBorders>
              <w:top w:val="nil"/>
              <w:left w:val="single" w:sz="4" w:space="0" w:color="auto"/>
              <w:bottom w:val="single" w:sz="4" w:space="0" w:color="auto"/>
              <w:right w:val="nil"/>
            </w:tcBorders>
            <w:shd w:val="clear" w:color="auto" w:fill="auto"/>
            <w:noWrap/>
            <w:vAlign w:val="center"/>
            <w:hideMark/>
          </w:tcPr>
          <w:p w14:paraId="052DDC03"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5</w:t>
            </w:r>
          </w:p>
        </w:tc>
        <w:tc>
          <w:tcPr>
            <w:tcW w:w="3033" w:type="dxa"/>
            <w:tcBorders>
              <w:top w:val="nil"/>
              <w:left w:val="nil"/>
              <w:bottom w:val="single" w:sz="4" w:space="0" w:color="auto"/>
              <w:right w:val="nil"/>
            </w:tcBorders>
            <w:shd w:val="clear" w:color="auto" w:fill="auto"/>
            <w:vAlign w:val="center"/>
            <w:hideMark/>
          </w:tcPr>
          <w:p w14:paraId="4B5E0F45"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In Region C they conduct the 'alternative dialogue' with patients and citizens. However, different broad health concepts are used in the region, and therefore also different interview instruments. For example, the social sector works with the four domains (4D) model and with PH. </w:t>
            </w:r>
          </w:p>
        </w:tc>
        <w:tc>
          <w:tcPr>
            <w:tcW w:w="2978" w:type="dxa"/>
            <w:tcBorders>
              <w:top w:val="nil"/>
              <w:left w:val="nil"/>
              <w:bottom w:val="single" w:sz="4" w:space="0" w:color="auto"/>
              <w:right w:val="nil"/>
            </w:tcBorders>
            <w:shd w:val="clear" w:color="auto" w:fill="auto"/>
            <w:vAlign w:val="center"/>
            <w:hideMark/>
          </w:tcPr>
          <w:p w14:paraId="727C9C09" w14:textId="77777777" w:rsidR="00BB6B63" w:rsidRPr="00981C37" w:rsidRDefault="00BB6B63" w:rsidP="00BB6B63">
            <w:pPr>
              <w:spacing w:after="0" w:line="240" w:lineRule="auto"/>
              <w:rPr>
                <w:rFonts w:ascii="Arial" w:eastAsia="Times New Roman" w:hAnsi="Arial" w:cs="Arial"/>
                <w:sz w:val="20"/>
                <w:szCs w:val="20"/>
                <w:lang w:eastAsia="nl-NL"/>
              </w:rPr>
            </w:pPr>
            <w:r w:rsidRPr="00981C37">
              <w:rPr>
                <w:rFonts w:ascii="Arial" w:eastAsia="Times New Roman" w:hAnsi="Arial" w:cs="Arial"/>
                <w:sz w:val="20"/>
                <w:szCs w:val="20"/>
                <w:lang w:eastAsia="nl-NL"/>
              </w:rPr>
              <w:t>The region has decided that the professionals are able to choose which dialogue tool they prefer. Professionals are trained in both. As both concepts strive for the same goal (‘broad view’) the region is fine by using both instruments.</w:t>
            </w:r>
          </w:p>
        </w:tc>
        <w:tc>
          <w:tcPr>
            <w:tcW w:w="2642" w:type="dxa"/>
            <w:tcBorders>
              <w:top w:val="nil"/>
              <w:left w:val="nil"/>
              <w:bottom w:val="single" w:sz="4" w:space="0" w:color="auto"/>
              <w:right w:val="single" w:sz="4" w:space="0" w:color="auto"/>
            </w:tcBorders>
            <w:shd w:val="clear" w:color="auto" w:fill="auto"/>
            <w:vAlign w:val="center"/>
            <w:hideMark/>
          </w:tcPr>
          <w:p w14:paraId="317AFA89"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Some partners had an aversion to PH specifically, but agreed on its perspective ('looking broadly at health'); by including another broad health concept, everyone could still participate. </w:t>
            </w:r>
          </w:p>
        </w:tc>
      </w:tr>
      <w:tr w:rsidR="001F768E" w:rsidRPr="00981C37" w14:paraId="31D1910E" w14:textId="77777777" w:rsidTr="00BA6626">
        <w:trPr>
          <w:trHeight w:val="300"/>
        </w:trPr>
        <w:tc>
          <w:tcPr>
            <w:tcW w:w="363" w:type="dxa"/>
            <w:tcBorders>
              <w:top w:val="single" w:sz="4" w:space="0" w:color="auto"/>
              <w:left w:val="single" w:sz="4" w:space="0" w:color="auto"/>
              <w:bottom w:val="nil"/>
              <w:right w:val="nil"/>
            </w:tcBorders>
            <w:shd w:val="clear" w:color="000000" w:fill="2F75B5"/>
            <w:noWrap/>
            <w:vAlign w:val="center"/>
            <w:hideMark/>
          </w:tcPr>
          <w:p w14:paraId="1097A9B7"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lastRenderedPageBreak/>
              <w:t> </w:t>
            </w:r>
          </w:p>
        </w:tc>
        <w:tc>
          <w:tcPr>
            <w:tcW w:w="8653" w:type="dxa"/>
            <w:gridSpan w:val="3"/>
            <w:tcBorders>
              <w:top w:val="single" w:sz="4" w:space="0" w:color="auto"/>
              <w:left w:val="nil"/>
              <w:bottom w:val="nil"/>
              <w:right w:val="single" w:sz="4" w:space="0" w:color="auto"/>
            </w:tcBorders>
            <w:shd w:val="clear" w:color="000000" w:fill="2F75B5"/>
            <w:noWrap/>
            <w:vAlign w:val="center"/>
            <w:hideMark/>
          </w:tcPr>
          <w:p w14:paraId="0428F1D1" w14:textId="791CBC8F"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Professionals knowing and understanding one another</w:t>
            </w:r>
          </w:p>
        </w:tc>
      </w:tr>
      <w:tr w:rsidR="00045276" w:rsidRPr="00981C37" w14:paraId="75B56E0B" w14:textId="77777777" w:rsidTr="00045276">
        <w:trPr>
          <w:trHeight w:val="300"/>
        </w:trPr>
        <w:tc>
          <w:tcPr>
            <w:tcW w:w="363" w:type="dxa"/>
            <w:tcBorders>
              <w:top w:val="single" w:sz="4" w:space="0" w:color="auto"/>
              <w:left w:val="single" w:sz="4" w:space="0" w:color="auto"/>
              <w:bottom w:val="single" w:sz="4" w:space="0" w:color="auto"/>
              <w:right w:val="nil"/>
            </w:tcBorders>
            <w:shd w:val="clear" w:color="000000" w:fill="BDD7EE"/>
            <w:noWrap/>
            <w:vAlign w:val="center"/>
            <w:hideMark/>
          </w:tcPr>
          <w:p w14:paraId="4FB68D6B"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single" w:sz="4" w:space="0" w:color="auto"/>
              <w:left w:val="nil"/>
              <w:bottom w:val="single" w:sz="4" w:space="0" w:color="auto"/>
              <w:right w:val="nil"/>
            </w:tcBorders>
            <w:shd w:val="clear" w:color="000000" w:fill="BDD7EE"/>
            <w:noWrap/>
            <w:vAlign w:val="center"/>
            <w:hideMark/>
          </w:tcPr>
          <w:p w14:paraId="295C18B7"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single" w:sz="4" w:space="0" w:color="auto"/>
              <w:left w:val="nil"/>
              <w:bottom w:val="single" w:sz="4" w:space="0" w:color="auto"/>
              <w:right w:val="nil"/>
            </w:tcBorders>
            <w:shd w:val="clear" w:color="000000" w:fill="BDD7EE"/>
            <w:noWrap/>
            <w:vAlign w:val="center"/>
            <w:hideMark/>
          </w:tcPr>
          <w:p w14:paraId="4D2CEBF6"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single" w:sz="4" w:space="0" w:color="auto"/>
              <w:left w:val="nil"/>
              <w:bottom w:val="single" w:sz="4" w:space="0" w:color="auto"/>
              <w:right w:val="single" w:sz="4" w:space="0" w:color="auto"/>
            </w:tcBorders>
            <w:shd w:val="clear" w:color="000000" w:fill="BDD7EE"/>
            <w:noWrap/>
            <w:vAlign w:val="center"/>
            <w:hideMark/>
          </w:tcPr>
          <w:p w14:paraId="4F652125"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09682A2E" w14:textId="77777777" w:rsidTr="00045276">
        <w:trPr>
          <w:trHeight w:val="1785"/>
        </w:trPr>
        <w:tc>
          <w:tcPr>
            <w:tcW w:w="363" w:type="dxa"/>
            <w:tcBorders>
              <w:top w:val="nil"/>
              <w:left w:val="single" w:sz="4" w:space="0" w:color="auto"/>
              <w:bottom w:val="single" w:sz="4" w:space="0" w:color="auto"/>
              <w:right w:val="nil"/>
            </w:tcBorders>
            <w:shd w:val="clear" w:color="auto" w:fill="auto"/>
            <w:noWrap/>
            <w:vAlign w:val="center"/>
            <w:hideMark/>
          </w:tcPr>
          <w:p w14:paraId="4C4B8186"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6</w:t>
            </w:r>
          </w:p>
        </w:tc>
        <w:tc>
          <w:tcPr>
            <w:tcW w:w="3033" w:type="dxa"/>
            <w:tcBorders>
              <w:top w:val="nil"/>
              <w:left w:val="nil"/>
              <w:bottom w:val="single" w:sz="4" w:space="0" w:color="auto"/>
              <w:right w:val="nil"/>
            </w:tcBorders>
            <w:shd w:val="clear" w:color="auto" w:fill="auto"/>
            <w:vAlign w:val="center"/>
            <w:hideMark/>
          </w:tcPr>
          <w:p w14:paraId="07B4D051" w14:textId="26617823"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Many different disciplines are connected to the 'health </w:t>
            </w:r>
            <w:proofErr w:type="spellStart"/>
            <w:r w:rsidRPr="00981C37">
              <w:rPr>
                <w:rFonts w:ascii="Arial" w:eastAsia="Times New Roman" w:hAnsi="Arial" w:cs="Arial"/>
                <w:color w:val="000000"/>
                <w:sz w:val="20"/>
                <w:szCs w:val="20"/>
                <w:lang w:eastAsia="nl-NL"/>
              </w:rPr>
              <w:t>center</w:t>
            </w:r>
            <w:proofErr w:type="spellEnd"/>
            <w:r w:rsidRPr="00981C37">
              <w:rPr>
                <w:rFonts w:ascii="Arial" w:eastAsia="Times New Roman" w:hAnsi="Arial" w:cs="Arial"/>
                <w:color w:val="000000"/>
                <w:sz w:val="20"/>
                <w:szCs w:val="20"/>
                <w:lang w:eastAsia="nl-NL"/>
              </w:rPr>
              <w:t>' in Region B increasing contact with each other through its consultation struct</w:t>
            </w:r>
            <w:r w:rsidR="0000588D" w:rsidRPr="00981C37">
              <w:rPr>
                <w:rFonts w:ascii="Arial" w:eastAsia="Times New Roman" w:hAnsi="Arial" w:cs="Arial"/>
                <w:color w:val="000000"/>
                <w:sz w:val="20"/>
                <w:szCs w:val="20"/>
                <w:lang w:eastAsia="nl-NL"/>
              </w:rPr>
              <w:t>ure</w:t>
            </w:r>
            <w:r w:rsidRPr="00981C37">
              <w:rPr>
                <w:rFonts w:ascii="Arial" w:eastAsia="Times New Roman" w:hAnsi="Arial" w:cs="Arial"/>
                <w:color w:val="000000"/>
                <w:sz w:val="20"/>
                <w:szCs w:val="20"/>
                <w:lang w:eastAsia="nl-NL"/>
              </w:rPr>
              <w:t>. In these consultations, they discuss domains of PH and all kinds of concepts: wellbeing, resilience, integrated thinking, etc.</w:t>
            </w:r>
          </w:p>
        </w:tc>
        <w:tc>
          <w:tcPr>
            <w:tcW w:w="2978" w:type="dxa"/>
            <w:tcBorders>
              <w:top w:val="nil"/>
              <w:left w:val="nil"/>
              <w:bottom w:val="single" w:sz="4" w:space="0" w:color="auto"/>
              <w:right w:val="nil"/>
            </w:tcBorders>
            <w:shd w:val="clear" w:color="auto" w:fill="auto"/>
            <w:vAlign w:val="center"/>
            <w:hideMark/>
          </w:tcPr>
          <w:p w14:paraId="3EA876B6"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All professionals become more familiar with the terminology of PH.</w:t>
            </w:r>
          </w:p>
        </w:tc>
        <w:tc>
          <w:tcPr>
            <w:tcW w:w="2642" w:type="dxa"/>
            <w:tcBorders>
              <w:top w:val="nil"/>
              <w:left w:val="nil"/>
              <w:bottom w:val="single" w:sz="4" w:space="0" w:color="auto"/>
              <w:right w:val="single" w:sz="4" w:space="0" w:color="auto"/>
            </w:tcBorders>
            <w:shd w:val="clear" w:color="auto" w:fill="auto"/>
            <w:vAlign w:val="center"/>
            <w:hideMark/>
          </w:tcPr>
          <w:p w14:paraId="5FDF024D"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A common language is being developed. Different disciplines have started to use PH terminology and now understand each other faster.</w:t>
            </w:r>
          </w:p>
        </w:tc>
      </w:tr>
      <w:tr w:rsidR="001F768E" w:rsidRPr="00981C37" w14:paraId="1A03E537" w14:textId="77777777" w:rsidTr="000E598B">
        <w:trPr>
          <w:trHeight w:val="300"/>
        </w:trPr>
        <w:tc>
          <w:tcPr>
            <w:tcW w:w="363" w:type="dxa"/>
            <w:tcBorders>
              <w:top w:val="nil"/>
              <w:left w:val="single" w:sz="4" w:space="0" w:color="auto"/>
              <w:bottom w:val="nil"/>
              <w:right w:val="nil"/>
            </w:tcBorders>
            <w:shd w:val="clear" w:color="000000" w:fill="2F75B5"/>
            <w:noWrap/>
            <w:vAlign w:val="center"/>
            <w:hideMark/>
          </w:tcPr>
          <w:p w14:paraId="7C26D0E4"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8653" w:type="dxa"/>
            <w:gridSpan w:val="3"/>
            <w:tcBorders>
              <w:top w:val="nil"/>
              <w:left w:val="nil"/>
              <w:bottom w:val="nil"/>
              <w:right w:val="single" w:sz="4" w:space="0" w:color="auto"/>
            </w:tcBorders>
            <w:shd w:val="clear" w:color="000000" w:fill="2F75B5"/>
            <w:noWrap/>
            <w:vAlign w:val="center"/>
            <w:hideMark/>
          </w:tcPr>
          <w:p w14:paraId="4F200245" w14:textId="6FFB5649"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Work from citizens’ needs and possibilities</w:t>
            </w:r>
            <w:r w:rsidRPr="00981C37">
              <w:rPr>
                <w:rFonts w:ascii="Arial" w:eastAsia="Times New Roman" w:hAnsi="Arial" w:cs="Arial"/>
                <w:color w:val="000000"/>
                <w:sz w:val="20"/>
                <w:szCs w:val="20"/>
                <w:lang w:eastAsia="nl-NL"/>
              </w:rPr>
              <w:t> </w:t>
            </w:r>
          </w:p>
        </w:tc>
      </w:tr>
      <w:tr w:rsidR="00045276" w:rsidRPr="00981C37" w14:paraId="66D2F0E5" w14:textId="77777777" w:rsidTr="00045276">
        <w:trPr>
          <w:trHeight w:val="300"/>
        </w:trPr>
        <w:tc>
          <w:tcPr>
            <w:tcW w:w="363" w:type="dxa"/>
            <w:tcBorders>
              <w:top w:val="single" w:sz="4" w:space="0" w:color="auto"/>
              <w:left w:val="single" w:sz="4" w:space="0" w:color="auto"/>
              <w:bottom w:val="single" w:sz="4" w:space="0" w:color="auto"/>
              <w:right w:val="nil"/>
            </w:tcBorders>
            <w:shd w:val="clear" w:color="000000" w:fill="BDD7EE"/>
            <w:noWrap/>
            <w:vAlign w:val="center"/>
            <w:hideMark/>
          </w:tcPr>
          <w:p w14:paraId="227D21C9"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single" w:sz="4" w:space="0" w:color="auto"/>
              <w:left w:val="nil"/>
              <w:bottom w:val="single" w:sz="4" w:space="0" w:color="auto"/>
              <w:right w:val="nil"/>
            </w:tcBorders>
            <w:shd w:val="clear" w:color="000000" w:fill="BDD7EE"/>
            <w:noWrap/>
            <w:vAlign w:val="center"/>
            <w:hideMark/>
          </w:tcPr>
          <w:p w14:paraId="3585D557"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single" w:sz="4" w:space="0" w:color="auto"/>
              <w:left w:val="nil"/>
              <w:bottom w:val="single" w:sz="4" w:space="0" w:color="auto"/>
              <w:right w:val="nil"/>
            </w:tcBorders>
            <w:shd w:val="clear" w:color="000000" w:fill="BDD7EE"/>
            <w:noWrap/>
            <w:vAlign w:val="center"/>
            <w:hideMark/>
          </w:tcPr>
          <w:p w14:paraId="6A5642B8"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single" w:sz="4" w:space="0" w:color="auto"/>
              <w:left w:val="nil"/>
              <w:bottom w:val="single" w:sz="4" w:space="0" w:color="auto"/>
              <w:right w:val="single" w:sz="4" w:space="0" w:color="auto"/>
            </w:tcBorders>
            <w:shd w:val="clear" w:color="000000" w:fill="BDD7EE"/>
            <w:noWrap/>
            <w:vAlign w:val="center"/>
            <w:hideMark/>
          </w:tcPr>
          <w:p w14:paraId="0A4A7E10"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6EBA6F86" w14:textId="77777777" w:rsidTr="00045276">
        <w:trPr>
          <w:trHeight w:val="1785"/>
        </w:trPr>
        <w:tc>
          <w:tcPr>
            <w:tcW w:w="363" w:type="dxa"/>
            <w:tcBorders>
              <w:top w:val="nil"/>
              <w:left w:val="single" w:sz="4" w:space="0" w:color="auto"/>
              <w:bottom w:val="nil"/>
              <w:right w:val="nil"/>
            </w:tcBorders>
            <w:shd w:val="clear" w:color="auto" w:fill="auto"/>
            <w:noWrap/>
            <w:vAlign w:val="center"/>
            <w:hideMark/>
          </w:tcPr>
          <w:p w14:paraId="45706D2A"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7</w:t>
            </w:r>
          </w:p>
        </w:tc>
        <w:tc>
          <w:tcPr>
            <w:tcW w:w="3033" w:type="dxa"/>
            <w:tcBorders>
              <w:top w:val="nil"/>
              <w:left w:val="nil"/>
              <w:bottom w:val="nil"/>
              <w:right w:val="nil"/>
            </w:tcBorders>
            <w:shd w:val="clear" w:color="auto" w:fill="auto"/>
            <w:vAlign w:val="center"/>
            <w:hideMark/>
          </w:tcPr>
          <w:p w14:paraId="0518B449" w14:textId="044A8DA4"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The IDKG team (citizen organisation) in Region C includes 30 volunteers. All volunteers completed a workshop and basic module about PH. Anyone from the </w:t>
            </w:r>
            <w:proofErr w:type="spellStart"/>
            <w:r w:rsidRPr="00981C37">
              <w:rPr>
                <w:rFonts w:ascii="Arial" w:eastAsia="Times New Roman" w:hAnsi="Arial" w:cs="Arial"/>
                <w:color w:val="000000"/>
                <w:sz w:val="20"/>
                <w:szCs w:val="20"/>
                <w:lang w:eastAsia="nl-NL"/>
              </w:rPr>
              <w:t>neighborhood</w:t>
            </w:r>
            <w:proofErr w:type="spellEnd"/>
            <w:r w:rsidRPr="00981C37">
              <w:rPr>
                <w:rFonts w:ascii="Arial" w:eastAsia="Times New Roman" w:hAnsi="Arial" w:cs="Arial"/>
                <w:color w:val="000000"/>
                <w:sz w:val="20"/>
                <w:szCs w:val="20"/>
                <w:lang w:eastAsia="nl-NL"/>
              </w:rPr>
              <w:t xml:space="preserve"> may join the team. People are deployed bas</w:t>
            </w:r>
            <w:r w:rsidR="0000588D" w:rsidRPr="00981C37">
              <w:rPr>
                <w:rFonts w:ascii="Arial" w:eastAsia="Times New Roman" w:hAnsi="Arial" w:cs="Arial"/>
                <w:color w:val="000000"/>
                <w:sz w:val="20"/>
                <w:szCs w:val="20"/>
                <w:lang w:eastAsia="nl-NL"/>
              </w:rPr>
              <w:t>e</w:t>
            </w:r>
            <w:r w:rsidRPr="00981C37">
              <w:rPr>
                <w:rFonts w:ascii="Arial" w:eastAsia="Times New Roman" w:hAnsi="Arial" w:cs="Arial"/>
                <w:color w:val="000000"/>
                <w:sz w:val="20"/>
                <w:szCs w:val="20"/>
                <w:lang w:eastAsia="nl-NL"/>
              </w:rPr>
              <w:t>d on their skills and talent.</w:t>
            </w:r>
          </w:p>
        </w:tc>
        <w:tc>
          <w:tcPr>
            <w:tcW w:w="2978" w:type="dxa"/>
            <w:tcBorders>
              <w:top w:val="nil"/>
              <w:left w:val="nil"/>
              <w:bottom w:val="nil"/>
              <w:right w:val="nil"/>
            </w:tcBorders>
            <w:shd w:val="clear" w:color="auto" w:fill="auto"/>
            <w:vAlign w:val="center"/>
            <w:hideMark/>
          </w:tcPr>
          <w:p w14:paraId="1FC907B3" w14:textId="3B288586"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Some citizens can devote more time to the IDKG team than others. But even when they can spend little time on it, they meet new people as a result. Attending the Positive Heal</w:t>
            </w:r>
            <w:r w:rsidR="0000588D" w:rsidRPr="00981C37">
              <w:rPr>
                <w:rFonts w:ascii="Arial" w:eastAsia="Times New Roman" w:hAnsi="Arial" w:cs="Arial"/>
                <w:color w:val="000000"/>
                <w:sz w:val="20"/>
                <w:szCs w:val="20"/>
                <w:lang w:eastAsia="nl-NL"/>
              </w:rPr>
              <w:t>t</w:t>
            </w:r>
            <w:r w:rsidRPr="00981C37">
              <w:rPr>
                <w:rFonts w:ascii="Arial" w:eastAsia="Times New Roman" w:hAnsi="Arial" w:cs="Arial"/>
                <w:color w:val="000000"/>
                <w:sz w:val="20"/>
                <w:szCs w:val="20"/>
                <w:lang w:eastAsia="nl-NL"/>
              </w:rPr>
              <w:t>h module has a positive impact on the team and the work they do together.</w:t>
            </w:r>
          </w:p>
        </w:tc>
        <w:tc>
          <w:tcPr>
            <w:tcW w:w="2642" w:type="dxa"/>
            <w:tcBorders>
              <w:top w:val="nil"/>
              <w:left w:val="nil"/>
              <w:bottom w:val="nil"/>
              <w:right w:val="single" w:sz="4" w:space="0" w:color="auto"/>
            </w:tcBorders>
            <w:shd w:val="clear" w:color="auto" w:fill="auto"/>
            <w:vAlign w:val="center"/>
            <w:hideMark/>
          </w:tcPr>
          <w:p w14:paraId="7E3913D3"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Citizens are regaining confidence in their own abilities. Citizens' social network enlarges. The volunteers promote PH to their other contacts, and apply it in their own lives. The volunteers think in possibilities instead of problems.</w:t>
            </w:r>
          </w:p>
        </w:tc>
      </w:tr>
      <w:tr w:rsidR="00045276" w:rsidRPr="00981C37" w14:paraId="34CBC66B" w14:textId="77777777" w:rsidTr="002157DA">
        <w:trPr>
          <w:trHeight w:val="2164"/>
        </w:trPr>
        <w:tc>
          <w:tcPr>
            <w:tcW w:w="363" w:type="dxa"/>
            <w:tcBorders>
              <w:top w:val="nil"/>
              <w:left w:val="single" w:sz="4" w:space="0" w:color="auto"/>
              <w:bottom w:val="nil"/>
              <w:right w:val="nil"/>
            </w:tcBorders>
            <w:shd w:val="clear" w:color="auto" w:fill="auto"/>
            <w:noWrap/>
            <w:vAlign w:val="center"/>
            <w:hideMark/>
          </w:tcPr>
          <w:p w14:paraId="01555AD9"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8</w:t>
            </w:r>
          </w:p>
        </w:tc>
        <w:tc>
          <w:tcPr>
            <w:tcW w:w="3033" w:type="dxa"/>
            <w:tcBorders>
              <w:top w:val="nil"/>
              <w:left w:val="nil"/>
              <w:bottom w:val="nil"/>
              <w:right w:val="nil"/>
            </w:tcBorders>
            <w:shd w:val="clear" w:color="auto" w:fill="auto"/>
            <w:vAlign w:val="center"/>
            <w:hideMark/>
          </w:tcPr>
          <w:p w14:paraId="428AF15A"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The GP in Region C started using the 'alternative dialogue' method (based on PH) with all its patients during consultations.</w:t>
            </w:r>
          </w:p>
        </w:tc>
        <w:tc>
          <w:tcPr>
            <w:tcW w:w="2978" w:type="dxa"/>
            <w:tcBorders>
              <w:top w:val="nil"/>
              <w:left w:val="nil"/>
              <w:bottom w:val="nil"/>
              <w:right w:val="nil"/>
            </w:tcBorders>
            <w:shd w:val="clear" w:color="auto" w:fill="auto"/>
            <w:vAlign w:val="center"/>
            <w:hideMark/>
          </w:tcPr>
          <w:p w14:paraId="6759DE37"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The 'alternative dialogue' with the patient, focusses more on coaching and restrains the urge to treat immediately. Citizens' own problem-solving abilities are addressed more.</w:t>
            </w:r>
          </w:p>
        </w:tc>
        <w:tc>
          <w:tcPr>
            <w:tcW w:w="2642" w:type="dxa"/>
            <w:tcBorders>
              <w:top w:val="nil"/>
              <w:left w:val="nil"/>
              <w:bottom w:val="nil"/>
              <w:right w:val="single" w:sz="4" w:space="0" w:color="auto"/>
            </w:tcBorders>
            <w:shd w:val="clear" w:color="auto" w:fill="auto"/>
            <w:vAlign w:val="center"/>
            <w:hideMark/>
          </w:tcPr>
          <w:p w14:paraId="7DAEC516"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Conversations between professionals and patients are improved. According to the GP, patients feel heard. Further, the GP experiences greater job satisfaction by using the 'alternative dialogue'.</w:t>
            </w:r>
          </w:p>
        </w:tc>
      </w:tr>
      <w:tr w:rsidR="001F768E" w:rsidRPr="00981C37" w14:paraId="544F928C" w14:textId="77777777" w:rsidTr="00E813F6">
        <w:trPr>
          <w:trHeight w:val="300"/>
        </w:trPr>
        <w:tc>
          <w:tcPr>
            <w:tcW w:w="363" w:type="dxa"/>
            <w:tcBorders>
              <w:top w:val="single" w:sz="4" w:space="0" w:color="auto"/>
              <w:left w:val="single" w:sz="4" w:space="0" w:color="auto"/>
              <w:bottom w:val="single" w:sz="4" w:space="0" w:color="auto"/>
              <w:right w:val="nil"/>
            </w:tcBorders>
            <w:shd w:val="clear" w:color="000000" w:fill="2F75B5"/>
            <w:noWrap/>
            <w:vAlign w:val="center"/>
            <w:hideMark/>
          </w:tcPr>
          <w:p w14:paraId="0887C03B"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8653" w:type="dxa"/>
            <w:gridSpan w:val="3"/>
            <w:tcBorders>
              <w:top w:val="single" w:sz="4" w:space="0" w:color="auto"/>
              <w:left w:val="nil"/>
              <w:bottom w:val="single" w:sz="4" w:space="0" w:color="auto"/>
              <w:right w:val="single" w:sz="4" w:space="0" w:color="auto"/>
            </w:tcBorders>
            <w:shd w:val="clear" w:color="000000" w:fill="2F75B5"/>
            <w:noWrap/>
            <w:vAlign w:val="center"/>
            <w:hideMark/>
          </w:tcPr>
          <w:p w14:paraId="4ED4C9D3" w14:textId="298DC05C"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Provide a facilitating organisational structure</w:t>
            </w:r>
          </w:p>
        </w:tc>
      </w:tr>
      <w:tr w:rsidR="00045276" w:rsidRPr="00981C37" w14:paraId="0CFF1B5E" w14:textId="77777777" w:rsidTr="00045276">
        <w:trPr>
          <w:trHeight w:val="300"/>
        </w:trPr>
        <w:tc>
          <w:tcPr>
            <w:tcW w:w="363" w:type="dxa"/>
            <w:tcBorders>
              <w:top w:val="nil"/>
              <w:left w:val="single" w:sz="4" w:space="0" w:color="auto"/>
              <w:bottom w:val="single" w:sz="4" w:space="0" w:color="auto"/>
              <w:right w:val="nil"/>
            </w:tcBorders>
            <w:shd w:val="clear" w:color="000000" w:fill="BDD7EE"/>
            <w:noWrap/>
            <w:vAlign w:val="center"/>
            <w:hideMark/>
          </w:tcPr>
          <w:p w14:paraId="0BB5D81C"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nil"/>
              <w:left w:val="nil"/>
              <w:bottom w:val="single" w:sz="4" w:space="0" w:color="auto"/>
              <w:right w:val="nil"/>
            </w:tcBorders>
            <w:shd w:val="clear" w:color="000000" w:fill="BDD7EE"/>
            <w:noWrap/>
            <w:vAlign w:val="center"/>
            <w:hideMark/>
          </w:tcPr>
          <w:p w14:paraId="5A305614"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nil"/>
              <w:left w:val="nil"/>
              <w:bottom w:val="single" w:sz="4" w:space="0" w:color="auto"/>
              <w:right w:val="nil"/>
            </w:tcBorders>
            <w:shd w:val="clear" w:color="000000" w:fill="BDD7EE"/>
            <w:noWrap/>
            <w:vAlign w:val="center"/>
            <w:hideMark/>
          </w:tcPr>
          <w:p w14:paraId="0B63280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nil"/>
              <w:left w:val="nil"/>
              <w:bottom w:val="single" w:sz="4" w:space="0" w:color="auto"/>
              <w:right w:val="single" w:sz="4" w:space="0" w:color="auto"/>
            </w:tcBorders>
            <w:shd w:val="clear" w:color="000000" w:fill="BDD7EE"/>
            <w:noWrap/>
            <w:vAlign w:val="center"/>
            <w:hideMark/>
          </w:tcPr>
          <w:p w14:paraId="7603DB40"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0829E79D" w14:textId="77777777" w:rsidTr="00BA6626">
        <w:trPr>
          <w:trHeight w:val="1530"/>
        </w:trPr>
        <w:tc>
          <w:tcPr>
            <w:tcW w:w="363" w:type="dxa"/>
            <w:tcBorders>
              <w:top w:val="nil"/>
              <w:left w:val="single" w:sz="4" w:space="0" w:color="auto"/>
              <w:right w:val="nil"/>
            </w:tcBorders>
            <w:shd w:val="clear" w:color="auto" w:fill="auto"/>
            <w:noWrap/>
            <w:vAlign w:val="center"/>
            <w:hideMark/>
          </w:tcPr>
          <w:p w14:paraId="31C99507"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9</w:t>
            </w:r>
          </w:p>
        </w:tc>
        <w:tc>
          <w:tcPr>
            <w:tcW w:w="3033" w:type="dxa"/>
            <w:tcBorders>
              <w:top w:val="nil"/>
              <w:left w:val="nil"/>
              <w:right w:val="nil"/>
            </w:tcBorders>
            <w:shd w:val="clear" w:color="auto" w:fill="auto"/>
            <w:vAlign w:val="center"/>
            <w:hideMark/>
          </w:tcPr>
          <w:p w14:paraId="1D670A02"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The project team in Region A included professionals from different levels, (healthcare) professionals, strategist, administrators. Project team members found it difficult to take decisions; strategic and implementation choices were mixed up. </w:t>
            </w:r>
          </w:p>
        </w:tc>
        <w:tc>
          <w:tcPr>
            <w:tcW w:w="2978" w:type="dxa"/>
            <w:tcBorders>
              <w:top w:val="nil"/>
              <w:left w:val="nil"/>
              <w:right w:val="nil"/>
            </w:tcBorders>
            <w:shd w:val="clear" w:color="auto" w:fill="auto"/>
            <w:vAlign w:val="center"/>
            <w:hideMark/>
          </w:tcPr>
          <w:p w14:paraId="14F7A7C0"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Project team was split into smaller groups, using a multi-layered structure with a decision-making and/or management layer (e.g. steering group) and an executive layer (e.g. working group)</w:t>
            </w:r>
          </w:p>
        </w:tc>
        <w:tc>
          <w:tcPr>
            <w:tcW w:w="2642" w:type="dxa"/>
            <w:tcBorders>
              <w:top w:val="nil"/>
              <w:left w:val="nil"/>
              <w:right w:val="single" w:sz="4" w:space="0" w:color="auto"/>
            </w:tcBorders>
            <w:shd w:val="clear" w:color="auto" w:fill="auto"/>
            <w:vAlign w:val="center"/>
            <w:hideMark/>
          </w:tcPr>
          <w:p w14:paraId="7BEB2CFD" w14:textId="464F8AAD"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Decision-making </w:t>
            </w:r>
            <w:r w:rsidR="0000588D" w:rsidRPr="00981C37">
              <w:rPr>
                <w:rFonts w:ascii="Arial" w:eastAsia="Times New Roman" w:hAnsi="Arial" w:cs="Arial"/>
                <w:color w:val="000000"/>
                <w:sz w:val="20"/>
                <w:szCs w:val="20"/>
                <w:lang w:eastAsia="nl-NL"/>
              </w:rPr>
              <w:t>process</w:t>
            </w:r>
            <w:r w:rsidRPr="00981C37">
              <w:rPr>
                <w:rFonts w:ascii="Arial" w:eastAsia="Times New Roman" w:hAnsi="Arial" w:cs="Arial"/>
                <w:color w:val="000000"/>
                <w:sz w:val="20"/>
                <w:szCs w:val="20"/>
                <w:lang w:eastAsia="nl-NL"/>
              </w:rPr>
              <w:t xml:space="preserve"> is improved. The project team reaches decisions faster and better.</w:t>
            </w:r>
          </w:p>
        </w:tc>
      </w:tr>
      <w:tr w:rsidR="00045276" w:rsidRPr="00981C37" w14:paraId="24775B5A" w14:textId="77777777" w:rsidTr="00BA6626">
        <w:trPr>
          <w:trHeight w:val="3253"/>
        </w:trPr>
        <w:tc>
          <w:tcPr>
            <w:tcW w:w="363" w:type="dxa"/>
            <w:tcBorders>
              <w:top w:val="nil"/>
              <w:left w:val="single" w:sz="4" w:space="0" w:color="auto"/>
              <w:bottom w:val="single" w:sz="4" w:space="0" w:color="auto"/>
              <w:right w:val="nil"/>
            </w:tcBorders>
            <w:shd w:val="clear" w:color="auto" w:fill="auto"/>
            <w:noWrap/>
            <w:vAlign w:val="center"/>
            <w:hideMark/>
          </w:tcPr>
          <w:p w14:paraId="4AA735B2"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10</w:t>
            </w:r>
          </w:p>
        </w:tc>
        <w:tc>
          <w:tcPr>
            <w:tcW w:w="3033" w:type="dxa"/>
            <w:tcBorders>
              <w:top w:val="nil"/>
              <w:left w:val="nil"/>
              <w:bottom w:val="single" w:sz="4" w:space="0" w:color="auto"/>
              <w:right w:val="nil"/>
            </w:tcBorders>
            <w:shd w:val="clear" w:color="auto" w:fill="auto"/>
            <w:vAlign w:val="center"/>
            <w:hideMark/>
          </w:tcPr>
          <w:p w14:paraId="68F251FF"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Many professionals in Region B already embraced the PH philosophy and integrated it in their own way of working. Organisations, that otherwise would not work together, were brought into contact with each other by creating a consultation structure and 'health </w:t>
            </w:r>
            <w:proofErr w:type="spellStart"/>
            <w:r w:rsidRPr="00981C37">
              <w:rPr>
                <w:rFonts w:ascii="Arial" w:eastAsia="Times New Roman" w:hAnsi="Arial" w:cs="Arial"/>
                <w:color w:val="000000"/>
                <w:sz w:val="20"/>
                <w:szCs w:val="20"/>
                <w:lang w:eastAsia="nl-NL"/>
              </w:rPr>
              <w:t>center</w:t>
            </w:r>
            <w:proofErr w:type="spellEnd"/>
            <w:r w:rsidRPr="00981C37">
              <w:rPr>
                <w:rFonts w:ascii="Arial" w:eastAsia="Times New Roman" w:hAnsi="Arial" w:cs="Arial"/>
                <w:color w:val="000000"/>
                <w:sz w:val="20"/>
                <w:szCs w:val="20"/>
                <w:lang w:eastAsia="nl-NL"/>
              </w:rPr>
              <w:t xml:space="preserve">'. The </w:t>
            </w: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tried to shape this structurally.</w:t>
            </w:r>
          </w:p>
          <w:p w14:paraId="0BC3C855" w14:textId="243A56DB" w:rsidR="002157DA" w:rsidRPr="00981C37" w:rsidRDefault="002157DA" w:rsidP="00BB6B63">
            <w:pPr>
              <w:spacing w:after="0" w:line="240" w:lineRule="auto"/>
              <w:rPr>
                <w:rFonts w:ascii="Arial" w:eastAsia="Times New Roman" w:hAnsi="Arial" w:cs="Arial"/>
                <w:color w:val="000000"/>
                <w:sz w:val="20"/>
                <w:szCs w:val="20"/>
                <w:lang w:eastAsia="nl-NL"/>
              </w:rPr>
            </w:pPr>
          </w:p>
        </w:tc>
        <w:tc>
          <w:tcPr>
            <w:tcW w:w="2978" w:type="dxa"/>
            <w:tcBorders>
              <w:top w:val="nil"/>
              <w:left w:val="nil"/>
              <w:bottom w:val="single" w:sz="4" w:space="0" w:color="auto"/>
              <w:right w:val="nil"/>
            </w:tcBorders>
            <w:shd w:val="clear" w:color="auto" w:fill="auto"/>
            <w:vAlign w:val="center"/>
            <w:hideMark/>
          </w:tcPr>
          <w:p w14:paraId="70E9101C"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Funding of the coalition stopped, forcing the </w:t>
            </w: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to quit. There was also a change of director at the welfare organisation, who appeared to be less enthusiastic about the PH concept. In addition, the local councillor changed.</w:t>
            </w:r>
          </w:p>
        </w:tc>
        <w:tc>
          <w:tcPr>
            <w:tcW w:w="2642" w:type="dxa"/>
            <w:tcBorders>
              <w:top w:val="nil"/>
              <w:left w:val="nil"/>
              <w:bottom w:val="single" w:sz="4" w:space="0" w:color="auto"/>
              <w:right w:val="single" w:sz="4" w:space="0" w:color="auto"/>
            </w:tcBorders>
            <w:shd w:val="clear" w:color="auto" w:fill="auto"/>
            <w:vAlign w:val="center"/>
            <w:hideMark/>
          </w:tcPr>
          <w:p w14:paraId="381BFAF5" w14:textId="5F675260"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It is uncertain whether the collaborations will continue without a </w:t>
            </w: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and structural budget. The steering committee needs to reconsider program management. They question whether an external </w:t>
            </w: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is best.</w:t>
            </w:r>
          </w:p>
        </w:tc>
      </w:tr>
      <w:tr w:rsidR="001F768E" w:rsidRPr="00981C37" w14:paraId="5EBCC824" w14:textId="77777777" w:rsidTr="00BA6626">
        <w:trPr>
          <w:trHeight w:val="300"/>
        </w:trPr>
        <w:tc>
          <w:tcPr>
            <w:tcW w:w="363" w:type="dxa"/>
            <w:tcBorders>
              <w:top w:val="single" w:sz="4" w:space="0" w:color="auto"/>
              <w:left w:val="single" w:sz="4" w:space="0" w:color="auto"/>
              <w:bottom w:val="single" w:sz="4" w:space="0" w:color="auto"/>
              <w:right w:val="nil"/>
            </w:tcBorders>
            <w:shd w:val="clear" w:color="000000" w:fill="2F75B5"/>
            <w:noWrap/>
            <w:vAlign w:val="center"/>
            <w:hideMark/>
          </w:tcPr>
          <w:p w14:paraId="11F85714"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lastRenderedPageBreak/>
              <w:t> </w:t>
            </w:r>
          </w:p>
        </w:tc>
        <w:tc>
          <w:tcPr>
            <w:tcW w:w="8653" w:type="dxa"/>
            <w:gridSpan w:val="3"/>
            <w:tcBorders>
              <w:top w:val="single" w:sz="4" w:space="0" w:color="auto"/>
              <w:left w:val="nil"/>
              <w:bottom w:val="single" w:sz="4" w:space="0" w:color="auto"/>
              <w:right w:val="single" w:sz="4" w:space="0" w:color="auto"/>
            </w:tcBorders>
            <w:shd w:val="clear" w:color="000000" w:fill="2F75B5"/>
            <w:noWrap/>
            <w:vAlign w:val="center"/>
            <w:hideMark/>
          </w:tcPr>
          <w:p w14:paraId="1FF3958B" w14:textId="6A19AB86"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Ensure financial resources to achieve goals</w:t>
            </w:r>
          </w:p>
        </w:tc>
      </w:tr>
      <w:tr w:rsidR="00045276" w:rsidRPr="00981C37" w14:paraId="5685F89A" w14:textId="77777777" w:rsidTr="00045276">
        <w:trPr>
          <w:trHeight w:val="300"/>
        </w:trPr>
        <w:tc>
          <w:tcPr>
            <w:tcW w:w="363" w:type="dxa"/>
            <w:tcBorders>
              <w:top w:val="nil"/>
              <w:left w:val="single" w:sz="4" w:space="0" w:color="auto"/>
              <w:bottom w:val="single" w:sz="4" w:space="0" w:color="auto"/>
              <w:right w:val="nil"/>
            </w:tcBorders>
            <w:shd w:val="clear" w:color="000000" w:fill="BDD7EE"/>
            <w:noWrap/>
            <w:vAlign w:val="center"/>
            <w:hideMark/>
          </w:tcPr>
          <w:p w14:paraId="0B56F455"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nil"/>
              <w:left w:val="nil"/>
              <w:bottom w:val="single" w:sz="4" w:space="0" w:color="auto"/>
              <w:right w:val="nil"/>
            </w:tcBorders>
            <w:shd w:val="clear" w:color="000000" w:fill="BDD7EE"/>
            <w:noWrap/>
            <w:vAlign w:val="center"/>
            <w:hideMark/>
          </w:tcPr>
          <w:p w14:paraId="21E81FE5"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nil"/>
              <w:left w:val="nil"/>
              <w:bottom w:val="single" w:sz="4" w:space="0" w:color="auto"/>
              <w:right w:val="nil"/>
            </w:tcBorders>
            <w:shd w:val="clear" w:color="000000" w:fill="BDD7EE"/>
            <w:noWrap/>
            <w:vAlign w:val="center"/>
            <w:hideMark/>
          </w:tcPr>
          <w:p w14:paraId="611C64D0"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nil"/>
              <w:left w:val="nil"/>
              <w:bottom w:val="single" w:sz="4" w:space="0" w:color="auto"/>
              <w:right w:val="single" w:sz="4" w:space="0" w:color="auto"/>
            </w:tcBorders>
            <w:shd w:val="clear" w:color="000000" w:fill="BDD7EE"/>
            <w:noWrap/>
            <w:vAlign w:val="center"/>
            <w:hideMark/>
          </w:tcPr>
          <w:p w14:paraId="19546A7D"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52B19685" w14:textId="77777777" w:rsidTr="00045276">
        <w:trPr>
          <w:trHeight w:val="1530"/>
        </w:trPr>
        <w:tc>
          <w:tcPr>
            <w:tcW w:w="363" w:type="dxa"/>
            <w:tcBorders>
              <w:top w:val="nil"/>
              <w:left w:val="single" w:sz="4" w:space="0" w:color="auto"/>
              <w:bottom w:val="nil"/>
              <w:right w:val="nil"/>
            </w:tcBorders>
            <w:shd w:val="clear" w:color="auto" w:fill="auto"/>
            <w:noWrap/>
            <w:vAlign w:val="center"/>
            <w:hideMark/>
          </w:tcPr>
          <w:p w14:paraId="6C9F18D0"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11</w:t>
            </w:r>
          </w:p>
        </w:tc>
        <w:tc>
          <w:tcPr>
            <w:tcW w:w="3033" w:type="dxa"/>
            <w:tcBorders>
              <w:top w:val="nil"/>
              <w:left w:val="nil"/>
              <w:bottom w:val="nil"/>
              <w:right w:val="nil"/>
            </w:tcBorders>
            <w:shd w:val="clear" w:color="auto" w:fill="auto"/>
            <w:vAlign w:val="center"/>
            <w:hideMark/>
          </w:tcPr>
          <w:p w14:paraId="2E87E0D8" w14:textId="638BA024"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In Region B attempts are made to implement the PH philosophy through action plans. The coalition tries to cooperate with the health</w:t>
            </w:r>
            <w:r w:rsidR="0000588D" w:rsidRPr="00981C37">
              <w:rPr>
                <w:rFonts w:ascii="Arial" w:eastAsia="Times New Roman" w:hAnsi="Arial" w:cs="Arial"/>
                <w:color w:val="000000"/>
                <w:sz w:val="20"/>
                <w:szCs w:val="20"/>
                <w:lang w:eastAsia="nl-NL"/>
              </w:rPr>
              <w:t xml:space="preserve"> </w:t>
            </w:r>
            <w:r w:rsidRPr="00981C37">
              <w:rPr>
                <w:rFonts w:ascii="Arial" w:eastAsia="Times New Roman" w:hAnsi="Arial" w:cs="Arial"/>
                <w:color w:val="000000"/>
                <w:sz w:val="20"/>
                <w:szCs w:val="20"/>
                <w:lang w:eastAsia="nl-NL"/>
              </w:rPr>
              <w:t>insurer to make financing agreements about their contribution.</w:t>
            </w:r>
          </w:p>
        </w:tc>
        <w:tc>
          <w:tcPr>
            <w:tcW w:w="2978" w:type="dxa"/>
            <w:tcBorders>
              <w:top w:val="nil"/>
              <w:left w:val="nil"/>
              <w:bottom w:val="nil"/>
              <w:right w:val="nil"/>
            </w:tcBorders>
            <w:shd w:val="clear" w:color="auto" w:fill="auto"/>
            <w:vAlign w:val="center"/>
            <w:hideMark/>
          </w:tcPr>
          <w:p w14:paraId="2DC98CEC" w14:textId="481ABD1F"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The coalition experiences difficulties with entering into discussion with the health insurer. The health</w:t>
            </w:r>
            <w:r w:rsidR="0000588D" w:rsidRPr="00981C37">
              <w:rPr>
                <w:rFonts w:ascii="Arial" w:eastAsia="Times New Roman" w:hAnsi="Arial" w:cs="Arial"/>
                <w:color w:val="000000"/>
                <w:sz w:val="20"/>
                <w:szCs w:val="20"/>
                <w:lang w:eastAsia="nl-NL"/>
              </w:rPr>
              <w:t xml:space="preserve"> </w:t>
            </w:r>
            <w:r w:rsidRPr="00981C37">
              <w:rPr>
                <w:rFonts w:ascii="Arial" w:eastAsia="Times New Roman" w:hAnsi="Arial" w:cs="Arial"/>
                <w:color w:val="000000"/>
                <w:sz w:val="20"/>
                <w:szCs w:val="20"/>
                <w:lang w:eastAsia="nl-NL"/>
              </w:rPr>
              <w:t>insurer appears to have other priorities. They went on for a long time trying to cooperate with the health</w:t>
            </w:r>
            <w:r w:rsidR="0000588D" w:rsidRPr="00981C37">
              <w:rPr>
                <w:rFonts w:ascii="Arial" w:eastAsia="Times New Roman" w:hAnsi="Arial" w:cs="Arial"/>
                <w:color w:val="000000"/>
                <w:sz w:val="20"/>
                <w:szCs w:val="20"/>
                <w:lang w:eastAsia="nl-NL"/>
              </w:rPr>
              <w:t xml:space="preserve"> </w:t>
            </w:r>
            <w:r w:rsidRPr="00981C37">
              <w:rPr>
                <w:rFonts w:ascii="Arial" w:eastAsia="Times New Roman" w:hAnsi="Arial" w:cs="Arial"/>
                <w:color w:val="000000"/>
                <w:sz w:val="20"/>
                <w:szCs w:val="20"/>
                <w:lang w:eastAsia="nl-NL"/>
              </w:rPr>
              <w:t>insurer.</w:t>
            </w:r>
          </w:p>
        </w:tc>
        <w:tc>
          <w:tcPr>
            <w:tcW w:w="2642" w:type="dxa"/>
            <w:tcBorders>
              <w:top w:val="nil"/>
              <w:left w:val="nil"/>
              <w:bottom w:val="nil"/>
              <w:right w:val="single" w:sz="4" w:space="0" w:color="auto"/>
            </w:tcBorders>
            <w:shd w:val="clear" w:color="auto" w:fill="auto"/>
            <w:vAlign w:val="center"/>
            <w:hideMark/>
          </w:tcPr>
          <w:p w14:paraId="282FF408" w14:textId="44D63C2E"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Coalition had anticipations for a long time, but the health</w:t>
            </w:r>
            <w:r w:rsidR="0000588D" w:rsidRPr="00981C37">
              <w:rPr>
                <w:rFonts w:ascii="Arial" w:eastAsia="Times New Roman" w:hAnsi="Arial" w:cs="Arial"/>
                <w:color w:val="000000"/>
                <w:sz w:val="20"/>
                <w:szCs w:val="20"/>
                <w:lang w:eastAsia="nl-NL"/>
              </w:rPr>
              <w:t xml:space="preserve"> </w:t>
            </w:r>
            <w:r w:rsidRPr="00981C37">
              <w:rPr>
                <w:rFonts w:ascii="Arial" w:eastAsia="Times New Roman" w:hAnsi="Arial" w:cs="Arial"/>
                <w:color w:val="000000"/>
                <w:sz w:val="20"/>
                <w:szCs w:val="20"/>
                <w:lang w:eastAsia="nl-NL"/>
              </w:rPr>
              <w:t>insurer ultimately did not want to contribute to structural funding. The implementation of the PH action plans is again put on hold.</w:t>
            </w:r>
          </w:p>
        </w:tc>
      </w:tr>
      <w:tr w:rsidR="00045276" w:rsidRPr="00981C37" w14:paraId="121DD8E0" w14:textId="77777777" w:rsidTr="004565D3">
        <w:trPr>
          <w:trHeight w:val="2487"/>
        </w:trPr>
        <w:tc>
          <w:tcPr>
            <w:tcW w:w="363" w:type="dxa"/>
            <w:tcBorders>
              <w:top w:val="nil"/>
              <w:left w:val="single" w:sz="4" w:space="0" w:color="auto"/>
              <w:bottom w:val="nil"/>
              <w:right w:val="nil"/>
            </w:tcBorders>
            <w:shd w:val="clear" w:color="auto" w:fill="auto"/>
            <w:noWrap/>
            <w:vAlign w:val="center"/>
            <w:hideMark/>
          </w:tcPr>
          <w:p w14:paraId="01E84E54"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12</w:t>
            </w:r>
          </w:p>
        </w:tc>
        <w:tc>
          <w:tcPr>
            <w:tcW w:w="3033" w:type="dxa"/>
            <w:tcBorders>
              <w:top w:val="nil"/>
              <w:left w:val="nil"/>
              <w:bottom w:val="nil"/>
              <w:right w:val="nil"/>
            </w:tcBorders>
            <w:shd w:val="clear" w:color="auto" w:fill="auto"/>
            <w:vAlign w:val="center"/>
            <w:hideMark/>
          </w:tcPr>
          <w:p w14:paraId="4811901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The healthcare system in the Netherlands is primarily focused on treating diseases and care, and less on health promotion and prevention. Nationally, there are only a few funds that would finance the PH movement. </w:t>
            </w:r>
          </w:p>
        </w:tc>
        <w:tc>
          <w:tcPr>
            <w:tcW w:w="2978" w:type="dxa"/>
            <w:tcBorders>
              <w:top w:val="nil"/>
              <w:left w:val="nil"/>
              <w:bottom w:val="nil"/>
              <w:right w:val="nil"/>
            </w:tcBorders>
            <w:shd w:val="clear" w:color="auto" w:fill="auto"/>
            <w:vAlign w:val="center"/>
            <w:hideMark/>
          </w:tcPr>
          <w:p w14:paraId="64D2405D" w14:textId="5CB215FC"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In Region B there are local funds that want to contribute, and the municipality pays several interventions, but there is no extra budget. Bottom-up energy resulted in collaboration between citizen cooperation, welfare and heal</w:t>
            </w:r>
            <w:r w:rsidR="0000588D" w:rsidRPr="00981C37">
              <w:rPr>
                <w:rFonts w:ascii="Arial" w:eastAsia="Times New Roman" w:hAnsi="Arial" w:cs="Arial"/>
                <w:color w:val="000000"/>
                <w:sz w:val="20"/>
                <w:szCs w:val="20"/>
                <w:lang w:eastAsia="nl-NL"/>
              </w:rPr>
              <w:t>t</w:t>
            </w:r>
            <w:r w:rsidRPr="00981C37">
              <w:rPr>
                <w:rFonts w:ascii="Arial" w:eastAsia="Times New Roman" w:hAnsi="Arial" w:cs="Arial"/>
                <w:color w:val="000000"/>
                <w:sz w:val="20"/>
                <w:szCs w:val="20"/>
                <w:lang w:eastAsia="nl-NL"/>
              </w:rPr>
              <w:t>hcare. Further, PH is integrated in municipal health policy.</w:t>
            </w:r>
          </w:p>
        </w:tc>
        <w:tc>
          <w:tcPr>
            <w:tcW w:w="2642" w:type="dxa"/>
            <w:tcBorders>
              <w:top w:val="nil"/>
              <w:left w:val="nil"/>
              <w:bottom w:val="nil"/>
              <w:right w:val="single" w:sz="4" w:space="0" w:color="auto"/>
            </w:tcBorders>
            <w:shd w:val="clear" w:color="auto" w:fill="auto"/>
            <w:vAlign w:val="center"/>
            <w:hideMark/>
          </w:tcPr>
          <w:p w14:paraId="70FC177C" w14:textId="37024A73" w:rsidR="00BB6B63" w:rsidRPr="00981C37" w:rsidRDefault="00BB6B63" w:rsidP="00BB6B63">
            <w:pPr>
              <w:spacing w:after="0" w:line="240" w:lineRule="auto"/>
              <w:rPr>
                <w:rFonts w:ascii="Arial" w:eastAsia="Times New Roman" w:hAnsi="Arial" w:cs="Arial"/>
                <w:color w:val="000000"/>
                <w:sz w:val="20"/>
                <w:szCs w:val="20"/>
                <w:lang w:eastAsia="nl-NL"/>
              </w:rPr>
            </w:pPr>
            <w:proofErr w:type="spellStart"/>
            <w:r w:rsidRPr="00981C37">
              <w:rPr>
                <w:rFonts w:ascii="Arial" w:eastAsia="Times New Roman" w:hAnsi="Arial" w:cs="Arial"/>
                <w:color w:val="000000"/>
                <w:sz w:val="20"/>
                <w:szCs w:val="20"/>
                <w:lang w:eastAsia="nl-NL"/>
              </w:rPr>
              <w:t>Projectleader</w:t>
            </w:r>
            <w:proofErr w:type="spellEnd"/>
            <w:r w:rsidRPr="00981C37">
              <w:rPr>
                <w:rFonts w:ascii="Arial" w:eastAsia="Times New Roman" w:hAnsi="Arial" w:cs="Arial"/>
                <w:color w:val="000000"/>
                <w:sz w:val="20"/>
                <w:szCs w:val="20"/>
                <w:lang w:eastAsia="nl-NL"/>
              </w:rPr>
              <w:t xml:space="preserve"> experiences challenge around accelerating, broadening and strengthening the PH movement. Policy officer at the municipality tries to develop PH further within and outside the organisation.</w:t>
            </w:r>
          </w:p>
        </w:tc>
      </w:tr>
      <w:tr w:rsidR="001F768E" w:rsidRPr="00981C37" w14:paraId="0DB50807" w14:textId="77777777" w:rsidTr="00B15F47">
        <w:trPr>
          <w:trHeight w:val="300"/>
        </w:trPr>
        <w:tc>
          <w:tcPr>
            <w:tcW w:w="363" w:type="dxa"/>
            <w:tcBorders>
              <w:top w:val="single" w:sz="4" w:space="0" w:color="auto"/>
              <w:left w:val="single" w:sz="4" w:space="0" w:color="auto"/>
              <w:bottom w:val="single" w:sz="4" w:space="0" w:color="auto"/>
              <w:right w:val="nil"/>
            </w:tcBorders>
            <w:shd w:val="clear" w:color="000000" w:fill="2F75B5"/>
            <w:noWrap/>
            <w:vAlign w:val="center"/>
            <w:hideMark/>
          </w:tcPr>
          <w:p w14:paraId="1E15C159" w14:textId="77777777" w:rsidR="001F768E" w:rsidRPr="00981C37" w:rsidRDefault="001F768E"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8653" w:type="dxa"/>
            <w:gridSpan w:val="3"/>
            <w:tcBorders>
              <w:top w:val="single" w:sz="4" w:space="0" w:color="auto"/>
              <w:left w:val="nil"/>
              <w:bottom w:val="single" w:sz="4" w:space="0" w:color="auto"/>
              <w:right w:val="single" w:sz="4" w:space="0" w:color="auto"/>
            </w:tcBorders>
            <w:shd w:val="clear" w:color="000000" w:fill="2F75B5"/>
            <w:noWrap/>
            <w:vAlign w:val="center"/>
            <w:hideMark/>
          </w:tcPr>
          <w:p w14:paraId="0279977B" w14:textId="07AE662B" w:rsidR="001F768E" w:rsidRPr="00981C37" w:rsidRDefault="001F768E" w:rsidP="001F768E">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b/>
                <w:bCs/>
                <w:color w:val="000000"/>
                <w:sz w:val="20"/>
                <w:szCs w:val="20"/>
                <w:lang w:eastAsia="nl-NL"/>
              </w:rPr>
              <w:t>Embed broad health concepts more in society</w:t>
            </w:r>
            <w:r w:rsidRPr="00981C37">
              <w:rPr>
                <w:rFonts w:ascii="Arial" w:eastAsia="Times New Roman" w:hAnsi="Arial" w:cs="Arial"/>
                <w:color w:val="000000"/>
                <w:sz w:val="20"/>
                <w:szCs w:val="20"/>
                <w:lang w:eastAsia="nl-NL"/>
              </w:rPr>
              <w:t> </w:t>
            </w:r>
          </w:p>
        </w:tc>
      </w:tr>
      <w:tr w:rsidR="00045276" w:rsidRPr="00981C37" w14:paraId="5768ED89" w14:textId="77777777" w:rsidTr="00045276">
        <w:trPr>
          <w:trHeight w:val="300"/>
        </w:trPr>
        <w:tc>
          <w:tcPr>
            <w:tcW w:w="363" w:type="dxa"/>
            <w:tcBorders>
              <w:top w:val="nil"/>
              <w:left w:val="single" w:sz="4" w:space="0" w:color="auto"/>
              <w:bottom w:val="single" w:sz="4" w:space="0" w:color="auto"/>
              <w:right w:val="nil"/>
            </w:tcBorders>
            <w:shd w:val="clear" w:color="000000" w:fill="BDD7EE"/>
            <w:noWrap/>
            <w:vAlign w:val="center"/>
            <w:hideMark/>
          </w:tcPr>
          <w:p w14:paraId="7501ACD0"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w:t>
            </w:r>
          </w:p>
        </w:tc>
        <w:tc>
          <w:tcPr>
            <w:tcW w:w="3033" w:type="dxa"/>
            <w:tcBorders>
              <w:top w:val="nil"/>
              <w:left w:val="nil"/>
              <w:bottom w:val="single" w:sz="4" w:space="0" w:color="auto"/>
              <w:right w:val="nil"/>
            </w:tcBorders>
            <w:shd w:val="clear" w:color="000000" w:fill="BDD7EE"/>
            <w:noWrap/>
            <w:vAlign w:val="center"/>
            <w:hideMark/>
          </w:tcPr>
          <w:p w14:paraId="5C4FA837"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Context</w:t>
            </w:r>
          </w:p>
        </w:tc>
        <w:tc>
          <w:tcPr>
            <w:tcW w:w="2978" w:type="dxa"/>
            <w:tcBorders>
              <w:top w:val="nil"/>
              <w:left w:val="nil"/>
              <w:bottom w:val="single" w:sz="4" w:space="0" w:color="auto"/>
              <w:right w:val="nil"/>
            </w:tcBorders>
            <w:shd w:val="clear" w:color="000000" w:fill="BDD7EE"/>
            <w:noWrap/>
            <w:vAlign w:val="center"/>
            <w:hideMark/>
          </w:tcPr>
          <w:p w14:paraId="76F51B2C"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Mechanism</w:t>
            </w:r>
          </w:p>
        </w:tc>
        <w:tc>
          <w:tcPr>
            <w:tcW w:w="2642" w:type="dxa"/>
            <w:tcBorders>
              <w:top w:val="nil"/>
              <w:left w:val="nil"/>
              <w:bottom w:val="single" w:sz="4" w:space="0" w:color="auto"/>
              <w:right w:val="single" w:sz="4" w:space="0" w:color="auto"/>
            </w:tcBorders>
            <w:shd w:val="clear" w:color="000000" w:fill="BDD7EE"/>
            <w:noWrap/>
            <w:vAlign w:val="center"/>
            <w:hideMark/>
          </w:tcPr>
          <w:p w14:paraId="342054F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Outcome</w:t>
            </w:r>
          </w:p>
        </w:tc>
      </w:tr>
      <w:tr w:rsidR="00045276" w:rsidRPr="00981C37" w14:paraId="0C58204B" w14:textId="77777777" w:rsidTr="004565D3">
        <w:trPr>
          <w:trHeight w:val="2635"/>
        </w:trPr>
        <w:tc>
          <w:tcPr>
            <w:tcW w:w="363" w:type="dxa"/>
            <w:tcBorders>
              <w:top w:val="nil"/>
              <w:left w:val="single" w:sz="4" w:space="0" w:color="auto"/>
              <w:bottom w:val="nil"/>
              <w:right w:val="nil"/>
            </w:tcBorders>
            <w:shd w:val="clear" w:color="auto" w:fill="auto"/>
            <w:noWrap/>
            <w:vAlign w:val="center"/>
            <w:hideMark/>
          </w:tcPr>
          <w:p w14:paraId="6F6D7E21"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13</w:t>
            </w:r>
          </w:p>
        </w:tc>
        <w:tc>
          <w:tcPr>
            <w:tcW w:w="3033" w:type="dxa"/>
            <w:tcBorders>
              <w:top w:val="nil"/>
              <w:left w:val="nil"/>
              <w:bottom w:val="nil"/>
              <w:right w:val="nil"/>
            </w:tcBorders>
            <w:shd w:val="clear" w:color="auto" w:fill="auto"/>
            <w:vAlign w:val="center"/>
            <w:hideMark/>
          </w:tcPr>
          <w:p w14:paraId="568C9E44"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The coalition in Region A links up with existing PH initiatives by local partners. E.g. with a nature organisation, local prevention model and art project in care homes. These initiatives fit well with the PH philosophy, focus on prevention, and are therefore motivated to join the PH network.</w:t>
            </w:r>
          </w:p>
        </w:tc>
        <w:tc>
          <w:tcPr>
            <w:tcW w:w="2978" w:type="dxa"/>
            <w:tcBorders>
              <w:top w:val="nil"/>
              <w:left w:val="nil"/>
              <w:bottom w:val="nil"/>
              <w:right w:val="nil"/>
            </w:tcBorders>
            <w:shd w:val="clear" w:color="auto" w:fill="auto"/>
            <w:vAlign w:val="center"/>
            <w:hideMark/>
          </w:tcPr>
          <w:p w14:paraId="6BA06E4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The partners in the network like to be visible. Through the network they get inspired by others. The coalition created a digital platform for communication to be used by the partners.</w:t>
            </w:r>
          </w:p>
        </w:tc>
        <w:tc>
          <w:tcPr>
            <w:tcW w:w="2642" w:type="dxa"/>
            <w:tcBorders>
              <w:top w:val="nil"/>
              <w:left w:val="nil"/>
              <w:bottom w:val="nil"/>
              <w:right w:val="single" w:sz="4" w:space="0" w:color="auto"/>
            </w:tcBorders>
            <w:shd w:val="clear" w:color="auto" w:fill="auto"/>
            <w:vAlign w:val="center"/>
            <w:hideMark/>
          </w:tcPr>
          <w:p w14:paraId="04B41A0D" w14:textId="0D3E6E49"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The coalition connects partners from different sectors to PH and prevention. But in practice, this proves to be challenging. In the end, partners still make little use of </w:t>
            </w:r>
            <w:r w:rsidR="004565D3" w:rsidRPr="00981C37">
              <w:rPr>
                <w:rFonts w:ascii="Arial" w:eastAsia="Times New Roman" w:hAnsi="Arial" w:cs="Arial"/>
                <w:color w:val="000000"/>
                <w:sz w:val="20"/>
                <w:szCs w:val="20"/>
                <w:lang w:eastAsia="nl-NL"/>
              </w:rPr>
              <w:t>each other’s</w:t>
            </w:r>
            <w:r w:rsidRPr="00981C37">
              <w:rPr>
                <w:rFonts w:ascii="Arial" w:eastAsia="Times New Roman" w:hAnsi="Arial" w:cs="Arial"/>
                <w:color w:val="000000"/>
                <w:sz w:val="20"/>
                <w:szCs w:val="20"/>
                <w:lang w:eastAsia="nl-NL"/>
              </w:rPr>
              <w:t xml:space="preserve"> initiatives.</w:t>
            </w:r>
          </w:p>
        </w:tc>
      </w:tr>
      <w:tr w:rsidR="00045276" w:rsidRPr="00981C37" w14:paraId="6D7E0A1D" w14:textId="77777777" w:rsidTr="00045276">
        <w:trPr>
          <w:trHeight w:val="2040"/>
        </w:trPr>
        <w:tc>
          <w:tcPr>
            <w:tcW w:w="363" w:type="dxa"/>
            <w:tcBorders>
              <w:top w:val="nil"/>
              <w:left w:val="single" w:sz="4" w:space="0" w:color="auto"/>
              <w:bottom w:val="single" w:sz="4" w:space="0" w:color="auto"/>
              <w:right w:val="nil"/>
            </w:tcBorders>
            <w:shd w:val="clear" w:color="auto" w:fill="auto"/>
            <w:noWrap/>
            <w:vAlign w:val="center"/>
            <w:hideMark/>
          </w:tcPr>
          <w:p w14:paraId="2BDBA03C" w14:textId="77777777" w:rsidR="00BB6B63" w:rsidRPr="00981C37" w:rsidRDefault="00BB6B63" w:rsidP="00BB6B63">
            <w:pPr>
              <w:spacing w:after="0" w:line="240" w:lineRule="auto"/>
              <w:jc w:val="center"/>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14</w:t>
            </w:r>
          </w:p>
        </w:tc>
        <w:tc>
          <w:tcPr>
            <w:tcW w:w="3033" w:type="dxa"/>
            <w:tcBorders>
              <w:top w:val="nil"/>
              <w:left w:val="nil"/>
              <w:bottom w:val="single" w:sz="4" w:space="0" w:color="auto"/>
              <w:right w:val="nil"/>
            </w:tcBorders>
            <w:shd w:val="clear" w:color="auto" w:fill="auto"/>
            <w:vAlign w:val="center"/>
            <w:hideMark/>
          </w:tcPr>
          <w:p w14:paraId="239EE01C"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Exercise on Prescription' and 'Wellbeing on Prescription' (social prescribing variants) are interventions deployed in the context of PH in Region B. Referrers are physiotherapy practices, other paramedics or GPs. They refer residents or patients with e.g. mild psychosocial complaints to a sports- or exercise coach. </w:t>
            </w:r>
          </w:p>
        </w:tc>
        <w:tc>
          <w:tcPr>
            <w:tcW w:w="2978" w:type="dxa"/>
            <w:tcBorders>
              <w:top w:val="nil"/>
              <w:left w:val="nil"/>
              <w:bottom w:val="single" w:sz="4" w:space="0" w:color="auto"/>
              <w:right w:val="nil"/>
            </w:tcBorders>
            <w:shd w:val="clear" w:color="auto" w:fill="auto"/>
            <w:vAlign w:val="center"/>
            <w:hideMark/>
          </w:tcPr>
          <w:p w14:paraId="2108627F"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Sports- or exercise coaches try to guide people to a regular sports and exercise programs in the </w:t>
            </w:r>
            <w:proofErr w:type="spellStart"/>
            <w:r w:rsidRPr="00981C37">
              <w:rPr>
                <w:rFonts w:ascii="Arial" w:eastAsia="Times New Roman" w:hAnsi="Arial" w:cs="Arial"/>
                <w:color w:val="000000"/>
                <w:sz w:val="20"/>
                <w:szCs w:val="20"/>
                <w:lang w:eastAsia="nl-NL"/>
              </w:rPr>
              <w:t>neighborhood</w:t>
            </w:r>
            <w:proofErr w:type="spellEnd"/>
            <w:r w:rsidRPr="00981C37">
              <w:rPr>
                <w:rFonts w:ascii="Arial" w:eastAsia="Times New Roman" w:hAnsi="Arial" w:cs="Arial"/>
                <w:color w:val="000000"/>
                <w:sz w:val="20"/>
                <w:szCs w:val="20"/>
                <w:lang w:eastAsia="nl-NL"/>
              </w:rPr>
              <w:t xml:space="preserve"> (e.g. sports club).</w:t>
            </w:r>
          </w:p>
        </w:tc>
        <w:tc>
          <w:tcPr>
            <w:tcW w:w="2642" w:type="dxa"/>
            <w:tcBorders>
              <w:top w:val="nil"/>
              <w:left w:val="nil"/>
              <w:bottom w:val="single" w:sz="4" w:space="0" w:color="auto"/>
              <w:right w:val="single" w:sz="4" w:space="0" w:color="auto"/>
            </w:tcBorders>
            <w:shd w:val="clear" w:color="auto" w:fill="auto"/>
            <w:vAlign w:val="center"/>
            <w:hideMark/>
          </w:tcPr>
          <w:p w14:paraId="59B7712F"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 xml:space="preserve">Through this type of intervention collaboration between professionals gets off to a good start. Taking part in such interventions could improve participants' quality of life, and potentially relieve the GP from some of its work. </w:t>
            </w:r>
          </w:p>
        </w:tc>
      </w:tr>
      <w:tr w:rsidR="00045276" w:rsidRPr="00981C37" w14:paraId="6BFB7D9E" w14:textId="77777777" w:rsidTr="00045276">
        <w:trPr>
          <w:trHeight w:val="300"/>
        </w:trPr>
        <w:tc>
          <w:tcPr>
            <w:tcW w:w="363" w:type="dxa"/>
            <w:tcBorders>
              <w:top w:val="nil"/>
              <w:left w:val="nil"/>
              <w:bottom w:val="nil"/>
              <w:right w:val="nil"/>
            </w:tcBorders>
            <w:shd w:val="clear" w:color="auto" w:fill="auto"/>
            <w:noWrap/>
            <w:vAlign w:val="center"/>
            <w:hideMark/>
          </w:tcPr>
          <w:p w14:paraId="1756E5E9" w14:textId="77777777" w:rsidR="00BB6B63" w:rsidRPr="00981C37" w:rsidRDefault="00BB6B63" w:rsidP="00BB6B63">
            <w:pPr>
              <w:spacing w:after="0" w:line="240" w:lineRule="auto"/>
              <w:rPr>
                <w:rFonts w:ascii="Arial" w:eastAsia="Times New Roman" w:hAnsi="Arial" w:cs="Arial"/>
                <w:color w:val="000000"/>
                <w:sz w:val="20"/>
                <w:szCs w:val="20"/>
                <w:lang w:eastAsia="nl-NL"/>
              </w:rPr>
            </w:pPr>
          </w:p>
        </w:tc>
        <w:tc>
          <w:tcPr>
            <w:tcW w:w="3033" w:type="dxa"/>
            <w:tcBorders>
              <w:top w:val="nil"/>
              <w:left w:val="nil"/>
              <w:bottom w:val="nil"/>
              <w:right w:val="nil"/>
            </w:tcBorders>
            <w:shd w:val="clear" w:color="auto" w:fill="auto"/>
            <w:noWrap/>
            <w:vAlign w:val="center"/>
            <w:hideMark/>
          </w:tcPr>
          <w:p w14:paraId="7BBEDA5B" w14:textId="77777777" w:rsidR="00BB6B63" w:rsidRPr="00981C37" w:rsidRDefault="00BB6B63" w:rsidP="00BB6B63">
            <w:pPr>
              <w:spacing w:after="0" w:line="240" w:lineRule="auto"/>
              <w:rPr>
                <w:rFonts w:ascii="Arial" w:eastAsia="Times New Roman" w:hAnsi="Arial" w:cs="Arial"/>
                <w:color w:val="000000"/>
                <w:sz w:val="20"/>
                <w:szCs w:val="20"/>
                <w:lang w:eastAsia="nl-NL"/>
              </w:rPr>
            </w:pPr>
            <w:r w:rsidRPr="00981C37">
              <w:rPr>
                <w:rFonts w:ascii="Arial" w:eastAsia="Times New Roman" w:hAnsi="Arial" w:cs="Arial"/>
                <w:color w:val="000000"/>
                <w:sz w:val="20"/>
                <w:szCs w:val="20"/>
                <w:lang w:eastAsia="nl-NL"/>
              </w:rPr>
              <w:t>*PH: Positive Health</w:t>
            </w:r>
          </w:p>
        </w:tc>
        <w:tc>
          <w:tcPr>
            <w:tcW w:w="2978" w:type="dxa"/>
            <w:tcBorders>
              <w:top w:val="nil"/>
              <w:left w:val="nil"/>
              <w:bottom w:val="nil"/>
              <w:right w:val="nil"/>
            </w:tcBorders>
            <w:shd w:val="clear" w:color="auto" w:fill="auto"/>
            <w:noWrap/>
            <w:vAlign w:val="center"/>
            <w:hideMark/>
          </w:tcPr>
          <w:p w14:paraId="63CBD688" w14:textId="77777777" w:rsidR="00BB6B63" w:rsidRPr="00981C37" w:rsidRDefault="00BB6B63" w:rsidP="00BB6B63">
            <w:pPr>
              <w:spacing w:after="0" w:line="240" w:lineRule="auto"/>
              <w:rPr>
                <w:rFonts w:ascii="Arial" w:eastAsia="Times New Roman" w:hAnsi="Arial" w:cs="Arial"/>
                <w:color w:val="000000"/>
                <w:sz w:val="20"/>
                <w:szCs w:val="20"/>
                <w:lang w:eastAsia="nl-NL"/>
              </w:rPr>
            </w:pPr>
          </w:p>
        </w:tc>
        <w:tc>
          <w:tcPr>
            <w:tcW w:w="2642" w:type="dxa"/>
            <w:tcBorders>
              <w:top w:val="nil"/>
              <w:left w:val="nil"/>
              <w:bottom w:val="nil"/>
              <w:right w:val="nil"/>
            </w:tcBorders>
            <w:shd w:val="clear" w:color="auto" w:fill="auto"/>
            <w:noWrap/>
            <w:vAlign w:val="center"/>
            <w:hideMark/>
          </w:tcPr>
          <w:p w14:paraId="1DF21AD1" w14:textId="77777777" w:rsidR="00BB6B63" w:rsidRPr="00981C37" w:rsidRDefault="00BB6B63" w:rsidP="00BB6B63">
            <w:pPr>
              <w:spacing w:after="0" w:line="240" w:lineRule="auto"/>
              <w:rPr>
                <w:rFonts w:ascii="Arial" w:eastAsia="Times New Roman" w:hAnsi="Arial" w:cs="Arial"/>
                <w:sz w:val="20"/>
                <w:szCs w:val="20"/>
                <w:lang w:eastAsia="nl-NL"/>
              </w:rPr>
            </w:pPr>
          </w:p>
        </w:tc>
      </w:tr>
    </w:tbl>
    <w:p w14:paraId="7E1BA300" w14:textId="77777777" w:rsidR="00A66817" w:rsidRDefault="00981C37"/>
    <w:sectPr w:rsidR="00A66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63"/>
    <w:rsid w:val="0000588D"/>
    <w:rsid w:val="00045276"/>
    <w:rsid w:val="001078CF"/>
    <w:rsid w:val="0011589A"/>
    <w:rsid w:val="00122CA2"/>
    <w:rsid w:val="001264F2"/>
    <w:rsid w:val="001379A1"/>
    <w:rsid w:val="00151510"/>
    <w:rsid w:val="001547CE"/>
    <w:rsid w:val="00191FAB"/>
    <w:rsid w:val="001F7303"/>
    <w:rsid w:val="001F768E"/>
    <w:rsid w:val="002157DA"/>
    <w:rsid w:val="00227287"/>
    <w:rsid w:val="003150CF"/>
    <w:rsid w:val="00341940"/>
    <w:rsid w:val="00362C74"/>
    <w:rsid w:val="0037129C"/>
    <w:rsid w:val="003719A7"/>
    <w:rsid w:val="00371A70"/>
    <w:rsid w:val="003751DA"/>
    <w:rsid w:val="003774AE"/>
    <w:rsid w:val="00396F72"/>
    <w:rsid w:val="003E619F"/>
    <w:rsid w:val="00423071"/>
    <w:rsid w:val="00425F79"/>
    <w:rsid w:val="004342BA"/>
    <w:rsid w:val="004565D3"/>
    <w:rsid w:val="00462A66"/>
    <w:rsid w:val="004B7F81"/>
    <w:rsid w:val="005B2408"/>
    <w:rsid w:val="005B3578"/>
    <w:rsid w:val="005C209A"/>
    <w:rsid w:val="005D0173"/>
    <w:rsid w:val="005D6392"/>
    <w:rsid w:val="00667EE3"/>
    <w:rsid w:val="006F3D0D"/>
    <w:rsid w:val="00703793"/>
    <w:rsid w:val="0073088F"/>
    <w:rsid w:val="0075494A"/>
    <w:rsid w:val="007B108D"/>
    <w:rsid w:val="00831DC5"/>
    <w:rsid w:val="00887969"/>
    <w:rsid w:val="008C614F"/>
    <w:rsid w:val="00967F32"/>
    <w:rsid w:val="00981C37"/>
    <w:rsid w:val="009C6FF3"/>
    <w:rsid w:val="00A91EAE"/>
    <w:rsid w:val="00A92B29"/>
    <w:rsid w:val="00AF2D54"/>
    <w:rsid w:val="00B11E6C"/>
    <w:rsid w:val="00B34B81"/>
    <w:rsid w:val="00B6003C"/>
    <w:rsid w:val="00B9035C"/>
    <w:rsid w:val="00BA296D"/>
    <w:rsid w:val="00BA6626"/>
    <w:rsid w:val="00BB2F16"/>
    <w:rsid w:val="00BB6B63"/>
    <w:rsid w:val="00BE0383"/>
    <w:rsid w:val="00BE597E"/>
    <w:rsid w:val="00C33C1D"/>
    <w:rsid w:val="00E031CD"/>
    <w:rsid w:val="00E7222E"/>
    <w:rsid w:val="00E92C85"/>
    <w:rsid w:val="00EB1032"/>
    <w:rsid w:val="00EC1AD5"/>
    <w:rsid w:val="00EE1BD1"/>
    <w:rsid w:val="00F05EC6"/>
    <w:rsid w:val="00F12F39"/>
    <w:rsid w:val="00F40CA1"/>
    <w:rsid w:val="00F52B47"/>
    <w:rsid w:val="00F8656F"/>
    <w:rsid w:val="00F9193C"/>
    <w:rsid w:val="00FE7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B9C7"/>
  <w15:chartTrackingRefBased/>
  <w15:docId w15:val="{DF755B7E-93BD-4F8C-A3B9-77E72E6E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1431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Ankie de Bekker</dc:creator>
  <cp:keywords/>
  <dc:description/>
  <cp:lastModifiedBy>Ankie de Bekker</cp:lastModifiedBy>
  <cp:revision>8</cp:revision>
  <dcterms:created xsi:type="dcterms:W3CDTF">2023-03-08T12:25:00Z</dcterms:created>
  <dcterms:modified xsi:type="dcterms:W3CDTF">2023-03-22T11:02:00Z</dcterms:modified>
</cp:coreProperties>
</file>