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Theme="majorBidi" w:hAnsiTheme="majorBidi" w:cstheme="majorBidi"/>
          <w:b/>
          <w:bCs/>
          <w:color w:val="000000" w:themeColor="text1"/>
          <w:sz w:val="24"/>
          <w:szCs w:val="24"/>
          <w14:textFill>
            <w14:solidFill>
              <w14:schemeClr w14:val="tx1"/>
            </w14:solidFill>
          </w14:textFill>
        </w:rPr>
      </w:pPr>
      <w:r>
        <w:rPr>
          <w:rFonts w:hint="eastAsia" w:asciiTheme="majorBidi" w:hAnsiTheme="majorBidi" w:cstheme="majorBidi"/>
          <w:b/>
          <w:bCs/>
          <w:color w:val="000000" w:themeColor="text1"/>
          <w:sz w:val="24"/>
          <w:szCs w:val="24"/>
          <w14:textFill>
            <w14:solidFill>
              <w14:schemeClr w14:val="tx1"/>
            </w14:solidFill>
          </w14:textFill>
        </w:rPr>
        <w:t>Supplymentary methods</w:t>
      </w:r>
    </w:p>
    <w:p>
      <w:pPr>
        <w:spacing w:line="480" w:lineRule="auto"/>
        <w:rPr>
          <w:rFonts w:asciiTheme="majorBidi" w:hAnsiTheme="majorBidi" w:cstheme="majorBidi"/>
          <w:b/>
          <w:bCs/>
          <w:color w:val="000000" w:themeColor="text1"/>
          <w:sz w:val="24"/>
          <w:szCs w:val="24"/>
          <w14:textFill>
            <w14:solidFill>
              <w14:schemeClr w14:val="tx1"/>
            </w14:solidFill>
          </w14:textFill>
        </w:rPr>
      </w:pPr>
      <w:r>
        <w:rPr>
          <w:rFonts w:hint="eastAsia" w:asciiTheme="majorBidi" w:hAnsiTheme="majorBidi" w:cstheme="majorBidi"/>
          <w:b/>
          <w:bCs/>
          <w:color w:val="000000" w:themeColor="text1"/>
          <w:sz w:val="24"/>
          <w:szCs w:val="24"/>
          <w14:textFill>
            <w14:solidFill>
              <w14:schemeClr w14:val="tx1"/>
            </w14:solidFill>
          </w14:textFill>
        </w:rPr>
        <w:t>Antibodies and reagents</w:t>
      </w:r>
    </w:p>
    <w:p>
      <w:pPr>
        <w:spacing w:line="480" w:lineRule="auto"/>
        <w:rPr>
          <w:rFonts w:asciiTheme="majorBidi" w:hAnsiTheme="majorBidi" w:cstheme="majorBidi"/>
          <w:color w:val="000000" w:themeColor="text1"/>
          <w:sz w:val="24"/>
          <w:szCs w:val="24"/>
          <w14:textFill>
            <w14:solidFill>
              <w14:schemeClr w14:val="tx1"/>
            </w14:solidFill>
          </w14:textFill>
        </w:rPr>
      </w:pPr>
      <w:r>
        <w:rPr>
          <w:rFonts w:asciiTheme="majorBidi" w:hAnsiTheme="majorBidi" w:cstheme="majorBidi"/>
          <w:color w:val="000000" w:themeColor="text1"/>
          <w:sz w:val="24"/>
          <w:szCs w:val="24"/>
          <w14:textFill>
            <w14:solidFill>
              <w14:schemeClr w14:val="tx1"/>
            </w14:solidFill>
          </w14:textFill>
        </w:rPr>
        <w:t xml:space="preserve">The </w:t>
      </w:r>
      <w:bookmarkStart w:id="0" w:name="OLE_LINK92"/>
      <w:bookmarkStart w:id="1" w:name="OLE_LINK93"/>
      <w:r>
        <w:rPr>
          <w:rFonts w:asciiTheme="majorBidi" w:hAnsiTheme="majorBidi" w:cstheme="majorBidi"/>
          <w:color w:val="000000" w:themeColor="text1"/>
          <w:sz w:val="24"/>
          <w:szCs w:val="24"/>
          <w14:textFill>
            <w14:solidFill>
              <w14:schemeClr w14:val="tx1"/>
            </w14:solidFill>
          </w14:textFill>
        </w:rPr>
        <w:t>goat anti-mouse IgG</w:t>
      </w:r>
      <w:bookmarkEnd w:id="0"/>
      <w:bookmarkEnd w:id="1"/>
      <w:r>
        <w:rPr>
          <w:rFonts w:asciiTheme="majorBidi" w:hAnsiTheme="majorBidi" w:cstheme="majorBidi"/>
          <w:color w:val="000000" w:themeColor="text1"/>
          <w:sz w:val="24"/>
          <w:szCs w:val="24"/>
          <w14:textFill>
            <w14:solidFill>
              <w14:schemeClr w14:val="tx1"/>
            </w14:solidFill>
          </w14:textFill>
        </w:rPr>
        <w:t xml:space="preserve"> H&amp;L (Abcam ab205719, Cambridge, UK) and goat anti-mouse IgM mu chain (Abcam ab97230) were used for ELISA as second antibody. Primary antibodies used to immuno</w:t>
      </w:r>
      <w:r>
        <w:rPr>
          <w:rFonts w:hint="eastAsia" w:asciiTheme="majorBidi" w:hAnsiTheme="majorBidi" w:cstheme="majorBidi"/>
          <w:color w:val="000000" w:themeColor="text1"/>
          <w:sz w:val="24"/>
          <w:szCs w:val="24"/>
          <w14:textFill>
            <w14:solidFill>
              <w14:schemeClr w14:val="tx1"/>
            </w14:solidFill>
          </w14:textFill>
        </w:rPr>
        <w:t>blot</w:t>
      </w:r>
      <w:r>
        <w:rPr>
          <w:rFonts w:asciiTheme="majorBidi" w:hAnsiTheme="majorBidi" w:cstheme="majorBidi"/>
          <w:color w:val="000000" w:themeColor="text1"/>
          <w:sz w:val="24"/>
          <w:szCs w:val="24"/>
          <w14:textFill>
            <w14:solidFill>
              <w14:schemeClr w14:val="tx1"/>
            </w14:solidFill>
          </w14:textFill>
        </w:rPr>
        <w:t xml:space="preserve"> human platelets for flow cytometry include the FITC Anti-CD41 antibody (ab21851) purchased from Abcam, the PE Mouse Anti-Human CD62P from BD Biosciences (555524, New Jersey, USA), and the cleaved Caspase-1(Asp</w:t>
      </w:r>
      <w:bookmarkStart w:id="2" w:name="OLE_LINK76"/>
      <w:r>
        <w:rPr>
          <w:rFonts w:asciiTheme="majorBidi" w:hAnsiTheme="majorBidi" w:cstheme="majorBidi"/>
          <w:color w:val="000000" w:themeColor="text1"/>
          <w:sz w:val="24"/>
          <w:szCs w:val="24"/>
          <w14:textFill>
            <w14:solidFill>
              <w14:schemeClr w14:val="tx1"/>
            </w14:solidFill>
          </w14:textFill>
        </w:rPr>
        <w:t>297) (D57A2) Rabbit mAb (</w:t>
      </w:r>
      <w:bookmarkEnd w:id="2"/>
      <w:r>
        <w:rPr>
          <w:rFonts w:asciiTheme="majorBidi" w:hAnsiTheme="majorBidi" w:cstheme="majorBidi"/>
          <w:color w:val="000000" w:themeColor="text1"/>
          <w:sz w:val="24"/>
          <w:szCs w:val="24"/>
          <w14:textFill>
            <w14:solidFill>
              <w14:schemeClr w14:val="tx1"/>
            </w14:solidFill>
          </w14:textFill>
        </w:rPr>
        <w:t xml:space="preserve">4199S), cleaved Gasdermin D (Asp275) (E7H9G) Rabbit mAb (36425S), and phospho-MLKL (Ser358) (D6H3V) Rabbit mAb (91689S) from Cell Signaling Technology (Boston, USA). The primary antibodies to immunoblot mouse platelets by Flow Cytometry include PE/Cy7® Anti-CD41 antibody (ab95726) from Abcam, FITC Rat Anti-Mouse CD62P (553744) from BD Sciences, and Cleaved Caspase-1(Asp296) (E2G2I) Rabbit mAb (89332S), Cleaved Gasdermin D (Asp276) (E3E3P) Rabbit mAb (10137S), and phospho-MLKL(Ser345) (D6E3G) Rabbit mAb (37333S) from Cell Signaling Technology. The </w:t>
      </w:r>
      <w:r>
        <w:rPr>
          <w:rFonts w:hint="eastAsia" w:asciiTheme="majorBidi" w:hAnsiTheme="majorBidi" w:cstheme="majorBidi"/>
          <w:color w:val="000000" w:themeColor="text1"/>
          <w:sz w:val="24"/>
          <w:szCs w:val="24"/>
          <w14:textFill>
            <w14:solidFill>
              <w14:schemeClr w14:val="tx1"/>
            </w14:solidFill>
          </w14:textFill>
        </w:rPr>
        <w:t>c</w:t>
      </w:r>
      <w:r>
        <w:rPr>
          <w:rFonts w:asciiTheme="majorBidi" w:hAnsiTheme="majorBidi" w:cstheme="majorBidi"/>
          <w:color w:val="000000" w:themeColor="text1"/>
          <w:sz w:val="24"/>
          <w:szCs w:val="24"/>
          <w14:textFill>
            <w14:solidFill>
              <w14:schemeClr w14:val="tx1"/>
            </w14:solidFill>
          </w14:textFill>
        </w:rPr>
        <w:t>leaved Caspase-3(Asp175) (5A1E) Rabbit mAb (9978S), GPX4 Antibody (CST 524555S), and FTH1 (D1D4) Rabbit mAb (CST 4393S) purchased from Cell Signaling Technology, and the LC3B Rabbit mAb (ABclonal A19665, Wuhan, China) were used to blot platelets from both human and mouse as the primary antibodies, and Goat Anti-Rabbit IgG H&amp;L (Alexa Fluor® 488) (Abcam ab150077) and Goat Anti-Rabbit IgG H&amp;L (Alexa Fluor® 555) (Abcam ab150078) were used as second antibodies for flow cytometry. Apoptosis in human and mouse platelets was detected by PE Annexin V Apoptosis Detection Kit I (BD Sciences, 559763). PE Mouse Anti-Human CD11b (BD Sciences, 555388) was used to detect platelet-neutrophil interaction in patients.</w:t>
      </w:r>
    </w:p>
    <w:p>
      <w:pPr>
        <w:spacing w:line="480" w:lineRule="auto"/>
        <w:rPr>
          <w:rFonts w:asciiTheme="majorBidi" w:hAnsiTheme="majorBidi" w:cstheme="majorBidi"/>
          <w:color w:val="000000" w:themeColor="text1"/>
          <w:sz w:val="24"/>
          <w:szCs w:val="24"/>
          <w14:textFill>
            <w14:solidFill>
              <w14:schemeClr w14:val="tx1"/>
            </w14:solidFill>
          </w14:textFill>
        </w:rPr>
      </w:pPr>
    </w:p>
    <w:p>
      <w:pPr>
        <w:spacing w:line="480" w:lineRule="auto"/>
        <w:rPr>
          <w:rFonts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Flow</w:t>
      </w:r>
      <w:r>
        <w:rPr>
          <w:rFonts w:ascii="Times New Roman" w:hAnsi="Times New Roman" w:cs="Times New Roman"/>
          <w:b/>
          <w:bCs/>
          <w:color w:val="000000" w:themeColor="text1"/>
          <w:sz w:val="24"/>
          <w:szCs w:val="24"/>
          <w14:textFill>
            <w14:solidFill>
              <w14:schemeClr w14:val="tx1"/>
            </w14:solidFill>
          </w14:textFill>
        </w:rPr>
        <w:t xml:space="preserve"> cytometry</w:t>
      </w:r>
    </w:p>
    <w:p>
      <w:pPr>
        <w:spacing w:line="480" w:lineRule="auto"/>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Purified platelets (5</w:t>
      </w:r>
      <w:r>
        <w:rPr>
          <w:rFonts w:hint="default" w:ascii="Times New Roman" w:hAnsi="Times New Roman" w:cs="Times New Roman"/>
          <w:color w:val="000000" w:themeColor="text1"/>
          <w:sz w:val="24"/>
          <w:szCs w:val="24"/>
          <w14:textFill>
            <w14:solidFill>
              <w14:schemeClr w14:val="tx1"/>
            </w14:solidFill>
          </w14:textFill>
        </w:rPr>
        <w:t>×</w:t>
      </w:r>
      <w:r>
        <w:rPr>
          <w:rFonts w:ascii="Times New Roman" w:hAnsi="Times New Roman" w:cs="Times New Roman"/>
          <w:color w:val="000000" w:themeColor="text1"/>
          <w:sz w:val="24"/>
          <w:szCs w:val="24"/>
          <w14:textFill>
            <w14:solidFill>
              <w14:schemeClr w14:val="tx1"/>
            </w14:solidFill>
          </w14:textFill>
        </w:rPr>
        <w:t>10</w:t>
      </w:r>
      <w:r>
        <w:rPr>
          <w:rFonts w:ascii="Times New Roman" w:hAnsi="Times New Roman" w:cs="Times New Roman"/>
          <w:color w:val="000000" w:themeColor="text1"/>
          <w:sz w:val="24"/>
          <w:szCs w:val="24"/>
          <w:vertAlign w:val="superscript"/>
          <w14:textFill>
            <w14:solidFill>
              <w14:schemeClr w14:val="tx1"/>
            </w14:solidFill>
          </w14:textFill>
        </w:rPr>
        <w:t>5</w:t>
      </w:r>
      <w:r>
        <w:rPr>
          <w:rFonts w:ascii="Times New Roman" w:hAnsi="Times New Roman" w:cs="Times New Roman"/>
          <w:color w:val="000000" w:themeColor="text1"/>
          <w:sz w:val="24"/>
          <w:szCs w:val="24"/>
          <w14:textFill>
            <w14:solidFill>
              <w14:schemeClr w14:val="tx1"/>
            </w14:solidFill>
          </w14:textFill>
        </w:rPr>
        <w:t xml:space="preserve"> per test) were incubated with respective primary antibody at room temperature for 1 h. After washes with phosphate buffered solution</w:t>
      </w:r>
      <w:r>
        <w:rPr>
          <w:rFonts w:hint="default" w:ascii="Times New Roman" w:hAnsi="Times New Roman" w:cs="Times New Roman"/>
          <w:color w:val="000000" w:themeColor="text1"/>
          <w:sz w:val="24"/>
          <w:szCs w:val="24"/>
          <w14:textFill>
            <w14:solidFill>
              <w14:schemeClr w14:val="tx1"/>
            </w14:solidFill>
          </w14:textFill>
        </w:rPr>
        <w:t xml:space="preserve"> (</w:t>
      </w:r>
      <w:bookmarkStart w:id="3" w:name="OLE_LINK13"/>
      <w:r>
        <w:rPr>
          <w:rFonts w:ascii="Times New Roman" w:hAnsi="Times New Roman" w:cs="Times New Roman"/>
          <w:color w:val="000000" w:themeColor="text1"/>
          <w:sz w:val="24"/>
          <w:szCs w:val="24"/>
          <w14:textFill>
            <w14:solidFill>
              <w14:schemeClr w14:val="tx1"/>
            </w14:solidFill>
          </w14:textFill>
        </w:rPr>
        <w:t>PBS</w:t>
      </w:r>
      <w:bookmarkEnd w:id="3"/>
      <w:r>
        <w:rPr>
          <w:rFonts w:hint="default" w:ascii="Times New Roman" w:hAnsi="Times New Roman" w:cs="Times New Roman"/>
          <w:color w:val="000000" w:themeColor="text1"/>
          <w:sz w:val="24"/>
          <w:szCs w:val="24"/>
          <w14:textFill>
            <w14:solidFill>
              <w14:schemeClr w14:val="tx1"/>
            </w14:solidFill>
          </w14:textFill>
        </w:rPr>
        <w:t>)</w:t>
      </w:r>
      <w:r>
        <w:rPr>
          <w:rFonts w:ascii="Times New Roman" w:hAnsi="Times New Roman" w:cs="Times New Roman"/>
          <w:color w:val="000000" w:themeColor="text1"/>
          <w:sz w:val="24"/>
          <w:szCs w:val="24"/>
          <w14:textFill>
            <w14:solidFill>
              <w14:schemeClr w14:val="tx1"/>
            </w14:solidFill>
          </w14:textFill>
        </w:rPr>
        <w:t xml:space="preserve"> (800g</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ascii="Times New Roman" w:hAnsi="Times New Roman" w:cs="Times New Roman"/>
          <w:color w:val="000000" w:themeColor="text1"/>
          <w:sz w:val="24"/>
          <w:szCs w:val="24"/>
          <w14:textFill>
            <w14:solidFill>
              <w14:schemeClr w14:val="tx1"/>
            </w14:solidFill>
          </w14:textFill>
        </w:rPr>
        <w:t xml:space="preserve"> 5</w:t>
      </w:r>
      <w:r>
        <w:rPr>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Fonts w:ascii="Times New Roman" w:hAnsi="Times New Roman" w:cs="Times New Roman"/>
          <w:color w:val="000000" w:themeColor="text1"/>
          <w:sz w:val="24"/>
          <w:szCs w:val="24"/>
          <w14:textFill>
            <w14:solidFill>
              <w14:schemeClr w14:val="tx1"/>
            </w14:solidFill>
          </w14:textFill>
        </w:rPr>
        <w:t xml:space="preserve">min), </w:t>
      </w:r>
      <w:r>
        <w:rPr>
          <w:rFonts w:hint="default" w:ascii="Times New Roman" w:hAnsi="Times New Roman" w:cs="Times New Roman"/>
          <w:color w:val="000000" w:themeColor="text1"/>
          <w:sz w:val="24"/>
          <w:szCs w:val="24"/>
          <w14:textFill>
            <w14:solidFill>
              <w14:schemeClr w14:val="tx1"/>
            </w14:solidFill>
          </w14:textFill>
        </w:rPr>
        <w:t>platelets</w:t>
      </w:r>
      <w:r>
        <w:rPr>
          <w:rFonts w:ascii="Times New Roman" w:hAnsi="Times New Roman" w:cs="Times New Roman"/>
          <w:color w:val="000000" w:themeColor="text1"/>
          <w:sz w:val="24"/>
          <w:szCs w:val="24"/>
          <w14:textFill>
            <w14:solidFill>
              <w14:schemeClr w14:val="tx1"/>
            </w14:solidFill>
          </w14:textFill>
        </w:rPr>
        <w:t xml:space="preserve"> were incubated with the secondary antibody at room temperature for 30 min. After washes, platelets were suspended with 100 μL </w:t>
      </w:r>
      <w:bookmarkStart w:id="4" w:name="OLE_LINK108"/>
      <w:bookmarkStart w:id="5" w:name="OLE_LINK105"/>
      <w:r>
        <w:rPr>
          <w:rFonts w:ascii="Times New Roman" w:hAnsi="Times New Roman" w:cs="Times New Roman"/>
          <w:color w:val="000000" w:themeColor="text1"/>
          <w:sz w:val="24"/>
          <w:szCs w:val="24"/>
          <w14:textFill>
            <w14:solidFill>
              <w14:schemeClr w14:val="tx1"/>
            </w14:solidFill>
          </w14:textFill>
        </w:rPr>
        <w:t>FACSflow™ Sheath Fluid (BD)</w:t>
      </w:r>
      <w:bookmarkEnd w:id="4"/>
      <w:bookmarkEnd w:id="5"/>
      <w:r>
        <w:rPr>
          <w:rFonts w:ascii="Times New Roman" w:hAnsi="Times New Roman" w:cs="Times New Roman"/>
          <w:color w:val="000000" w:themeColor="text1"/>
          <w:sz w:val="24"/>
          <w:szCs w:val="24"/>
          <w14:textFill>
            <w14:solidFill>
              <w14:schemeClr w14:val="tx1"/>
            </w14:solidFill>
          </w14:textFill>
        </w:rPr>
        <w:t xml:space="preserve"> and applied to flow cytometry (BD LSRFortessa™). The data generated by flow cytometry were subsequently statistically analyzed using Flowjo 7.2 software.</w:t>
      </w:r>
    </w:p>
    <w:p>
      <w:pPr>
        <w:spacing w:line="480" w:lineRule="auto"/>
        <w:rPr>
          <w:rFonts w:asciiTheme="majorBidi" w:hAnsiTheme="majorBidi" w:cstheme="majorBidi"/>
          <w:color w:val="000000" w:themeColor="text1"/>
          <w:sz w:val="24"/>
          <w:szCs w:val="24"/>
          <w14:textFill>
            <w14:solidFill>
              <w14:schemeClr w14:val="tx1"/>
            </w14:solidFill>
          </w14:textFill>
        </w:rPr>
      </w:pPr>
      <w:bookmarkStart w:id="6" w:name="_GoBack"/>
      <w:bookmarkEnd w:id="6"/>
    </w:p>
    <w:p>
      <w:pPr>
        <w:spacing w:line="480" w:lineRule="auto"/>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mZGJjN2JkMTQ2YjE1NmE0MjQ0MDEyMDExMzA1YjEifQ=="/>
  </w:docVars>
  <w:rsids>
    <w:rsidRoot w:val="11925604"/>
    <w:rsid w:val="00277348"/>
    <w:rsid w:val="00315421"/>
    <w:rsid w:val="009459BE"/>
    <w:rsid w:val="00F40C87"/>
    <w:rsid w:val="00F66E52"/>
    <w:rsid w:val="11925604"/>
    <w:rsid w:val="38F512A1"/>
    <w:rsid w:val="39A72871"/>
    <w:rsid w:val="46D36999"/>
    <w:rsid w:val="4A7B1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0"/>
    <w:rPr>
      <w:kern w:val="2"/>
      <w:sz w:val="18"/>
      <w:szCs w:val="18"/>
    </w:rPr>
  </w:style>
  <w:style w:type="character" w:customStyle="1" w:styleId="8">
    <w:name w:val="页脚 字符"/>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258</Words>
  <Characters>1473</Characters>
  <Lines>12</Lines>
  <Paragraphs>3</Paragraphs>
  <TotalTime>0</TotalTime>
  <ScaleCrop>false</ScaleCrop>
  <LinksUpToDate>false</LinksUpToDate>
  <CharactersWithSpaces>1728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2023-09-08T05:51:00Z</dcterms:created>
  <dc:creator>2S</dc:creator>
  <cp:lastModifiedBy>2S</cp:lastModifiedBy>
  <dcterms:modified xsi:type="dcterms:W3CDTF">2023-09-15T08:54:38Z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7C81A09270074ECF94C7766D0F7CCED3_13</vt:lpwstr>
  </property>
</Properties>
</file>