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3FC2F" w14:textId="08D0C9BE" w:rsidR="00527844" w:rsidRPr="00A961B2" w:rsidRDefault="00E81A6C" w:rsidP="00DF5338">
      <w:pPr>
        <w:spacing w:line="360" w:lineRule="auto"/>
        <w:jc w:val="center"/>
        <w:rPr>
          <w:rFonts w:ascii="Times New Roman" w:hAnsi="Times New Roman" w:cs="Times New Roman"/>
          <w:b/>
          <w:bCs/>
          <w:sz w:val="32"/>
          <w:szCs w:val="32"/>
        </w:rPr>
      </w:pPr>
      <w:bookmarkStart w:id="0" w:name="_Hlk146312876"/>
      <w:r w:rsidRPr="00A961B2">
        <w:rPr>
          <w:rFonts w:ascii="Times New Roman" w:hAnsi="Times New Roman" w:cs="Times New Roman"/>
          <w:b/>
          <w:bCs/>
          <w:sz w:val="32"/>
          <w:szCs w:val="32"/>
        </w:rPr>
        <w:t>Supplementa</w:t>
      </w:r>
      <w:r w:rsidR="00812364" w:rsidRPr="00A961B2">
        <w:rPr>
          <w:rFonts w:ascii="Times New Roman" w:hAnsi="Times New Roman" w:cs="Times New Roman"/>
          <w:b/>
          <w:bCs/>
          <w:sz w:val="32"/>
          <w:szCs w:val="32"/>
        </w:rPr>
        <w:t>ry</w:t>
      </w:r>
      <w:r w:rsidRPr="00A961B2">
        <w:rPr>
          <w:rFonts w:ascii="Times New Roman" w:hAnsi="Times New Roman" w:cs="Times New Roman"/>
          <w:b/>
          <w:bCs/>
          <w:sz w:val="32"/>
          <w:szCs w:val="32"/>
        </w:rPr>
        <w:t xml:space="preserve"> </w:t>
      </w:r>
      <w:r w:rsidR="00B416B8">
        <w:rPr>
          <w:rFonts w:ascii="Times New Roman" w:hAnsi="Times New Roman" w:cs="Times New Roman"/>
          <w:b/>
          <w:bCs/>
          <w:sz w:val="32"/>
          <w:szCs w:val="32"/>
        </w:rPr>
        <w:t>I</w:t>
      </w:r>
      <w:r w:rsidRPr="00A961B2">
        <w:rPr>
          <w:rFonts w:ascii="Times New Roman" w:hAnsi="Times New Roman" w:cs="Times New Roman"/>
          <w:b/>
          <w:bCs/>
          <w:sz w:val="32"/>
          <w:szCs w:val="32"/>
        </w:rPr>
        <w:t>nformation</w:t>
      </w:r>
      <w:r w:rsidR="00B416B8">
        <w:rPr>
          <w:rFonts w:ascii="Times New Roman" w:hAnsi="Times New Roman" w:cs="Times New Roman"/>
          <w:b/>
          <w:bCs/>
          <w:sz w:val="32"/>
          <w:szCs w:val="32"/>
        </w:rPr>
        <w:t>:</w:t>
      </w:r>
      <w:r w:rsidR="00527844" w:rsidRPr="00A961B2">
        <w:rPr>
          <w:rFonts w:ascii="Times New Roman" w:hAnsi="Times New Roman" w:cs="Times New Roman"/>
          <w:b/>
          <w:bCs/>
          <w:sz w:val="32"/>
          <w:szCs w:val="32"/>
        </w:rPr>
        <w:t xml:space="preserve"> </w:t>
      </w:r>
    </w:p>
    <w:p w14:paraId="09E6DF58" w14:textId="298D6108" w:rsidR="00EF7627" w:rsidRPr="00EF7627" w:rsidRDefault="00EF7627" w:rsidP="00DF5338">
      <w:pPr>
        <w:spacing w:line="360" w:lineRule="auto"/>
        <w:jc w:val="center"/>
        <w:rPr>
          <w:rFonts w:ascii="Times New Roman" w:hAnsi="Times New Roman" w:cs="Times New Roman"/>
          <w:b/>
          <w:bCs/>
          <w:sz w:val="32"/>
          <w:szCs w:val="32"/>
        </w:rPr>
      </w:pPr>
      <w:r w:rsidRPr="00EF7627">
        <w:rPr>
          <w:rFonts w:ascii="Times New Roman" w:hAnsi="Times New Roman" w:cs="Times New Roman"/>
          <w:b/>
          <w:sz w:val="32"/>
          <w:szCs w:val="32"/>
        </w:rPr>
        <w:t>Global upper ocean oxygen budget and an observational constraint on the biological pump</w:t>
      </w:r>
    </w:p>
    <w:bookmarkEnd w:id="0"/>
    <w:p w14:paraId="6DECD223" w14:textId="77777777" w:rsidR="00235080" w:rsidRPr="0042541C" w:rsidRDefault="00235080" w:rsidP="00DF5338">
      <w:pPr>
        <w:spacing w:line="360" w:lineRule="auto"/>
        <w:jc w:val="center"/>
        <w:rPr>
          <w:rFonts w:ascii="Times New Roman" w:hAnsi="Times New Roman" w:cs="Times New Roman"/>
          <w:b/>
          <w:bCs/>
          <w:sz w:val="32"/>
          <w:szCs w:val="32"/>
        </w:rPr>
      </w:pPr>
    </w:p>
    <w:p w14:paraId="68007C84" w14:textId="382679F9" w:rsidR="00B8767A" w:rsidRPr="00A961B2" w:rsidRDefault="00B8767A" w:rsidP="00B8767A">
      <w:pPr>
        <w:pBdr>
          <w:top w:val="nil"/>
          <w:left w:val="nil"/>
          <w:bottom w:val="nil"/>
          <w:right w:val="nil"/>
          <w:between w:val="nil"/>
        </w:pBdr>
        <w:spacing w:line="360" w:lineRule="auto"/>
        <w:ind w:left="113"/>
        <w:jc w:val="center"/>
        <w:rPr>
          <w:rFonts w:ascii="Times New Roman" w:hAnsi="Times New Roman" w:cs="Times New Roman"/>
        </w:rPr>
      </w:pPr>
      <w:proofErr w:type="spellStart"/>
      <w:r w:rsidRPr="00A961B2">
        <w:rPr>
          <w:rFonts w:ascii="Times New Roman" w:hAnsi="Times New Roman" w:cs="Times New Roman"/>
        </w:rPr>
        <w:t>Ryohei</w:t>
      </w:r>
      <w:proofErr w:type="spellEnd"/>
      <w:r w:rsidRPr="00A961B2">
        <w:rPr>
          <w:rFonts w:ascii="Times New Roman" w:hAnsi="Times New Roman" w:cs="Times New Roman"/>
        </w:rPr>
        <w:t xml:space="preserve"> Yamaguchi</w:t>
      </w:r>
      <w:r w:rsidRPr="00A961B2">
        <w:rPr>
          <w:rFonts w:ascii="Times New Roman" w:hAnsi="Times New Roman" w:cs="Times New Roman"/>
          <w:vertAlign w:val="superscript"/>
        </w:rPr>
        <w:t>1</w:t>
      </w:r>
      <w:r w:rsidRPr="0042770E">
        <w:rPr>
          <w:rFonts w:ascii="Times New Roman" w:hAnsi="Times New Roman" w:cs="Times New Roman"/>
        </w:rPr>
        <w:t>*</w:t>
      </w:r>
      <w:r w:rsidRPr="00A961B2">
        <w:rPr>
          <w:rFonts w:ascii="Times New Roman" w:hAnsi="Times New Roman" w:cs="Times New Roman"/>
        </w:rPr>
        <w:t>, Shinya Kouketsu</w:t>
      </w:r>
      <w:r w:rsidRPr="00A961B2">
        <w:rPr>
          <w:rFonts w:ascii="Times New Roman" w:hAnsi="Times New Roman" w:cs="Times New Roman"/>
          <w:vertAlign w:val="superscript"/>
        </w:rPr>
        <w:t>1</w:t>
      </w:r>
      <w:r w:rsidRPr="00A961B2">
        <w:rPr>
          <w:rFonts w:ascii="Times New Roman" w:hAnsi="Times New Roman" w:cs="Times New Roman"/>
        </w:rPr>
        <w:t xml:space="preserve">, </w:t>
      </w:r>
      <w:proofErr w:type="spellStart"/>
      <w:r w:rsidRPr="00A961B2">
        <w:rPr>
          <w:rFonts w:ascii="Times New Roman" w:hAnsi="Times New Roman" w:cs="Times New Roman"/>
        </w:rPr>
        <w:t>Naohiro</w:t>
      </w:r>
      <w:proofErr w:type="spellEnd"/>
      <w:r w:rsidRPr="00A961B2">
        <w:rPr>
          <w:rFonts w:ascii="Times New Roman" w:hAnsi="Times New Roman" w:cs="Times New Roman"/>
        </w:rPr>
        <w:t xml:space="preserve"> Kosugi</w:t>
      </w:r>
      <w:r w:rsidRPr="00A961B2">
        <w:rPr>
          <w:rFonts w:ascii="Times New Roman" w:hAnsi="Times New Roman" w:cs="Times New Roman"/>
          <w:vertAlign w:val="superscript"/>
        </w:rPr>
        <w:t>2</w:t>
      </w:r>
      <w:r w:rsidR="009740BB">
        <w:rPr>
          <w:rFonts w:ascii="Times New Roman" w:hAnsi="Times New Roman" w:cs="Times New Roman"/>
        </w:rPr>
        <w:t>, a</w:t>
      </w:r>
      <w:r w:rsidR="009740BB" w:rsidRPr="00A961B2">
        <w:rPr>
          <w:rFonts w:ascii="Times New Roman" w:hAnsi="Times New Roman" w:cs="Times New Roman"/>
        </w:rPr>
        <w:t xml:space="preserve">nd </w:t>
      </w:r>
      <w:r w:rsidR="009740BB">
        <w:rPr>
          <w:rFonts w:ascii="Times New Roman" w:hAnsi="Times New Roman" w:cs="Times New Roman"/>
        </w:rPr>
        <w:t>Masao Ishii</w:t>
      </w:r>
      <w:r w:rsidR="009740BB" w:rsidRPr="00A961B2">
        <w:rPr>
          <w:rFonts w:ascii="Times New Roman" w:hAnsi="Times New Roman" w:cs="Times New Roman"/>
          <w:vertAlign w:val="superscript"/>
        </w:rPr>
        <w:t>2</w:t>
      </w:r>
    </w:p>
    <w:p w14:paraId="75B5C4B8" w14:textId="77777777" w:rsidR="00B8767A" w:rsidRPr="00A961B2" w:rsidRDefault="00B8767A" w:rsidP="00B8767A">
      <w:pPr>
        <w:pBdr>
          <w:top w:val="nil"/>
          <w:left w:val="nil"/>
          <w:bottom w:val="nil"/>
          <w:right w:val="nil"/>
          <w:between w:val="nil"/>
        </w:pBdr>
        <w:spacing w:line="360" w:lineRule="auto"/>
        <w:ind w:left="113"/>
        <w:jc w:val="center"/>
        <w:rPr>
          <w:rFonts w:ascii="Times New Roman" w:hAnsi="Times New Roman" w:cs="Times New Roman"/>
        </w:rPr>
      </w:pPr>
      <w:r w:rsidRPr="00A961B2">
        <w:rPr>
          <w:rFonts w:ascii="Times New Roman" w:hAnsi="Times New Roman" w:cs="Times New Roman"/>
          <w:vertAlign w:val="superscript"/>
        </w:rPr>
        <w:t>1</w:t>
      </w:r>
      <w:r w:rsidRPr="00A961B2">
        <w:rPr>
          <w:rFonts w:ascii="Times New Roman" w:hAnsi="Times New Roman" w:cs="Times New Roman"/>
        </w:rPr>
        <w:t xml:space="preserve"> </w:t>
      </w:r>
      <w:r w:rsidRPr="00A961B2">
        <w:rPr>
          <w:rFonts w:ascii="Times New Roman" w:hAnsi="Times New Roman" w:cs="Times New Roman"/>
          <w:i/>
          <w:iCs/>
        </w:rPr>
        <w:t>Research Institute for Global Change, Japan Agency for Marine-Earth Science and Technology, Yokosuka, Japan</w:t>
      </w:r>
    </w:p>
    <w:p w14:paraId="5948AED8" w14:textId="77777777" w:rsidR="00B8767A" w:rsidRPr="00A961B2" w:rsidRDefault="00B8767A" w:rsidP="00B8767A">
      <w:pPr>
        <w:pBdr>
          <w:top w:val="nil"/>
          <w:left w:val="nil"/>
          <w:bottom w:val="nil"/>
          <w:right w:val="nil"/>
          <w:between w:val="nil"/>
        </w:pBdr>
        <w:spacing w:line="360" w:lineRule="auto"/>
        <w:ind w:left="113"/>
        <w:jc w:val="center"/>
        <w:rPr>
          <w:rFonts w:ascii="Times New Roman" w:hAnsi="Times New Roman" w:cs="Times New Roman"/>
          <w:i/>
          <w:iCs/>
        </w:rPr>
      </w:pPr>
      <w:r w:rsidRPr="00A961B2">
        <w:rPr>
          <w:rFonts w:ascii="Times New Roman" w:hAnsi="Times New Roman" w:cs="Times New Roman"/>
          <w:vertAlign w:val="superscript"/>
        </w:rPr>
        <w:t>2</w:t>
      </w:r>
      <w:r w:rsidRPr="00A961B2">
        <w:rPr>
          <w:rFonts w:ascii="Times New Roman" w:hAnsi="Times New Roman" w:cs="Times New Roman"/>
        </w:rPr>
        <w:t xml:space="preserve"> </w:t>
      </w:r>
      <w:r w:rsidRPr="00A961B2">
        <w:rPr>
          <w:rFonts w:ascii="Times New Roman" w:hAnsi="Times New Roman" w:cs="Times New Roman"/>
          <w:i/>
          <w:iCs/>
        </w:rPr>
        <w:t>Meteorological Research Institute, Tsukuba, Japan</w:t>
      </w:r>
    </w:p>
    <w:p w14:paraId="546872CD" w14:textId="77777777" w:rsidR="00B8767A" w:rsidRPr="00A961B2" w:rsidRDefault="00B8767A" w:rsidP="00B8767A">
      <w:pPr>
        <w:pBdr>
          <w:top w:val="nil"/>
          <w:left w:val="nil"/>
          <w:bottom w:val="nil"/>
          <w:right w:val="nil"/>
          <w:between w:val="nil"/>
        </w:pBdr>
        <w:spacing w:line="360" w:lineRule="auto"/>
        <w:ind w:left="113"/>
        <w:jc w:val="center"/>
        <w:rPr>
          <w:rFonts w:ascii="Times New Roman" w:hAnsi="Times New Roman" w:cs="Times New Roman"/>
        </w:rPr>
      </w:pPr>
    </w:p>
    <w:p w14:paraId="04939017" w14:textId="2E59968E" w:rsidR="00235080" w:rsidRPr="00A961B2" w:rsidRDefault="00B8767A" w:rsidP="00B8767A">
      <w:pPr>
        <w:pBdr>
          <w:top w:val="nil"/>
          <w:left w:val="nil"/>
          <w:bottom w:val="nil"/>
          <w:right w:val="nil"/>
          <w:between w:val="nil"/>
        </w:pBdr>
        <w:spacing w:line="360" w:lineRule="auto"/>
        <w:ind w:left="113"/>
        <w:jc w:val="center"/>
        <w:rPr>
          <w:rFonts w:ascii="Times New Roman" w:hAnsi="Times New Roman" w:cs="Times New Roman"/>
          <w:i/>
          <w:color w:val="000000"/>
        </w:rPr>
      </w:pPr>
      <w:r w:rsidRPr="0042770E">
        <w:rPr>
          <w:rFonts w:ascii="Times New Roman" w:hAnsi="Times New Roman" w:cs="Times New Roman"/>
        </w:rPr>
        <w:t>*</w:t>
      </w:r>
      <w:r w:rsidRPr="00A961B2">
        <w:rPr>
          <w:rFonts w:ascii="Times New Roman" w:hAnsi="Times New Roman" w:cs="Times New Roman"/>
        </w:rPr>
        <w:t xml:space="preserve">Corresponding author: </w:t>
      </w:r>
      <w:proofErr w:type="spellStart"/>
      <w:r w:rsidRPr="00A961B2">
        <w:rPr>
          <w:rFonts w:ascii="Times New Roman" w:hAnsi="Times New Roman" w:cs="Times New Roman"/>
        </w:rPr>
        <w:t>Ryohei</w:t>
      </w:r>
      <w:proofErr w:type="spellEnd"/>
      <w:r w:rsidRPr="00A961B2">
        <w:rPr>
          <w:rFonts w:ascii="Times New Roman" w:hAnsi="Times New Roman" w:cs="Times New Roman"/>
        </w:rPr>
        <w:t xml:space="preserve"> Yamaguchi (ryamaguchi@jamstec.go.jp)</w:t>
      </w:r>
    </w:p>
    <w:p w14:paraId="66B32BD9" w14:textId="65B54D57" w:rsidR="00527844" w:rsidRPr="00A961B2" w:rsidRDefault="00527844" w:rsidP="00DF5338">
      <w:pPr>
        <w:pBdr>
          <w:top w:val="nil"/>
          <w:left w:val="nil"/>
          <w:bottom w:val="nil"/>
          <w:right w:val="nil"/>
          <w:between w:val="nil"/>
        </w:pBdr>
        <w:spacing w:line="360" w:lineRule="auto"/>
        <w:ind w:left="113"/>
        <w:jc w:val="center"/>
        <w:rPr>
          <w:rFonts w:ascii="Times New Roman" w:hAnsi="Times New Roman" w:cs="Times New Roman"/>
          <w:i/>
          <w:color w:val="000000"/>
        </w:rPr>
      </w:pPr>
    </w:p>
    <w:p w14:paraId="6D411950" w14:textId="77777777" w:rsidR="00527844" w:rsidRPr="00A961B2" w:rsidRDefault="00527844" w:rsidP="000F2717">
      <w:pPr>
        <w:spacing w:line="480" w:lineRule="auto"/>
        <w:jc w:val="both"/>
        <w:rPr>
          <w:rFonts w:ascii="Times New Roman" w:hAnsi="Times New Roman" w:cs="Times New Roman"/>
          <w:b/>
          <w:bCs/>
        </w:rPr>
      </w:pPr>
    </w:p>
    <w:p w14:paraId="65E1F85E" w14:textId="25C9DA45" w:rsidR="00CC5460" w:rsidRPr="00F06CB9" w:rsidRDefault="006D32A4" w:rsidP="000F2717">
      <w:pPr>
        <w:spacing w:line="480" w:lineRule="auto"/>
        <w:jc w:val="both"/>
        <w:rPr>
          <w:rFonts w:ascii="Times New Roman" w:hAnsi="Times New Roman" w:cs="Times New Roman"/>
          <w:b/>
          <w:bCs/>
          <w:sz w:val="28"/>
          <w:szCs w:val="28"/>
        </w:rPr>
      </w:pPr>
      <w:r w:rsidRPr="00F06CB9">
        <w:rPr>
          <w:rFonts w:ascii="Times New Roman" w:hAnsi="Times New Roman" w:cs="Times New Roman"/>
          <w:b/>
          <w:bCs/>
          <w:sz w:val="28"/>
          <w:szCs w:val="28"/>
        </w:rPr>
        <w:t>Contents</w:t>
      </w:r>
    </w:p>
    <w:p w14:paraId="616ED426" w14:textId="447EBAE2" w:rsidR="00A8576D" w:rsidRPr="00A961B2" w:rsidRDefault="00A8576D" w:rsidP="00A8576D">
      <w:pPr>
        <w:spacing w:line="480" w:lineRule="auto"/>
        <w:ind w:firstLine="720"/>
        <w:jc w:val="both"/>
        <w:rPr>
          <w:rFonts w:ascii="Times New Roman" w:hAnsi="Times New Roman" w:cs="Times New Roman"/>
        </w:rPr>
      </w:pPr>
      <w:r w:rsidRPr="00A961B2">
        <w:rPr>
          <w:rFonts w:ascii="Times New Roman" w:hAnsi="Times New Roman" w:cs="Times New Roman"/>
        </w:rPr>
        <w:t xml:space="preserve">Note 1: </w:t>
      </w:r>
      <w:r w:rsidRPr="00A8576D">
        <w:rPr>
          <w:rFonts w:ascii="Times New Roman" w:hAnsi="Times New Roman" w:cs="Times New Roman"/>
        </w:rPr>
        <w:t xml:space="preserve">Derivation of equations for </w:t>
      </w:r>
      <w:r w:rsidR="002E130E">
        <w:rPr>
          <w:rFonts w:ascii="Times New Roman" w:hAnsi="Times New Roman" w:cs="Times New Roman"/>
        </w:rPr>
        <w:t>upper ocean</w:t>
      </w:r>
      <w:r w:rsidRPr="00A8576D">
        <w:rPr>
          <w:rFonts w:ascii="Times New Roman" w:hAnsi="Times New Roman" w:cs="Times New Roman"/>
        </w:rPr>
        <w:t xml:space="preserve"> oxygen budget</w:t>
      </w:r>
    </w:p>
    <w:p w14:paraId="73CDA465" w14:textId="5401E96E" w:rsidR="00A8576D" w:rsidRPr="00280DDB" w:rsidRDefault="00A8576D" w:rsidP="00A8576D">
      <w:pPr>
        <w:spacing w:line="480" w:lineRule="auto"/>
        <w:ind w:firstLine="720"/>
        <w:jc w:val="both"/>
        <w:rPr>
          <w:rFonts w:ascii="Times New Roman" w:hAnsi="Times New Roman" w:cs="Times New Roman"/>
        </w:rPr>
      </w:pPr>
      <w:r w:rsidRPr="00A961B2">
        <w:rPr>
          <w:rFonts w:ascii="Times New Roman" w:hAnsi="Times New Roman" w:cs="Times New Roman"/>
        </w:rPr>
        <w:t xml:space="preserve">Note </w:t>
      </w:r>
      <w:r>
        <w:rPr>
          <w:rFonts w:ascii="Times New Roman" w:hAnsi="Times New Roman" w:cs="Times New Roman"/>
        </w:rPr>
        <w:t>2</w:t>
      </w:r>
      <w:r w:rsidRPr="00A961B2">
        <w:rPr>
          <w:rFonts w:ascii="Times New Roman" w:hAnsi="Times New Roman" w:cs="Times New Roman"/>
        </w:rPr>
        <w:t xml:space="preserve">: </w:t>
      </w:r>
      <w:r w:rsidR="00280DDB" w:rsidRPr="00280DDB">
        <w:rPr>
          <w:rFonts w:ascii="Times New Roman" w:hAnsi="Times New Roman" w:cs="Times New Roman"/>
        </w:rPr>
        <w:t>Model and choices of parameter</w:t>
      </w:r>
      <w:r w:rsidR="00F6377A">
        <w:rPr>
          <w:rFonts w:ascii="Times New Roman" w:hAnsi="Times New Roman" w:cs="Times New Roman"/>
        </w:rPr>
        <w:t>s</w:t>
      </w:r>
      <w:r w:rsidR="00280DDB" w:rsidRPr="00280DDB">
        <w:rPr>
          <w:rFonts w:ascii="Times New Roman" w:hAnsi="Times New Roman" w:cs="Times New Roman"/>
        </w:rPr>
        <w:t xml:space="preserve"> for estimating air</w:t>
      </w:r>
      <w:r w:rsidR="003567FE">
        <w:rPr>
          <w:rFonts w:ascii="Times New Roman" w:hAnsi="Times New Roman" w:cs="Times New Roman"/>
        </w:rPr>
        <w:t>–</w:t>
      </w:r>
      <w:r w:rsidR="00280DDB" w:rsidRPr="00280DDB">
        <w:rPr>
          <w:rFonts w:ascii="Times New Roman" w:hAnsi="Times New Roman" w:cs="Times New Roman"/>
        </w:rPr>
        <w:t>sea oxygen exchange</w:t>
      </w:r>
    </w:p>
    <w:p w14:paraId="4D02175C" w14:textId="6E605B16" w:rsidR="006D32A4" w:rsidRPr="00A961B2" w:rsidRDefault="006D32A4" w:rsidP="00D31662">
      <w:pPr>
        <w:spacing w:line="480" w:lineRule="auto"/>
        <w:ind w:firstLine="720"/>
        <w:jc w:val="both"/>
        <w:rPr>
          <w:rFonts w:ascii="Times New Roman" w:hAnsi="Times New Roman" w:cs="Times New Roman"/>
        </w:rPr>
      </w:pPr>
      <w:r w:rsidRPr="00A861FB">
        <w:rPr>
          <w:rFonts w:ascii="Times New Roman" w:hAnsi="Times New Roman" w:cs="Times New Roman"/>
        </w:rPr>
        <w:t xml:space="preserve">Figure </w:t>
      </w:r>
      <w:r w:rsidRPr="00A961B2">
        <w:rPr>
          <w:rFonts w:ascii="Times New Roman" w:hAnsi="Times New Roman" w:cs="Times New Roman"/>
        </w:rPr>
        <w:t>1:</w:t>
      </w:r>
      <w:r w:rsidR="00EE4DCE">
        <w:rPr>
          <w:rFonts w:ascii="Times New Roman" w:hAnsi="Times New Roman" w:cs="Times New Roman"/>
        </w:rPr>
        <w:t xml:space="preserve"> </w:t>
      </w:r>
      <w:r w:rsidR="00EE4DCE" w:rsidRPr="00EE4DCE">
        <w:rPr>
          <w:rFonts w:ascii="Times New Roman" w:hAnsi="Times New Roman" w:cs="Times New Roman"/>
        </w:rPr>
        <w:t>Parameters for calculation of oxygen fl</w:t>
      </w:r>
      <w:r w:rsidR="00C3414D">
        <w:rPr>
          <w:rFonts w:ascii="Times New Roman" w:hAnsi="Times New Roman" w:cs="Times New Roman"/>
        </w:rPr>
        <w:t>u</w:t>
      </w:r>
      <w:r w:rsidR="00EE4DCE" w:rsidRPr="00EE4DCE">
        <w:rPr>
          <w:rFonts w:ascii="Times New Roman" w:hAnsi="Times New Roman" w:cs="Times New Roman"/>
        </w:rPr>
        <w:t>x due to vertical diffusion</w:t>
      </w:r>
    </w:p>
    <w:p w14:paraId="0EB6133C" w14:textId="26FEC435" w:rsidR="00EE4DCE" w:rsidRPr="00A961B2" w:rsidRDefault="00EE4DCE" w:rsidP="00EE4DCE">
      <w:pPr>
        <w:spacing w:line="480" w:lineRule="auto"/>
        <w:ind w:firstLine="720"/>
        <w:jc w:val="both"/>
        <w:rPr>
          <w:rFonts w:ascii="Times New Roman" w:hAnsi="Times New Roman" w:cs="Times New Roman"/>
        </w:rPr>
      </w:pPr>
      <w:r w:rsidRPr="00A961B2">
        <w:rPr>
          <w:rFonts w:ascii="Times New Roman" w:hAnsi="Times New Roman" w:cs="Times New Roman"/>
        </w:rPr>
        <w:t xml:space="preserve">Table 1: </w:t>
      </w:r>
      <w:r w:rsidR="002E130E">
        <w:rPr>
          <w:rFonts w:ascii="Times New Roman" w:hAnsi="Times New Roman" w:cs="Times New Roman"/>
        </w:rPr>
        <w:t>Methodological u</w:t>
      </w:r>
      <w:r w:rsidR="00F6377A" w:rsidRPr="00F6377A">
        <w:rPr>
          <w:rFonts w:ascii="Times New Roman" w:hAnsi="Times New Roman" w:cs="Times New Roman"/>
        </w:rPr>
        <w:t>ncertainties in calculation</w:t>
      </w:r>
      <w:r w:rsidR="002E130E">
        <w:rPr>
          <w:rFonts w:ascii="Times New Roman" w:hAnsi="Times New Roman" w:cs="Times New Roman"/>
        </w:rPr>
        <w:t>s</w:t>
      </w:r>
      <w:r w:rsidR="00F6377A" w:rsidRPr="00F6377A">
        <w:rPr>
          <w:rFonts w:ascii="Times New Roman" w:hAnsi="Times New Roman" w:cs="Times New Roman"/>
        </w:rPr>
        <w:t xml:space="preserve"> of physical oxygen fluxes</w:t>
      </w:r>
    </w:p>
    <w:p w14:paraId="7A0C901A" w14:textId="3AE9D3A4" w:rsidR="00EE4DCE" w:rsidRDefault="00EE4DCE" w:rsidP="0042770E">
      <w:pPr>
        <w:spacing w:line="480" w:lineRule="auto"/>
        <w:ind w:left="1584" w:hanging="864"/>
        <w:jc w:val="both"/>
        <w:rPr>
          <w:rFonts w:ascii="Times New Roman" w:hAnsi="Times New Roman" w:cs="Times New Roman"/>
        </w:rPr>
      </w:pPr>
      <w:r w:rsidRPr="00A961B2">
        <w:rPr>
          <w:rFonts w:ascii="Times New Roman" w:hAnsi="Times New Roman" w:cs="Times New Roman"/>
        </w:rPr>
        <w:t xml:space="preserve">Table </w:t>
      </w:r>
      <w:r>
        <w:rPr>
          <w:rFonts w:ascii="Times New Roman" w:hAnsi="Times New Roman" w:cs="Times New Roman"/>
        </w:rPr>
        <w:t>2</w:t>
      </w:r>
      <w:r w:rsidRPr="00A961B2">
        <w:rPr>
          <w:rFonts w:ascii="Times New Roman" w:hAnsi="Times New Roman" w:cs="Times New Roman"/>
        </w:rPr>
        <w:t xml:space="preserve">: </w:t>
      </w:r>
      <w:r w:rsidR="005360F3" w:rsidRPr="005360F3">
        <w:rPr>
          <w:rFonts w:ascii="Times New Roman" w:hAnsi="Times New Roman" w:cs="Times New Roman"/>
          <w:color w:val="000000" w:themeColor="text1"/>
        </w:rPr>
        <w:t xml:space="preserve">Observational local estimates of </w:t>
      </w:r>
      <w:r w:rsidR="00A10553">
        <w:rPr>
          <w:rFonts w:ascii="Times New Roman" w:hAnsi="Times New Roman" w:cs="Times New Roman"/>
          <w:color w:val="000000" w:themeColor="text1"/>
        </w:rPr>
        <w:t>annual net community production (</w:t>
      </w:r>
      <w:r w:rsidR="005360F3" w:rsidRPr="005360F3">
        <w:rPr>
          <w:rFonts w:ascii="Times New Roman" w:hAnsi="Times New Roman" w:cs="Times New Roman"/>
          <w:color w:val="000000" w:themeColor="text1"/>
        </w:rPr>
        <w:t>AN</w:t>
      </w:r>
      <w:r w:rsidR="00A10553">
        <w:rPr>
          <w:rFonts w:ascii="Times New Roman" w:hAnsi="Times New Roman" w:cs="Times New Roman"/>
          <w:color w:val="000000" w:themeColor="text1"/>
        </w:rPr>
        <w:t>C</w:t>
      </w:r>
      <w:r w:rsidR="005360F3" w:rsidRPr="005360F3">
        <w:rPr>
          <w:rFonts w:ascii="Times New Roman" w:hAnsi="Times New Roman" w:cs="Times New Roman"/>
          <w:color w:val="000000" w:themeColor="text1"/>
        </w:rPr>
        <w:t>P</w:t>
      </w:r>
      <w:r w:rsidR="00A10553">
        <w:rPr>
          <w:rFonts w:ascii="Times New Roman" w:hAnsi="Times New Roman" w:cs="Times New Roman"/>
          <w:color w:val="000000" w:themeColor="text1"/>
        </w:rPr>
        <w:t>)</w:t>
      </w:r>
      <w:r w:rsidR="005360F3" w:rsidRPr="005360F3">
        <w:rPr>
          <w:rFonts w:ascii="Times New Roman" w:hAnsi="Times New Roman" w:cs="Times New Roman"/>
          <w:color w:val="000000" w:themeColor="text1"/>
        </w:rPr>
        <w:t xml:space="preserve"> from previous studies</w:t>
      </w:r>
    </w:p>
    <w:p w14:paraId="4EBDD879" w14:textId="0B7F2AD7" w:rsidR="00BD63A6" w:rsidRPr="00A961B2" w:rsidRDefault="00BD63A6" w:rsidP="00EE4DCE">
      <w:pPr>
        <w:spacing w:line="480" w:lineRule="auto"/>
        <w:ind w:firstLine="720"/>
        <w:jc w:val="both"/>
        <w:rPr>
          <w:rFonts w:ascii="Times New Roman" w:hAnsi="Times New Roman" w:cs="Times New Roman"/>
        </w:rPr>
      </w:pPr>
      <w:r>
        <w:rPr>
          <w:rFonts w:ascii="Times New Roman" w:hAnsi="Times New Roman" w:cs="Times New Roman"/>
        </w:rPr>
        <w:t>Reference</w:t>
      </w:r>
      <w:r w:rsidR="003567FE">
        <w:rPr>
          <w:rFonts w:ascii="Times New Roman" w:hAnsi="Times New Roman" w:cs="Times New Roman"/>
        </w:rPr>
        <w:t>s</w:t>
      </w:r>
    </w:p>
    <w:p w14:paraId="27F7B598" w14:textId="06009BBC" w:rsidR="00527844" w:rsidRPr="00A961B2" w:rsidRDefault="00527844">
      <w:pPr>
        <w:rPr>
          <w:rFonts w:ascii="Times New Roman" w:hAnsi="Times New Roman" w:cs="Times New Roman"/>
        </w:rPr>
      </w:pPr>
      <w:r w:rsidRPr="00A961B2">
        <w:rPr>
          <w:rFonts w:ascii="Times New Roman" w:hAnsi="Times New Roman" w:cs="Times New Roman"/>
        </w:rPr>
        <w:br w:type="page"/>
      </w:r>
    </w:p>
    <w:p w14:paraId="083CA115" w14:textId="2AB146BE" w:rsidR="00FC368F" w:rsidRPr="00A961B2" w:rsidRDefault="00FC368F" w:rsidP="00FC368F">
      <w:pPr>
        <w:spacing w:line="480" w:lineRule="auto"/>
        <w:jc w:val="both"/>
        <w:rPr>
          <w:rFonts w:ascii="Times New Roman" w:hAnsi="Times New Roman" w:cs="Times New Roman"/>
          <w:b/>
          <w:bCs/>
        </w:rPr>
      </w:pPr>
      <w:r w:rsidRPr="00A961B2">
        <w:rPr>
          <w:rFonts w:ascii="Times New Roman" w:hAnsi="Times New Roman" w:cs="Times New Roman"/>
          <w:b/>
          <w:bCs/>
          <w:color w:val="000000" w:themeColor="text1"/>
        </w:rPr>
        <w:lastRenderedPageBreak/>
        <w:t>Note 1</w:t>
      </w:r>
      <w:r w:rsidR="0094584A">
        <w:rPr>
          <w:rFonts w:ascii="Times New Roman" w:hAnsi="Times New Roman" w:cs="Times New Roman"/>
          <w:b/>
          <w:bCs/>
          <w:color w:val="000000" w:themeColor="text1"/>
        </w:rPr>
        <w:t xml:space="preserve"> | </w:t>
      </w:r>
      <w:r w:rsidR="00A7475F">
        <w:rPr>
          <w:rFonts w:ascii="Times New Roman" w:hAnsi="Times New Roman" w:cs="Times New Roman"/>
          <w:b/>
          <w:bCs/>
          <w:color w:val="000000" w:themeColor="text1"/>
        </w:rPr>
        <w:t xml:space="preserve">Derivation of equations for </w:t>
      </w:r>
      <w:r w:rsidR="002E130E">
        <w:rPr>
          <w:rFonts w:ascii="Times New Roman" w:hAnsi="Times New Roman" w:cs="Times New Roman"/>
          <w:b/>
          <w:bCs/>
          <w:color w:val="000000" w:themeColor="text1"/>
        </w:rPr>
        <w:t>upper ocean</w:t>
      </w:r>
      <w:r w:rsidR="00A7475F">
        <w:rPr>
          <w:rFonts w:ascii="Times New Roman" w:hAnsi="Times New Roman" w:cs="Times New Roman"/>
          <w:b/>
          <w:bCs/>
          <w:color w:val="000000" w:themeColor="text1"/>
        </w:rPr>
        <w:t xml:space="preserve"> oxyge</w:t>
      </w:r>
      <w:r w:rsidR="00EE4DCE">
        <w:rPr>
          <w:rFonts w:ascii="Times New Roman" w:hAnsi="Times New Roman" w:cs="Times New Roman"/>
          <w:b/>
          <w:bCs/>
          <w:color w:val="000000" w:themeColor="text1"/>
        </w:rPr>
        <w:t>n</w:t>
      </w:r>
      <w:r w:rsidR="00A7475F">
        <w:rPr>
          <w:rFonts w:ascii="Times New Roman" w:hAnsi="Times New Roman" w:cs="Times New Roman"/>
          <w:b/>
          <w:bCs/>
          <w:color w:val="000000" w:themeColor="text1"/>
        </w:rPr>
        <w:t xml:space="preserve"> budget</w:t>
      </w:r>
    </w:p>
    <w:p w14:paraId="45377AE4" w14:textId="2FCB7676" w:rsidR="00A7475F" w:rsidRDefault="00A7475F" w:rsidP="001948B5">
      <w:pPr>
        <w:spacing w:line="480" w:lineRule="auto"/>
        <w:jc w:val="both"/>
        <w:rPr>
          <w:rFonts w:ascii="Times New Roman" w:hAnsi="Times New Roman" w:cs="Times New Roman"/>
        </w:rPr>
      </w:pPr>
      <w:bookmarkStart w:id="1" w:name="OLE_LINK215"/>
      <w:bookmarkStart w:id="2" w:name="OLE_LINK216"/>
      <w:r>
        <w:rPr>
          <w:rFonts w:ascii="Times New Roman" w:hAnsi="Times New Roman" w:cs="Times New Roman"/>
        </w:rPr>
        <w:t>Under condition</w:t>
      </w:r>
      <w:r w:rsidR="00A111A7">
        <w:rPr>
          <w:rFonts w:ascii="Times New Roman" w:hAnsi="Times New Roman" w:cs="Times New Roman"/>
        </w:rPr>
        <w:t>s</w:t>
      </w:r>
      <w:r>
        <w:rPr>
          <w:rFonts w:ascii="Times New Roman" w:hAnsi="Times New Roman" w:cs="Times New Roman"/>
        </w:rPr>
        <w:t xml:space="preserve"> </w:t>
      </w:r>
      <w:r w:rsidR="00A111A7">
        <w:rPr>
          <w:rFonts w:ascii="Times New Roman" w:hAnsi="Times New Roman" w:cs="Times New Roman"/>
        </w:rPr>
        <w:t>with negligible</w:t>
      </w:r>
      <w:r>
        <w:rPr>
          <w:rFonts w:ascii="Times New Roman" w:hAnsi="Times New Roman" w:cs="Times New Roman"/>
        </w:rPr>
        <w:t xml:space="preserve"> molecular diffusivities,</w:t>
      </w:r>
      <w:r w:rsidR="00B65CE3">
        <w:rPr>
          <w:rFonts w:ascii="Times New Roman" w:hAnsi="Times New Roman" w:cs="Times New Roman"/>
        </w:rPr>
        <w:t xml:space="preserve"> </w:t>
      </w:r>
      <w:r>
        <w:rPr>
          <w:rFonts w:ascii="Times New Roman" w:hAnsi="Times New Roman" w:cs="Times New Roman"/>
        </w:rPr>
        <w:t xml:space="preserve">an equation for </w:t>
      </w:r>
      <w:r w:rsidR="00B416B8">
        <w:rPr>
          <w:rFonts w:ascii="Times New Roman" w:hAnsi="Times New Roman" w:cs="Times New Roman"/>
        </w:rPr>
        <w:t xml:space="preserve">the </w:t>
      </w:r>
      <w:r>
        <w:rPr>
          <w:rFonts w:ascii="Times New Roman" w:hAnsi="Times New Roman" w:cs="Times New Roman"/>
        </w:rPr>
        <w:t>change in dissolved oxygen concentration ([O</w:t>
      </w:r>
      <w:r w:rsidRPr="00A7475F">
        <w:rPr>
          <w:rFonts w:ascii="Times New Roman" w:hAnsi="Times New Roman" w:cs="Times New Roman"/>
          <w:vertAlign w:val="subscript"/>
        </w:rPr>
        <w:t>2</w:t>
      </w:r>
      <w:r>
        <w:rPr>
          <w:rFonts w:ascii="Times New Roman" w:hAnsi="Times New Roman" w:cs="Times New Roman"/>
        </w:rPr>
        <w:t>]</w:t>
      </w:r>
      <w:r w:rsidR="00F02CE2">
        <w:rPr>
          <w:rFonts w:ascii="Times New Roman" w:hAnsi="Times New Roman" w:cs="Times New Roman"/>
        </w:rPr>
        <w:t>, mol m</w:t>
      </w:r>
      <w:r w:rsidR="00C64659" w:rsidRPr="00C64659">
        <w:rPr>
          <w:rFonts w:ascii="Times New Roman" w:hAnsi="Times New Roman" w:cs="Times New Roman"/>
          <w:vertAlign w:val="superscript"/>
        </w:rPr>
        <w:t>−</w:t>
      </w:r>
      <w:r w:rsidR="00F02CE2" w:rsidRPr="00B65CE3">
        <w:rPr>
          <w:rFonts w:ascii="Times New Roman" w:hAnsi="Times New Roman" w:cs="Times New Roman"/>
          <w:vertAlign w:val="superscript"/>
        </w:rPr>
        <w:t>3</w:t>
      </w:r>
      <w:r>
        <w:rPr>
          <w:rFonts w:ascii="Times New Roman" w:hAnsi="Times New Roman" w:cs="Times New Roman"/>
        </w:rPr>
        <w:t xml:space="preserve">) along </w:t>
      </w:r>
      <w:r w:rsidR="00A10553">
        <w:rPr>
          <w:rFonts w:ascii="Times New Roman" w:hAnsi="Times New Roman" w:cs="Times New Roman"/>
        </w:rPr>
        <w:t xml:space="preserve">a </w:t>
      </w:r>
      <w:r>
        <w:rPr>
          <w:rFonts w:ascii="Times New Roman" w:hAnsi="Times New Roman" w:cs="Times New Roman"/>
        </w:rPr>
        <w:t>water parcel</w:t>
      </w:r>
    </w:p>
    <w:p w14:paraId="21F927CC" w14:textId="77777777" w:rsidR="00B416B8" w:rsidRPr="00A961B2" w:rsidRDefault="00B416B8" w:rsidP="001948B5">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A7475F" w:rsidRPr="00A961B2" w14:paraId="45686F78" w14:textId="77777777" w:rsidTr="00C6505D">
        <w:trPr>
          <w:trHeight w:val="481"/>
        </w:trPr>
        <w:tc>
          <w:tcPr>
            <w:tcW w:w="8364" w:type="dxa"/>
            <w:vAlign w:val="center"/>
          </w:tcPr>
          <w:p w14:paraId="7C7243EF" w14:textId="7DF530F3" w:rsidR="00A7475F"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D[</m:t>
                    </m:r>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num>
                  <m:den>
                    <m:r>
                      <w:rPr>
                        <w:rFonts w:ascii="Cambria Math" w:hAnsi="Cambria Math" w:cs="Times New Roman"/>
                      </w:rPr>
                      <m:t>Dt</m:t>
                    </m:r>
                  </m:den>
                </m:f>
                <m:r>
                  <w:rPr>
                    <w:rFonts w:ascii="Cambria Math" w:hAnsi="Cambria Math" w:cs="Times New Roman"/>
                  </w:rPr>
                  <m:t>=J,</m:t>
                </m:r>
              </m:oMath>
            </m:oMathPara>
          </w:p>
        </w:tc>
        <w:tc>
          <w:tcPr>
            <w:tcW w:w="680" w:type="dxa"/>
            <w:vAlign w:val="center"/>
          </w:tcPr>
          <w:p w14:paraId="46A51020" w14:textId="77777777" w:rsidR="00A7475F" w:rsidRPr="00A961B2" w:rsidRDefault="00A7475F" w:rsidP="00C6505D">
            <w:pPr>
              <w:spacing w:line="480" w:lineRule="auto"/>
              <w:jc w:val="center"/>
              <w:rPr>
                <w:rFonts w:ascii="Times New Roman" w:hAnsi="Times New Roman" w:cs="Times New Roman"/>
              </w:rPr>
            </w:pPr>
            <w:r w:rsidRPr="00A961B2">
              <w:rPr>
                <w:rFonts w:ascii="Times New Roman" w:hAnsi="Times New Roman" w:cs="Times New Roman"/>
              </w:rPr>
              <w:t>(1)</w:t>
            </w:r>
          </w:p>
        </w:tc>
      </w:tr>
    </w:tbl>
    <w:p w14:paraId="398A5CDE" w14:textId="77777777" w:rsidR="00B416B8" w:rsidRDefault="00B416B8" w:rsidP="00C15B0E">
      <w:pPr>
        <w:spacing w:line="480" w:lineRule="auto"/>
        <w:jc w:val="both"/>
        <w:rPr>
          <w:rFonts w:ascii="Times New Roman" w:hAnsi="Times New Roman" w:cs="Times New Roman"/>
        </w:rPr>
      </w:pPr>
    </w:p>
    <w:p w14:paraId="5F090E76" w14:textId="1922ED17" w:rsidR="00A7475F" w:rsidRDefault="00A7475F" w:rsidP="00C15B0E">
      <w:pPr>
        <w:spacing w:line="480" w:lineRule="auto"/>
        <w:jc w:val="both"/>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nd </w:t>
      </w:r>
      <w:r w:rsidR="00B65CE3">
        <w:rPr>
          <w:rFonts w:ascii="Times New Roman" w:hAnsi="Times New Roman" w:cs="Times New Roman"/>
        </w:rPr>
        <w:t>an equation for the thickness</w:t>
      </w:r>
      <w:r w:rsidR="00A10553">
        <w:rPr>
          <w:rFonts w:ascii="Times New Roman" w:hAnsi="Times New Roman" w:cs="Times New Roman"/>
        </w:rPr>
        <w:t xml:space="preserve"> of the water parcel</w:t>
      </w:r>
      <w:r w:rsidR="00B65CE3">
        <w:rPr>
          <w:rFonts w:ascii="Times New Roman" w:hAnsi="Times New Roman" w:cs="Times New Roman"/>
        </w:rPr>
        <w:t xml:space="preserve"> [</w:t>
      </w:r>
      <w:r w:rsidR="00B65CE3" w:rsidRPr="00B65CE3">
        <w:rPr>
          <w:rFonts w:ascii="Times New Roman" w:hAnsi="Times New Roman" w:cs="Times New Roman"/>
          <w:i/>
          <w:iCs/>
        </w:rPr>
        <w:t>h</w:t>
      </w:r>
      <w:r w:rsidR="00B65CE3">
        <w:rPr>
          <w:rFonts w:ascii="Times New Roman" w:hAnsi="Times New Roman" w:cs="Times New Roman"/>
        </w:rPr>
        <w:t xml:space="preserve"> (m)]</w:t>
      </w:r>
    </w:p>
    <w:p w14:paraId="632D4B29" w14:textId="77777777" w:rsidR="00B416B8" w:rsidRPr="00A961B2" w:rsidRDefault="00B416B8" w:rsidP="00C15B0E">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A7475F" w:rsidRPr="00A961B2" w14:paraId="182432B6" w14:textId="77777777" w:rsidTr="00C6505D">
        <w:trPr>
          <w:trHeight w:val="481"/>
        </w:trPr>
        <w:tc>
          <w:tcPr>
            <w:tcW w:w="8364" w:type="dxa"/>
            <w:vAlign w:val="center"/>
          </w:tcPr>
          <w:p w14:paraId="797CA0F3" w14:textId="741D4DE0" w:rsidR="00A7475F"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∂h</m:t>
                    </m:r>
                  </m:num>
                  <m:den>
                    <m:r>
                      <w:rPr>
                        <w:rFonts w:ascii="Cambria Math" w:hAnsi="Cambria Math" w:cs="Times New Roman"/>
                      </w:rPr>
                      <m:t>∂t</m:t>
                    </m:r>
                  </m:den>
                </m:f>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d>
                  <m:dPr>
                    <m:ctrlPr>
                      <w:rPr>
                        <w:rFonts w:ascii="Cambria Math" w:hAnsi="Cambria Math" w:cs="Times New Roman"/>
                        <w:i/>
                      </w:rPr>
                    </m:ctrlPr>
                  </m:dPr>
                  <m:e>
                    <m:r>
                      <w:rPr>
                        <w:rFonts w:ascii="Cambria Math" w:hAnsi="Cambria Math" w:cs="Times New Roman"/>
                      </w:rPr>
                      <m:t>h</m:t>
                    </m:r>
                    <m:r>
                      <m:rPr>
                        <m:sty m:val="b"/>
                      </m:rPr>
                      <w:rPr>
                        <w:rFonts w:ascii="Cambria Math" w:hAnsi="Cambria Math" w:cs="Times New Roman"/>
                      </w:rPr>
                      <m:t>v</m:t>
                    </m:r>
                  </m:e>
                </m:d>
                <m:r>
                  <w:rPr>
                    <w:rFonts w:ascii="Cambria Math" w:hAnsi="Cambria Math" w:cs="Times New Roman"/>
                  </w:rPr>
                  <m:t>=0,</m:t>
                </m:r>
              </m:oMath>
            </m:oMathPara>
          </w:p>
        </w:tc>
        <w:tc>
          <w:tcPr>
            <w:tcW w:w="680" w:type="dxa"/>
            <w:vAlign w:val="center"/>
          </w:tcPr>
          <w:p w14:paraId="3D37938C" w14:textId="52B90C85" w:rsidR="00A7475F" w:rsidRPr="00A961B2" w:rsidRDefault="00A7475F" w:rsidP="00C6505D">
            <w:pPr>
              <w:spacing w:line="480" w:lineRule="auto"/>
              <w:jc w:val="center"/>
              <w:rPr>
                <w:rFonts w:ascii="Times New Roman" w:hAnsi="Times New Roman" w:cs="Times New Roman"/>
              </w:rPr>
            </w:pPr>
            <w:r w:rsidRPr="00A961B2">
              <w:rPr>
                <w:rFonts w:ascii="Times New Roman" w:hAnsi="Times New Roman" w:cs="Times New Roman"/>
              </w:rPr>
              <w:t>(</w:t>
            </w:r>
            <w:r w:rsidR="00B65CE3">
              <w:rPr>
                <w:rFonts w:ascii="Times New Roman" w:hAnsi="Times New Roman" w:cs="Times New Roman"/>
              </w:rPr>
              <w:t>2</w:t>
            </w:r>
            <w:r w:rsidRPr="00A961B2">
              <w:rPr>
                <w:rFonts w:ascii="Times New Roman" w:hAnsi="Times New Roman" w:cs="Times New Roman"/>
              </w:rPr>
              <w:t>)</w:t>
            </w:r>
          </w:p>
        </w:tc>
      </w:tr>
    </w:tbl>
    <w:p w14:paraId="103EACCE" w14:textId="77777777" w:rsidR="00B416B8" w:rsidRDefault="00B416B8" w:rsidP="00C15B0E">
      <w:pPr>
        <w:spacing w:line="480" w:lineRule="auto"/>
        <w:jc w:val="both"/>
        <w:rPr>
          <w:rFonts w:ascii="Times New Roman" w:hAnsi="Times New Roman" w:cs="Times New Roman"/>
        </w:rPr>
      </w:pPr>
    </w:p>
    <w:p w14:paraId="5289323F" w14:textId="13460DCA" w:rsidR="00A7475F" w:rsidRDefault="00A111A7" w:rsidP="00C15B0E">
      <w:pPr>
        <w:spacing w:line="480" w:lineRule="auto"/>
        <w:jc w:val="both"/>
        <w:rPr>
          <w:rFonts w:ascii="Times New Roman" w:hAnsi="Times New Roman" w:cs="Times New Roman"/>
        </w:rPr>
      </w:pPr>
      <w:r>
        <w:rPr>
          <w:rFonts w:ascii="Times New Roman" w:hAnsi="Times New Roman" w:cs="Times New Roman"/>
        </w:rPr>
        <w:t>can be combined, yielding</w:t>
      </w:r>
      <w:r w:rsidR="00B65CE3">
        <w:rPr>
          <w:rFonts w:ascii="Times New Roman" w:hAnsi="Times New Roman" w:cs="Times New Roman"/>
        </w:rPr>
        <w:t xml:space="preserve"> an equation for </w:t>
      </w:r>
      <w:r w:rsidR="00814A8F">
        <w:rPr>
          <w:rFonts w:ascii="Times New Roman" w:hAnsi="Times New Roman" w:cs="Times New Roman"/>
        </w:rPr>
        <w:t xml:space="preserve">dissolved </w:t>
      </w:r>
      <w:r w:rsidR="00C86445">
        <w:rPr>
          <w:rFonts w:ascii="Times New Roman" w:hAnsi="Times New Roman" w:cs="Times New Roman"/>
        </w:rPr>
        <w:t>oxygen</w:t>
      </w:r>
      <w:r w:rsidR="00B65CE3">
        <w:rPr>
          <w:rFonts w:ascii="Times New Roman" w:hAnsi="Times New Roman" w:cs="Times New Roman"/>
        </w:rPr>
        <w:t xml:space="preserve"> mass conservation,</w:t>
      </w:r>
    </w:p>
    <w:p w14:paraId="33E892DA" w14:textId="77777777" w:rsidR="00B416B8" w:rsidRPr="00A961B2" w:rsidRDefault="00B416B8" w:rsidP="00C15B0E">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A7475F" w:rsidRPr="00A961B2" w14:paraId="51FBC854" w14:textId="77777777" w:rsidTr="00C6505D">
        <w:trPr>
          <w:trHeight w:val="481"/>
        </w:trPr>
        <w:tc>
          <w:tcPr>
            <w:tcW w:w="8364" w:type="dxa"/>
            <w:vAlign w:val="center"/>
          </w:tcPr>
          <w:p w14:paraId="74598B0D" w14:textId="4DF46302" w:rsidR="00A7475F"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r>
                      <w:rPr>
                        <w:rFonts w:ascii="Cambria Math" w:hAnsi="Cambria Math" w:cs="Times New Roman"/>
                      </w:rPr>
                      <m:t>h)</m:t>
                    </m:r>
                  </m:num>
                  <m:den>
                    <m:r>
                      <w:rPr>
                        <w:rFonts w:ascii="Cambria Math" w:hAnsi="Cambria Math" w:cs="Times New Roman"/>
                      </w:rPr>
                      <m:t>∂t</m:t>
                    </m:r>
                  </m:den>
                </m:f>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d>
                  <m:dPr>
                    <m:ctrlPr>
                      <w:rPr>
                        <w:rFonts w:ascii="Cambria Math" w:hAnsi="Cambria Math" w:cs="Times New Roman"/>
                        <w:i/>
                      </w:rPr>
                    </m:ctrlPr>
                  </m:d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e>
                    </m:d>
                    <m:r>
                      <w:rPr>
                        <w:rFonts w:ascii="Cambria Math" w:hAnsi="Cambria Math" w:cs="Times New Roman"/>
                      </w:rPr>
                      <m:t>h</m:t>
                    </m:r>
                    <m:r>
                      <m:rPr>
                        <m:sty m:val="b"/>
                      </m:rPr>
                      <w:rPr>
                        <w:rFonts w:ascii="Cambria Math" w:hAnsi="Cambria Math" w:cs="Times New Roman"/>
                      </w:rPr>
                      <m:t>v</m:t>
                    </m:r>
                    <m:ctrlPr>
                      <w:rPr>
                        <w:rFonts w:ascii="Cambria Math" w:hAnsi="Cambria Math" w:cs="Times New Roman"/>
                        <w:b/>
                      </w:rPr>
                    </m:ctrlPr>
                  </m:e>
                </m:d>
                <m:r>
                  <w:rPr>
                    <w:rFonts w:ascii="Cambria Math" w:hAnsi="Cambria Math" w:cs="Times New Roman"/>
                  </w:rPr>
                  <m:t>=hJ,</m:t>
                </m:r>
              </m:oMath>
            </m:oMathPara>
          </w:p>
        </w:tc>
        <w:tc>
          <w:tcPr>
            <w:tcW w:w="680" w:type="dxa"/>
            <w:vAlign w:val="center"/>
          </w:tcPr>
          <w:p w14:paraId="2A386EB4" w14:textId="57E62ECF" w:rsidR="00A7475F" w:rsidRPr="00A961B2" w:rsidRDefault="00A7475F" w:rsidP="00C6505D">
            <w:pPr>
              <w:spacing w:line="480" w:lineRule="auto"/>
              <w:jc w:val="center"/>
              <w:rPr>
                <w:rFonts w:ascii="Times New Roman" w:hAnsi="Times New Roman" w:cs="Times New Roman"/>
              </w:rPr>
            </w:pPr>
            <w:r w:rsidRPr="00A961B2">
              <w:rPr>
                <w:rFonts w:ascii="Times New Roman" w:hAnsi="Times New Roman" w:cs="Times New Roman"/>
              </w:rPr>
              <w:t>(</w:t>
            </w:r>
            <w:r w:rsidR="00B65CE3">
              <w:rPr>
                <w:rFonts w:ascii="Times New Roman" w:hAnsi="Times New Roman" w:cs="Times New Roman"/>
              </w:rPr>
              <w:t>3</w:t>
            </w:r>
            <w:r w:rsidRPr="00A961B2">
              <w:rPr>
                <w:rFonts w:ascii="Times New Roman" w:hAnsi="Times New Roman" w:cs="Times New Roman"/>
              </w:rPr>
              <w:t>)</w:t>
            </w:r>
          </w:p>
        </w:tc>
      </w:tr>
      <w:bookmarkEnd w:id="1"/>
      <w:bookmarkEnd w:id="2"/>
    </w:tbl>
    <w:p w14:paraId="5E228FEF" w14:textId="77777777" w:rsidR="00B416B8" w:rsidRDefault="00B416B8" w:rsidP="00D535C1">
      <w:pPr>
        <w:spacing w:line="480" w:lineRule="auto"/>
        <w:jc w:val="both"/>
        <w:rPr>
          <w:rFonts w:ascii="Times New Roman" w:hAnsi="Times New Roman" w:cs="Times New Roman"/>
        </w:rPr>
      </w:pPr>
    </w:p>
    <w:p w14:paraId="59D730C8" w14:textId="4A49CDD5" w:rsidR="00D535C1" w:rsidRDefault="00B65CE3" w:rsidP="00D535C1">
      <w:pPr>
        <w:spacing w:line="480" w:lineRule="auto"/>
        <w:jc w:val="both"/>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here </w:t>
      </w:r>
      <w:r w:rsidRPr="00B65CE3">
        <w:rPr>
          <w:rFonts w:ascii="Times New Roman" w:hAnsi="Times New Roman" w:cs="Times New Roman"/>
          <w:i/>
          <w:iCs/>
        </w:rPr>
        <w:t>J</w:t>
      </w:r>
      <w:r>
        <w:rPr>
          <w:rFonts w:ascii="Times New Roman" w:hAnsi="Times New Roman" w:cs="Times New Roman"/>
        </w:rPr>
        <w:t xml:space="preserve"> and </w:t>
      </w:r>
      <w:r w:rsidRPr="00B65CE3">
        <w:rPr>
          <w:rFonts w:ascii="Times New Roman" w:hAnsi="Times New Roman" w:cs="Times New Roman"/>
          <w:b/>
          <w:bCs/>
        </w:rPr>
        <w:t>v</w:t>
      </w:r>
      <w:r>
        <w:rPr>
          <w:rFonts w:ascii="Times New Roman" w:hAnsi="Times New Roman" w:cs="Times New Roman"/>
        </w:rPr>
        <w:t xml:space="preserve"> indicate net </w:t>
      </w:r>
      <w:r w:rsidR="001B2B1D">
        <w:rPr>
          <w:rFonts w:ascii="Times New Roman" w:hAnsi="Times New Roman" w:cs="Times New Roman"/>
        </w:rPr>
        <w:t>dissolved oxygen</w:t>
      </w:r>
      <w:r>
        <w:rPr>
          <w:rFonts w:ascii="Times New Roman" w:hAnsi="Times New Roman" w:cs="Times New Roman"/>
        </w:rPr>
        <w:t xml:space="preserve"> change by biological production and respiration (mol m</w:t>
      </w:r>
      <w:r w:rsidR="00C64659" w:rsidRPr="00C64659">
        <w:rPr>
          <w:rFonts w:ascii="Times New Roman" w:hAnsi="Times New Roman" w:cs="Times New Roman"/>
          <w:vertAlign w:val="superscript"/>
        </w:rPr>
        <w:t>−</w:t>
      </w:r>
      <w:r w:rsidRPr="00B65CE3">
        <w:rPr>
          <w:rFonts w:ascii="Times New Roman" w:hAnsi="Times New Roman" w:cs="Times New Roman"/>
          <w:vertAlign w:val="superscript"/>
        </w:rPr>
        <w:t>3</w:t>
      </w:r>
      <w:r>
        <w:rPr>
          <w:rFonts w:ascii="Times New Roman" w:hAnsi="Times New Roman" w:cs="Times New Roman"/>
        </w:rPr>
        <w:t xml:space="preserve"> s</w:t>
      </w:r>
      <w:r w:rsidR="00C64659" w:rsidRPr="00C64659">
        <w:rPr>
          <w:rFonts w:ascii="Times New Roman" w:hAnsi="Times New Roman" w:cs="Times New Roman"/>
          <w:vertAlign w:val="superscript"/>
        </w:rPr>
        <w:t>−</w:t>
      </w:r>
      <w:r w:rsidRPr="00B65CE3">
        <w:rPr>
          <w:rFonts w:ascii="Times New Roman" w:hAnsi="Times New Roman" w:cs="Times New Roman"/>
          <w:vertAlign w:val="superscript"/>
        </w:rPr>
        <w:t>1</w:t>
      </w:r>
      <w:r>
        <w:rPr>
          <w:rFonts w:ascii="Times New Roman" w:hAnsi="Times New Roman" w:cs="Times New Roman"/>
        </w:rPr>
        <w:t>) and velocity (m s</w:t>
      </w:r>
      <w:r w:rsidR="00C64659" w:rsidRPr="00C64659">
        <w:rPr>
          <w:rFonts w:ascii="Times New Roman" w:hAnsi="Times New Roman" w:cs="Times New Roman"/>
          <w:vertAlign w:val="superscript"/>
        </w:rPr>
        <w:t>−</w:t>
      </w:r>
      <w:r w:rsidRPr="00B65CE3">
        <w:rPr>
          <w:rFonts w:ascii="Times New Roman" w:hAnsi="Times New Roman" w:cs="Times New Roman"/>
          <w:vertAlign w:val="superscript"/>
        </w:rPr>
        <w:t>1</w:t>
      </w:r>
      <w:r>
        <w:rPr>
          <w:rFonts w:ascii="Times New Roman" w:hAnsi="Times New Roman" w:cs="Times New Roman"/>
        </w:rPr>
        <w:t>)</w:t>
      </w:r>
      <w:r w:rsidR="00A111A7">
        <w:rPr>
          <w:rFonts w:ascii="Times New Roman" w:hAnsi="Times New Roman" w:cs="Times New Roman"/>
        </w:rPr>
        <w:t>, respectively</w:t>
      </w:r>
      <w:r>
        <w:rPr>
          <w:rFonts w:ascii="Times New Roman" w:hAnsi="Times New Roman" w:cs="Times New Roman"/>
        </w:rPr>
        <w:t xml:space="preserve">. Decomposing </w:t>
      </w:r>
      <w:r w:rsidR="00A111A7">
        <w:rPr>
          <w:rFonts w:ascii="Times New Roman" w:hAnsi="Times New Roman" w:cs="Times New Roman"/>
        </w:rPr>
        <w:t xml:space="preserve">the </w:t>
      </w:r>
      <w:r>
        <w:rPr>
          <w:rFonts w:ascii="Times New Roman" w:hAnsi="Times New Roman" w:cs="Times New Roman"/>
        </w:rPr>
        <w:t>variables into</w:t>
      </w:r>
      <w:r w:rsidR="00702CA7">
        <w:rPr>
          <w:rFonts w:ascii="Times New Roman" w:hAnsi="Times New Roman" w:cs="Times New Roman"/>
        </w:rPr>
        <w:t xml:space="preserve"> a</w:t>
      </w:r>
      <w:r>
        <w:rPr>
          <w:rFonts w:ascii="Times New Roman" w:hAnsi="Times New Roman" w:cs="Times New Roman"/>
        </w:rPr>
        <w:t xml:space="preserve"> large-scale component</w:t>
      </w:r>
      <w:r w:rsidR="00677671">
        <w:rPr>
          <w:rFonts w:ascii="Times New Roman" w:hAnsi="Times New Roman" w:cs="Times New Roman"/>
        </w:rPr>
        <w:t xml:space="preserve"> (denoted by an overbar, e.g., </w:t>
      </w:r>
      <m:oMath>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oMath>
      <w:r w:rsidR="00677671">
        <w:rPr>
          <w:rFonts w:ascii="Times New Roman" w:hAnsi="Times New Roman" w:cs="Times New Roman"/>
        </w:rPr>
        <w:t>)</w:t>
      </w:r>
      <w:r>
        <w:rPr>
          <w:rFonts w:ascii="Times New Roman" w:hAnsi="Times New Roman" w:cs="Times New Roman"/>
        </w:rPr>
        <w:t xml:space="preserve"> and eddy components </w:t>
      </w:r>
      <w:r w:rsidR="00677671">
        <w:rPr>
          <w:rFonts w:ascii="Times New Roman" w:hAnsi="Times New Roman" w:cs="Times New Roman"/>
        </w:rPr>
        <w:t>(denoted by a prime</w:t>
      </w:r>
      <w:r w:rsidR="00A111A7">
        <w:rPr>
          <w:rFonts w:ascii="Times New Roman" w:hAnsi="Times New Roman" w:cs="Times New Roman"/>
        </w:rPr>
        <w:t xml:space="preserve"> symbol</w:t>
      </w:r>
      <w:r w:rsidR="00677671">
        <w:rPr>
          <w:rFonts w:ascii="Times New Roman" w:hAnsi="Times New Roman" w:cs="Times New Roman"/>
        </w:rPr>
        <w:t xml:space="preserve">, e.g., </w:t>
      </w:r>
      <m:oMath>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oMath>
      <w:r w:rsidR="00677671">
        <w:rPr>
          <w:rFonts w:ascii="Times New Roman" w:hAnsi="Times New Roman" w:cs="Times New Roman"/>
        </w:rPr>
        <w:t>)</w:t>
      </w:r>
      <w:r w:rsidR="00A111A7">
        <w:rPr>
          <w:rFonts w:ascii="Times New Roman" w:hAnsi="Times New Roman" w:cs="Times New Roman"/>
        </w:rPr>
        <w:t>,</w:t>
      </w:r>
      <w:r w:rsidR="00CE3160">
        <w:rPr>
          <w:rFonts w:ascii="Times New Roman" w:hAnsi="Times New Roman" w:cs="Times New Roman"/>
        </w:rPr>
        <w:t xml:space="preserve"> and taking </w:t>
      </w:r>
      <w:r w:rsidR="00A111A7">
        <w:rPr>
          <w:rFonts w:ascii="Times New Roman" w:hAnsi="Times New Roman" w:cs="Times New Roman"/>
        </w:rPr>
        <w:t xml:space="preserve">an </w:t>
      </w:r>
      <w:r w:rsidR="00CE3160">
        <w:rPr>
          <w:rFonts w:ascii="Times New Roman" w:hAnsi="Times New Roman" w:cs="Times New Roman"/>
        </w:rPr>
        <w:t>average over the large-scale</w:t>
      </w:r>
      <w:r w:rsidR="00677671">
        <w:rPr>
          <w:rFonts w:ascii="Times New Roman" w:hAnsi="Times New Roman" w:cs="Times New Roman"/>
        </w:rPr>
        <w:t>,</w:t>
      </w:r>
      <w:r w:rsidR="00CE3160">
        <w:rPr>
          <w:rFonts w:ascii="Times New Roman" w:hAnsi="Times New Roman" w:cs="Times New Roman"/>
        </w:rPr>
        <w:t xml:space="preserve"> equation </w:t>
      </w:r>
      <w:r w:rsidR="00442B0E">
        <w:rPr>
          <w:rFonts w:ascii="Times New Roman" w:hAnsi="Times New Roman" w:cs="Times New Roman"/>
        </w:rPr>
        <w:t>(</w:t>
      </w:r>
      <w:r w:rsidR="00CE3160">
        <w:rPr>
          <w:rFonts w:ascii="Times New Roman" w:hAnsi="Times New Roman" w:cs="Times New Roman"/>
        </w:rPr>
        <w:t>3</w:t>
      </w:r>
      <w:r w:rsidR="00442B0E">
        <w:rPr>
          <w:rFonts w:ascii="Times New Roman" w:hAnsi="Times New Roman" w:cs="Times New Roman"/>
        </w:rPr>
        <w:t>)</w:t>
      </w:r>
      <w:r w:rsidR="00CE3160">
        <w:rPr>
          <w:rFonts w:ascii="Times New Roman" w:hAnsi="Times New Roman" w:cs="Times New Roman"/>
        </w:rPr>
        <w:t xml:space="preserve"> becomes</w:t>
      </w:r>
    </w:p>
    <w:p w14:paraId="06DF1FBB" w14:textId="77777777" w:rsidR="00B416B8" w:rsidRPr="00A961B2" w:rsidRDefault="00B416B8" w:rsidP="00D535C1">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D535C1" w:rsidRPr="00A961B2" w14:paraId="7EC78331" w14:textId="77777777" w:rsidTr="00C6505D">
        <w:trPr>
          <w:trHeight w:val="481"/>
        </w:trPr>
        <w:tc>
          <w:tcPr>
            <w:tcW w:w="8364" w:type="dxa"/>
            <w:vAlign w:val="center"/>
          </w:tcPr>
          <w:p w14:paraId="2F775754" w14:textId="181671E6" w:rsidR="00D535C1"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acc>
                      <m:accPr>
                        <m:chr m:val="̅"/>
                        <m:ctrlPr>
                          <w:rPr>
                            <w:rFonts w:ascii="Cambria Math" w:hAnsi="Cambria Math" w:cs="Times New Roman"/>
                            <w:i/>
                            <w:iCs/>
                          </w:rPr>
                        </m:ctrlPr>
                      </m:accPr>
                      <m:e>
                        <m:r>
                          <w:rPr>
                            <w:rFonts w:ascii="Cambria Math" w:hAnsi="Cambria Math" w:cs="Times New Roman"/>
                          </w:rPr>
                          <m:t>h</m:t>
                        </m:r>
                      </m:e>
                    </m:acc>
                    <m:r>
                      <w:rPr>
                        <w:rFonts w:ascii="Cambria Math" w:hAnsi="Cambria Math" w:cs="Times New Roman"/>
                      </w:rPr>
                      <m:t>+</m:t>
                    </m:r>
                    <m:acc>
                      <m:accPr>
                        <m:chr m:val="̅"/>
                        <m:ctrlPr>
                          <w:rPr>
                            <w:rFonts w:ascii="Cambria Math" w:hAnsi="Cambria Math" w:cs="Times New Roman"/>
                            <w:i/>
                            <w:iCs/>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e>
                    </m:acc>
                    <m:r>
                      <w:rPr>
                        <w:rFonts w:ascii="Cambria Math" w:hAnsi="Cambria Math" w:cs="Times New Roman"/>
                      </w:rPr>
                      <m:t>)</m:t>
                    </m:r>
                  </m:num>
                  <m:den>
                    <m:r>
                      <w:rPr>
                        <w:rFonts w:ascii="Cambria Math" w:hAnsi="Cambria Math" w:cs="Times New Roman"/>
                      </w:rPr>
                      <m:t>∂t</m:t>
                    </m:r>
                  </m:den>
                </m:f>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d>
                  <m:dPr>
                    <m:ctrlPr>
                      <w:rPr>
                        <w:rFonts w:ascii="Cambria Math" w:hAnsi="Cambria Math" w:cs="Times New Roman"/>
                        <w:i/>
                      </w:rPr>
                    </m:ctrlPr>
                  </m:dPr>
                  <m:e>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acc>
                      <m:accPr>
                        <m:chr m:val="̅"/>
                        <m:ctrlPr>
                          <w:rPr>
                            <w:rFonts w:ascii="Cambria Math" w:hAnsi="Cambria Math" w:cs="Times New Roman"/>
                            <w:i/>
                            <w:iCs/>
                          </w:rPr>
                        </m:ctrlPr>
                      </m:accPr>
                      <m:e>
                        <m:r>
                          <w:rPr>
                            <w:rFonts w:ascii="Cambria Math" w:hAnsi="Cambria Math" w:cs="Times New Roman"/>
                          </w:rPr>
                          <m:t>h</m:t>
                        </m:r>
                        <m:r>
                          <m:rPr>
                            <m:sty m:val="b"/>
                          </m:rPr>
                          <w:rPr>
                            <w:rFonts w:ascii="Cambria Math" w:hAnsi="Cambria Math" w:cs="Times New Roman"/>
                          </w:rPr>
                          <m:t>v</m:t>
                        </m:r>
                      </m:e>
                    </m:acc>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d>
                              <m:dPr>
                                <m:ctrlPr>
                                  <w:rPr>
                                    <w:rFonts w:ascii="Cambria Math" w:hAnsi="Cambria Math" w:cs="Times New Roman"/>
                                    <w:i/>
                                  </w:rPr>
                                </m:ctrlPr>
                              </m:dPr>
                              <m:e>
                                <m:r>
                                  <w:rPr>
                                    <w:rFonts w:ascii="Cambria Math" w:hAnsi="Cambria Math" w:cs="Times New Roman"/>
                                  </w:rPr>
                                  <m:t>h</m:t>
                                </m:r>
                                <m:r>
                                  <m:rPr>
                                    <m:sty m:val="b"/>
                                  </m:rPr>
                                  <w:rPr>
                                    <w:rFonts w:ascii="Cambria Math" w:hAnsi="Cambria Math" w:cs="Times New Roman"/>
                                  </w:rPr>
                                  <m:t>v</m:t>
                                </m:r>
                                <m:ctrlPr>
                                  <w:rPr>
                                    <w:rFonts w:ascii="Cambria Math" w:hAnsi="Cambria Math" w:cs="Times New Roman"/>
                                    <w:b/>
                                  </w:rPr>
                                </m:ctrlPr>
                              </m:e>
                            </m:d>
                          </m:e>
                          <m:sup>
                            <m:r>
                              <w:rPr>
                                <w:rFonts w:ascii="Cambria Math" w:hAnsi="Cambria Math" w:cs="Times New Roman"/>
                              </w:rPr>
                              <m:t>'</m:t>
                            </m:r>
                          </m:sup>
                        </m:sSup>
                      </m:e>
                    </m:acc>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h</m:t>
                    </m:r>
                  </m:e>
                </m:acc>
                <m:r>
                  <w:rPr>
                    <w:rFonts w:ascii="Cambria Math" w:hAnsi="Cambria Math" w:cs="Times New Roman"/>
                  </w:rPr>
                  <m:t>J.</m:t>
                </m:r>
              </m:oMath>
            </m:oMathPara>
          </w:p>
        </w:tc>
        <w:tc>
          <w:tcPr>
            <w:tcW w:w="680" w:type="dxa"/>
            <w:vAlign w:val="center"/>
          </w:tcPr>
          <w:p w14:paraId="105DEFDC" w14:textId="4C3E9758" w:rsidR="00D535C1" w:rsidRPr="00A961B2" w:rsidRDefault="00D535C1" w:rsidP="00C6505D">
            <w:pPr>
              <w:spacing w:line="480" w:lineRule="auto"/>
              <w:jc w:val="center"/>
              <w:rPr>
                <w:rFonts w:ascii="Times New Roman" w:hAnsi="Times New Roman" w:cs="Times New Roman"/>
              </w:rPr>
            </w:pPr>
            <w:r w:rsidRPr="00A961B2">
              <w:rPr>
                <w:rFonts w:ascii="Times New Roman" w:hAnsi="Times New Roman" w:cs="Times New Roman"/>
              </w:rPr>
              <w:t>(</w:t>
            </w:r>
            <w:r w:rsidR="00CE3160">
              <w:rPr>
                <w:rFonts w:ascii="Times New Roman" w:hAnsi="Times New Roman" w:cs="Times New Roman"/>
              </w:rPr>
              <w:t>4</w:t>
            </w:r>
            <w:r w:rsidRPr="00A961B2">
              <w:rPr>
                <w:rFonts w:ascii="Times New Roman" w:hAnsi="Times New Roman" w:cs="Times New Roman"/>
              </w:rPr>
              <w:t>)</w:t>
            </w:r>
          </w:p>
        </w:tc>
      </w:tr>
    </w:tbl>
    <w:p w14:paraId="5FD01C31" w14:textId="77777777" w:rsidR="00B416B8" w:rsidRDefault="00B416B8" w:rsidP="00460264">
      <w:pPr>
        <w:spacing w:line="480" w:lineRule="auto"/>
        <w:jc w:val="both"/>
        <w:rPr>
          <w:rFonts w:ascii="Times New Roman" w:hAnsi="Times New Roman" w:cs="Times New Roman"/>
          <w:iCs/>
        </w:rPr>
      </w:pPr>
    </w:p>
    <w:p w14:paraId="498AB727" w14:textId="2D08A7CF" w:rsidR="00262153" w:rsidRDefault="00834DDD" w:rsidP="00460264">
      <w:pPr>
        <w:spacing w:line="480" w:lineRule="auto"/>
        <w:jc w:val="both"/>
        <w:rPr>
          <w:rFonts w:ascii="Times New Roman" w:hAnsi="Times New Roman" w:cs="Times New Roman"/>
        </w:rPr>
      </w:pPr>
      <w:r>
        <w:rPr>
          <w:rFonts w:ascii="Times New Roman" w:hAnsi="Times New Roman" w:cs="Times New Roman" w:hint="eastAsia"/>
          <w:iCs/>
        </w:rPr>
        <w:t>U</w:t>
      </w:r>
      <w:r>
        <w:rPr>
          <w:rFonts w:ascii="Times New Roman" w:hAnsi="Times New Roman" w:cs="Times New Roman"/>
          <w:iCs/>
        </w:rPr>
        <w:t xml:space="preserve">sing the relationship </w:t>
      </w:r>
      <m:oMath>
        <m:acc>
          <m:accPr>
            <m:chr m:val="̅"/>
            <m:ctrlPr>
              <w:rPr>
                <w:rFonts w:ascii="Cambria Math" w:hAnsi="Cambria Math" w:cs="Times New Roman"/>
                <w:i/>
                <w:iCs/>
              </w:rPr>
            </m:ctrlPr>
          </m:accPr>
          <m:e>
            <m:r>
              <w:rPr>
                <w:rFonts w:ascii="Cambria Math" w:hAnsi="Cambria Math" w:cs="Times New Roman"/>
              </w:rPr>
              <m:t>h</m:t>
            </m:r>
            <m:r>
              <m:rPr>
                <m:sty m:val="b"/>
              </m:rPr>
              <w:rPr>
                <w:rFonts w:ascii="Cambria Math" w:hAnsi="Cambria Math" w:cs="Times New Roman"/>
              </w:rPr>
              <m:t>v</m:t>
            </m:r>
          </m:e>
        </m:acc>
        <m:r>
          <w:rPr>
            <w:rFonts w:ascii="Cambria Math" w:hAnsi="Cambria Math" w:cs="Times New Roman"/>
          </w:rPr>
          <m:t>=(</m:t>
        </m:r>
        <m:acc>
          <m:accPr>
            <m:chr m:val="̅"/>
            <m:ctrlPr>
              <w:rPr>
                <w:rFonts w:ascii="Cambria Math" w:hAnsi="Cambria Math" w:cs="Times New Roman"/>
                <w:i/>
              </w:rPr>
            </m:ctrlPr>
          </m:accPr>
          <m:e>
            <m:acc>
              <m:accPr>
                <m:chr m:val="̅"/>
                <m:ctrlPr>
                  <w:rPr>
                    <w:rFonts w:ascii="Cambria Math" w:hAnsi="Cambria Math" w:cs="Times New Roman"/>
                    <w:i/>
                  </w:rPr>
                </m:ctrlPr>
              </m:accPr>
              <m:e>
                <m:r>
                  <w:rPr>
                    <w:rFonts w:ascii="Cambria Math" w:hAnsi="Cambria Math" w:cs="Times New Roman"/>
                  </w:rPr>
                  <m:t>h</m:t>
                </m:r>
              </m:e>
            </m:acc>
            <m:acc>
              <m:accPr>
                <m:chr m:val="̅"/>
                <m:ctrlPr>
                  <w:rPr>
                    <w:rFonts w:ascii="Cambria Math" w:hAnsi="Cambria Math" w:cs="Times New Roman"/>
                    <w:i/>
                  </w:rPr>
                </m:ctrlPr>
              </m:accPr>
              <m:e>
                <m:r>
                  <m:rPr>
                    <m:sty m:val="b"/>
                  </m:rPr>
                  <w:rPr>
                    <w:rFonts w:ascii="Cambria Math" w:hAnsi="Cambria Math" w:cs="Times New Roman"/>
                  </w:rPr>
                  <m:t>v</m:t>
                </m:r>
              </m:e>
            </m:acc>
          </m:e>
        </m:acc>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sSup>
              <m:sSupPr>
                <m:ctrlPr>
                  <w:rPr>
                    <w:rFonts w:ascii="Cambria Math" w:hAnsi="Cambria Math" w:cs="Times New Roman"/>
                    <w:i/>
                    <w:iCs/>
                  </w:rPr>
                </m:ctrlPr>
              </m:sSupPr>
              <m:e>
                <m:r>
                  <m:rPr>
                    <m:sty m:val="b"/>
                  </m:rPr>
                  <w:rPr>
                    <w:rFonts w:ascii="Cambria Math" w:hAnsi="Cambria Math" w:cs="Times New Roman"/>
                  </w:rPr>
                  <m:t>v</m:t>
                </m:r>
              </m:e>
              <m:sup>
                <m:r>
                  <w:rPr>
                    <w:rFonts w:ascii="Cambria Math" w:hAnsi="Cambria Math" w:cs="Times New Roman"/>
                  </w:rPr>
                  <m:t>'</m:t>
                </m:r>
              </m:sup>
            </m:sSup>
          </m:e>
        </m:acc>
        <m:r>
          <w:rPr>
            <w:rFonts w:ascii="Cambria Math" w:hAnsi="Cambria Math" w:cs="Times New Roman"/>
          </w:rPr>
          <m:t>)</m:t>
        </m:r>
      </m:oMath>
      <w:r>
        <w:rPr>
          <w:rFonts w:ascii="Times New Roman" w:hAnsi="Times New Roman" w:cs="Times New Roman" w:hint="eastAsia"/>
        </w:rPr>
        <w:t>,</w:t>
      </w:r>
      <w:r>
        <w:rPr>
          <w:rFonts w:ascii="Times New Roman" w:hAnsi="Times New Roman" w:cs="Times New Roman"/>
        </w:rPr>
        <w:t xml:space="preserve"> equation </w:t>
      </w:r>
      <w:r w:rsidR="00442B0E">
        <w:rPr>
          <w:rFonts w:ascii="Times New Roman" w:hAnsi="Times New Roman" w:cs="Times New Roman"/>
        </w:rPr>
        <w:t>(</w:t>
      </w:r>
      <w:r>
        <w:rPr>
          <w:rFonts w:ascii="Times New Roman" w:hAnsi="Times New Roman" w:cs="Times New Roman"/>
        </w:rPr>
        <w:t>5</w:t>
      </w:r>
      <w:r w:rsidR="00442B0E">
        <w:rPr>
          <w:rFonts w:ascii="Times New Roman" w:hAnsi="Times New Roman" w:cs="Times New Roman"/>
        </w:rPr>
        <w:t>)</w:t>
      </w:r>
      <w:r>
        <w:rPr>
          <w:rFonts w:ascii="Times New Roman" w:hAnsi="Times New Roman" w:cs="Times New Roman"/>
        </w:rPr>
        <w:t xml:space="preserve"> can be written as</w:t>
      </w:r>
    </w:p>
    <w:p w14:paraId="15ADFAB2" w14:textId="77777777" w:rsidR="00B416B8" w:rsidRPr="00A961B2" w:rsidRDefault="00B416B8" w:rsidP="00460264">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262153" w:rsidRPr="00A961B2" w14:paraId="57BD1D60" w14:textId="77777777" w:rsidTr="00C6505D">
        <w:trPr>
          <w:trHeight w:val="481"/>
        </w:trPr>
        <w:tc>
          <w:tcPr>
            <w:tcW w:w="8364" w:type="dxa"/>
            <w:vAlign w:val="center"/>
          </w:tcPr>
          <w:p w14:paraId="69A1419C" w14:textId="0E1C1C58" w:rsidR="00262153"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acc>
                      <m:accPr>
                        <m:chr m:val="̅"/>
                        <m:ctrlPr>
                          <w:rPr>
                            <w:rFonts w:ascii="Cambria Math" w:hAnsi="Cambria Math" w:cs="Times New Roman"/>
                            <w:i/>
                            <w:iCs/>
                          </w:rPr>
                        </m:ctrlPr>
                      </m:accPr>
                      <m:e>
                        <m:r>
                          <w:rPr>
                            <w:rFonts w:ascii="Cambria Math" w:hAnsi="Cambria Math" w:cs="Times New Roman"/>
                          </w:rPr>
                          <m:t>h</m:t>
                        </m:r>
                      </m:e>
                    </m:acc>
                    <m:r>
                      <w:rPr>
                        <w:rFonts w:ascii="Cambria Math" w:hAnsi="Cambria Math" w:cs="Times New Roman"/>
                      </w:rPr>
                      <m:t>+</m:t>
                    </m:r>
                    <m:acc>
                      <m:accPr>
                        <m:chr m:val="̅"/>
                        <m:ctrlPr>
                          <w:rPr>
                            <w:rFonts w:ascii="Cambria Math" w:hAnsi="Cambria Math" w:cs="Times New Roman"/>
                            <w:i/>
                            <w:iCs/>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e>
                    </m:acc>
                    <m:r>
                      <w:rPr>
                        <w:rFonts w:ascii="Cambria Math" w:hAnsi="Cambria Math" w:cs="Times New Roman"/>
                      </w:rPr>
                      <m:t>)</m:t>
                    </m:r>
                  </m:num>
                  <m:den>
                    <m:r>
                      <w:rPr>
                        <w:rFonts w:ascii="Cambria Math" w:hAnsi="Cambria Math" w:cs="Times New Roman"/>
                      </w:rPr>
                      <m:t>∂t</m:t>
                    </m:r>
                  </m:den>
                </m:f>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d>
                  <m:dPr>
                    <m:ctrlPr>
                      <w:rPr>
                        <w:rFonts w:ascii="Cambria Math" w:hAnsi="Cambria Math" w:cs="Times New Roman"/>
                        <w:i/>
                      </w:rPr>
                    </m:ctrlPr>
                  </m:dPr>
                  <m:e>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d>
                      <m:dPr>
                        <m:ctrlPr>
                          <w:rPr>
                            <w:rFonts w:ascii="Cambria Math" w:hAnsi="Cambria Math" w:cs="Times New Roman"/>
                            <w:i/>
                          </w:rPr>
                        </m:ctrlPr>
                      </m:dPr>
                      <m:e>
                        <m:acc>
                          <m:accPr>
                            <m:chr m:val="̅"/>
                            <m:ctrlPr>
                              <w:rPr>
                                <w:rFonts w:ascii="Cambria Math" w:hAnsi="Cambria Math" w:cs="Times New Roman"/>
                                <w:i/>
                              </w:rPr>
                            </m:ctrlPr>
                          </m:accPr>
                          <m:e>
                            <m:acc>
                              <m:accPr>
                                <m:chr m:val="̅"/>
                                <m:ctrlPr>
                                  <w:rPr>
                                    <w:rFonts w:ascii="Cambria Math" w:hAnsi="Cambria Math" w:cs="Times New Roman"/>
                                    <w:i/>
                                  </w:rPr>
                                </m:ctrlPr>
                              </m:accPr>
                              <m:e>
                                <m:r>
                                  <w:rPr>
                                    <w:rFonts w:ascii="Cambria Math" w:hAnsi="Cambria Math" w:cs="Times New Roman"/>
                                  </w:rPr>
                                  <m:t>h</m:t>
                                </m:r>
                              </m:e>
                            </m:acc>
                            <m:acc>
                              <m:accPr>
                                <m:chr m:val="̅"/>
                                <m:ctrlPr>
                                  <w:rPr>
                                    <w:rFonts w:ascii="Cambria Math" w:hAnsi="Cambria Math" w:cs="Times New Roman"/>
                                    <w:i/>
                                  </w:rPr>
                                </m:ctrlPr>
                              </m:accPr>
                              <m:e>
                                <m:r>
                                  <m:rPr>
                                    <m:sty m:val="b"/>
                                  </m:rPr>
                                  <w:rPr>
                                    <w:rFonts w:ascii="Cambria Math" w:hAnsi="Cambria Math" w:cs="Times New Roman"/>
                                  </w:rPr>
                                  <m:t>v</m:t>
                                </m:r>
                              </m:e>
                            </m:acc>
                          </m:e>
                        </m:acc>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sSup>
                              <m:sSupPr>
                                <m:ctrlPr>
                                  <w:rPr>
                                    <w:rFonts w:ascii="Cambria Math" w:hAnsi="Cambria Math" w:cs="Times New Roman"/>
                                    <w:i/>
                                    <w:iCs/>
                                  </w:rPr>
                                </m:ctrlPr>
                              </m:sSupPr>
                              <m:e>
                                <m:r>
                                  <m:rPr>
                                    <m:sty m:val="b"/>
                                  </m:rPr>
                                  <w:rPr>
                                    <w:rFonts w:ascii="Cambria Math" w:hAnsi="Cambria Math" w:cs="Times New Roman"/>
                                  </w:rPr>
                                  <m:t>v</m:t>
                                </m:r>
                              </m:e>
                              <m:sup>
                                <m:r>
                                  <w:rPr>
                                    <w:rFonts w:ascii="Cambria Math" w:hAnsi="Cambria Math" w:cs="Times New Roman"/>
                                  </w:rPr>
                                  <m:t>'</m:t>
                                </m:r>
                              </m:sup>
                            </m:sSup>
                          </m:e>
                        </m:acc>
                      </m:e>
                    </m:d>
                    <m:ctrlPr>
                      <w:rPr>
                        <w:rFonts w:ascii="Cambria Math" w:hAnsi="Cambria Math" w:cs="Times New Roman"/>
                        <w:i/>
                        <w:iCs/>
                      </w:rPr>
                    </m:ctrlPr>
                  </m:e>
                </m:d>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d>
                          <m:dPr>
                            <m:ctrlPr>
                              <w:rPr>
                                <w:rFonts w:ascii="Cambria Math" w:hAnsi="Cambria Math" w:cs="Times New Roman"/>
                                <w:i/>
                              </w:rPr>
                            </m:ctrlPr>
                          </m:dPr>
                          <m:e>
                            <m:r>
                              <w:rPr>
                                <w:rFonts w:ascii="Cambria Math" w:hAnsi="Cambria Math" w:cs="Times New Roman"/>
                              </w:rPr>
                              <m:t>h</m:t>
                            </m:r>
                            <m:r>
                              <m:rPr>
                                <m:sty m:val="b"/>
                              </m:rPr>
                              <w:rPr>
                                <w:rFonts w:ascii="Cambria Math" w:hAnsi="Cambria Math" w:cs="Times New Roman"/>
                              </w:rPr>
                              <m:t>v</m:t>
                            </m:r>
                            <m:ctrlPr>
                              <w:rPr>
                                <w:rFonts w:ascii="Cambria Math" w:hAnsi="Cambria Math" w:cs="Times New Roman"/>
                                <w:b/>
                              </w:rPr>
                            </m:ctrlPr>
                          </m:e>
                        </m:d>
                      </m:e>
                      <m:sup>
                        <m:r>
                          <w:rPr>
                            <w:rFonts w:ascii="Cambria Math" w:hAnsi="Cambria Math" w:cs="Times New Roman"/>
                          </w:rPr>
                          <m:t>'</m:t>
                        </m:r>
                      </m:sup>
                    </m:sSup>
                  </m:e>
                </m:acc>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h</m:t>
                    </m:r>
                  </m:e>
                </m:acc>
                <m:r>
                  <w:rPr>
                    <w:rFonts w:ascii="Cambria Math" w:hAnsi="Cambria Math" w:cs="Times New Roman"/>
                  </w:rPr>
                  <m:t>J.</m:t>
                </m:r>
              </m:oMath>
            </m:oMathPara>
          </w:p>
        </w:tc>
        <w:tc>
          <w:tcPr>
            <w:tcW w:w="680" w:type="dxa"/>
            <w:vAlign w:val="center"/>
          </w:tcPr>
          <w:p w14:paraId="6A5EF3D5" w14:textId="0E4B9738" w:rsidR="00262153" w:rsidRPr="00A961B2" w:rsidRDefault="00262153" w:rsidP="00C6505D">
            <w:pPr>
              <w:spacing w:line="480" w:lineRule="auto"/>
              <w:jc w:val="center"/>
              <w:rPr>
                <w:rFonts w:ascii="Times New Roman" w:hAnsi="Times New Roman" w:cs="Times New Roman"/>
              </w:rPr>
            </w:pPr>
            <w:r w:rsidRPr="00A961B2">
              <w:rPr>
                <w:rFonts w:ascii="Times New Roman" w:hAnsi="Times New Roman" w:cs="Times New Roman"/>
              </w:rPr>
              <w:t>(</w:t>
            </w:r>
            <w:r w:rsidR="00CE3160">
              <w:rPr>
                <w:rFonts w:ascii="Times New Roman" w:hAnsi="Times New Roman" w:cs="Times New Roman"/>
              </w:rPr>
              <w:t>5</w:t>
            </w:r>
            <w:r w:rsidRPr="00A961B2">
              <w:rPr>
                <w:rFonts w:ascii="Times New Roman" w:hAnsi="Times New Roman" w:cs="Times New Roman"/>
              </w:rPr>
              <w:t>)</w:t>
            </w:r>
          </w:p>
        </w:tc>
      </w:tr>
    </w:tbl>
    <w:p w14:paraId="2C7241CD" w14:textId="77777777" w:rsidR="00B416B8" w:rsidRDefault="00B416B8" w:rsidP="00B97354">
      <w:pPr>
        <w:spacing w:line="480" w:lineRule="auto"/>
        <w:jc w:val="both"/>
        <w:rPr>
          <w:rFonts w:ascii="Times New Roman" w:hAnsi="Times New Roman" w:cs="Times New Roman"/>
        </w:rPr>
      </w:pPr>
    </w:p>
    <w:p w14:paraId="4F0FDB11" w14:textId="1E4C1437" w:rsidR="00B97354" w:rsidRDefault="00CE3160" w:rsidP="00B97354">
      <w:pPr>
        <w:spacing w:line="480" w:lineRule="auto"/>
        <w:jc w:val="both"/>
        <w:rPr>
          <w:rFonts w:ascii="Times New Roman" w:hAnsi="Times New Roman" w:cs="Times New Roman"/>
        </w:rPr>
      </w:pPr>
      <w:r>
        <w:rPr>
          <w:rFonts w:ascii="Times New Roman" w:hAnsi="Times New Roman" w:cs="Times New Roman"/>
        </w:rPr>
        <w:t xml:space="preserve">The same operation applied </w:t>
      </w:r>
      <w:r w:rsidR="00EB12F1">
        <w:rPr>
          <w:rFonts w:ascii="Times New Roman" w:hAnsi="Times New Roman" w:cs="Times New Roman"/>
        </w:rPr>
        <w:t>to</w:t>
      </w:r>
      <w:r>
        <w:rPr>
          <w:rFonts w:ascii="Times New Roman" w:hAnsi="Times New Roman" w:cs="Times New Roman"/>
        </w:rPr>
        <w:t xml:space="preserve"> equation </w:t>
      </w:r>
      <w:r w:rsidR="00442B0E">
        <w:rPr>
          <w:rFonts w:ascii="Times New Roman" w:hAnsi="Times New Roman" w:cs="Times New Roman"/>
        </w:rPr>
        <w:t>(</w:t>
      </w:r>
      <w:r>
        <w:rPr>
          <w:rFonts w:ascii="Times New Roman" w:hAnsi="Times New Roman" w:cs="Times New Roman"/>
        </w:rPr>
        <w:t>3</w:t>
      </w:r>
      <w:r w:rsidR="00442B0E">
        <w:rPr>
          <w:rFonts w:ascii="Times New Roman" w:hAnsi="Times New Roman" w:cs="Times New Roman"/>
        </w:rPr>
        <w:t>)</w:t>
      </w:r>
      <w:r>
        <w:rPr>
          <w:rFonts w:ascii="Times New Roman" w:hAnsi="Times New Roman" w:cs="Times New Roman"/>
        </w:rPr>
        <w:t xml:space="preserve"> </w:t>
      </w:r>
      <w:r w:rsidR="00EB12F1">
        <w:rPr>
          <w:rFonts w:ascii="Times New Roman" w:hAnsi="Times New Roman" w:cs="Times New Roman"/>
        </w:rPr>
        <w:t>yields</w:t>
      </w:r>
    </w:p>
    <w:p w14:paraId="058CC5C9" w14:textId="77777777" w:rsidR="00B416B8" w:rsidRPr="00A961B2" w:rsidRDefault="00B416B8" w:rsidP="00B97354">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B97354" w:rsidRPr="00A961B2" w14:paraId="23729310" w14:textId="77777777" w:rsidTr="00C6505D">
        <w:trPr>
          <w:trHeight w:val="481"/>
        </w:trPr>
        <w:tc>
          <w:tcPr>
            <w:tcW w:w="8364" w:type="dxa"/>
            <w:vAlign w:val="center"/>
          </w:tcPr>
          <w:p w14:paraId="2E53F23E" w14:textId="30F38B94" w:rsidR="00B97354"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h</m:t>
                        </m:r>
                      </m:e>
                    </m:acc>
                  </m:num>
                  <m:den>
                    <m:r>
                      <w:rPr>
                        <w:rFonts w:ascii="Cambria Math" w:hAnsi="Cambria Math" w:cs="Times New Roman"/>
                      </w:rPr>
                      <m:t>∂t</m:t>
                    </m:r>
                  </m:den>
                </m:f>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d>
                  <m:dPr>
                    <m:ctrlPr>
                      <w:rPr>
                        <w:rFonts w:ascii="Cambria Math" w:hAnsi="Cambria Math" w:cs="Times New Roman"/>
                        <w:i/>
                      </w:rPr>
                    </m:ctrlPr>
                  </m:dPr>
                  <m:e>
                    <m:acc>
                      <m:accPr>
                        <m:chr m:val="̅"/>
                        <m:ctrlPr>
                          <w:rPr>
                            <w:rFonts w:ascii="Cambria Math" w:hAnsi="Cambria Math" w:cs="Times New Roman"/>
                            <w:i/>
                          </w:rPr>
                        </m:ctrlPr>
                      </m:accPr>
                      <m:e>
                        <m:acc>
                          <m:accPr>
                            <m:chr m:val="̅"/>
                            <m:ctrlPr>
                              <w:rPr>
                                <w:rFonts w:ascii="Cambria Math" w:hAnsi="Cambria Math" w:cs="Times New Roman"/>
                                <w:i/>
                                <w:iCs/>
                              </w:rPr>
                            </m:ctrlPr>
                          </m:accPr>
                          <m:e>
                            <m:r>
                              <w:rPr>
                                <w:rFonts w:ascii="Cambria Math" w:hAnsi="Cambria Math" w:cs="Times New Roman"/>
                              </w:rPr>
                              <m:t>h</m:t>
                            </m:r>
                          </m:e>
                        </m:acc>
                        <m:acc>
                          <m:accPr>
                            <m:chr m:val="̅"/>
                            <m:ctrlPr>
                              <w:rPr>
                                <w:rFonts w:ascii="Cambria Math" w:hAnsi="Cambria Math" w:cs="Times New Roman"/>
                                <w:i/>
                                <w:iCs/>
                              </w:rPr>
                            </m:ctrlPr>
                          </m:accPr>
                          <m:e>
                            <m:r>
                              <m:rPr>
                                <m:sty m:val="b"/>
                              </m:rPr>
                              <w:rPr>
                                <w:rFonts w:ascii="Cambria Math" w:hAnsi="Cambria Math" w:cs="Times New Roman"/>
                              </w:rPr>
                              <m:t>v</m:t>
                            </m:r>
                          </m:e>
                        </m:acc>
                      </m:e>
                    </m:acc>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sSup>
                          <m:sSupPr>
                            <m:ctrlPr>
                              <w:rPr>
                                <w:rFonts w:ascii="Cambria Math" w:hAnsi="Cambria Math" w:cs="Times New Roman"/>
                                <w:i/>
                                <w:iCs/>
                              </w:rPr>
                            </m:ctrlPr>
                          </m:sSupPr>
                          <m:e>
                            <m:r>
                              <m:rPr>
                                <m:sty m:val="b"/>
                              </m:rPr>
                              <w:rPr>
                                <w:rFonts w:ascii="Cambria Math" w:hAnsi="Cambria Math" w:cs="Times New Roman"/>
                              </w:rPr>
                              <m:t>v</m:t>
                            </m:r>
                          </m:e>
                          <m:sup>
                            <m:r>
                              <w:rPr>
                                <w:rFonts w:ascii="Cambria Math" w:hAnsi="Cambria Math" w:cs="Times New Roman"/>
                              </w:rPr>
                              <m:t>'</m:t>
                            </m:r>
                          </m:sup>
                        </m:sSup>
                      </m:e>
                    </m:acc>
                  </m:e>
                </m:d>
                <m:r>
                  <w:rPr>
                    <w:rFonts w:ascii="Cambria Math" w:hAnsi="Cambria Math" w:cs="Times New Roman"/>
                  </w:rPr>
                  <m:t>.</m:t>
                </m:r>
              </m:oMath>
            </m:oMathPara>
          </w:p>
        </w:tc>
        <w:tc>
          <w:tcPr>
            <w:tcW w:w="680" w:type="dxa"/>
            <w:vAlign w:val="center"/>
          </w:tcPr>
          <w:p w14:paraId="658110E8" w14:textId="1CCB4C14" w:rsidR="00B97354" w:rsidRPr="00A961B2" w:rsidRDefault="00B97354" w:rsidP="00C6505D">
            <w:pPr>
              <w:spacing w:line="480" w:lineRule="auto"/>
              <w:jc w:val="center"/>
              <w:rPr>
                <w:rFonts w:ascii="Times New Roman" w:hAnsi="Times New Roman" w:cs="Times New Roman"/>
              </w:rPr>
            </w:pPr>
            <w:r w:rsidRPr="00A961B2">
              <w:rPr>
                <w:rFonts w:ascii="Times New Roman" w:hAnsi="Times New Roman" w:cs="Times New Roman"/>
              </w:rPr>
              <w:t>(</w:t>
            </w:r>
            <w:r w:rsidR="00CE3160">
              <w:rPr>
                <w:rFonts w:ascii="Times New Roman" w:hAnsi="Times New Roman" w:cs="Times New Roman"/>
              </w:rPr>
              <w:t>6</w:t>
            </w:r>
            <w:r w:rsidRPr="00A961B2">
              <w:rPr>
                <w:rFonts w:ascii="Times New Roman" w:hAnsi="Times New Roman" w:cs="Times New Roman"/>
              </w:rPr>
              <w:t>)</w:t>
            </w:r>
          </w:p>
        </w:tc>
      </w:tr>
    </w:tbl>
    <w:p w14:paraId="05539B6A" w14:textId="77777777" w:rsidR="00B416B8" w:rsidRDefault="00B416B8" w:rsidP="00BB5FE1">
      <w:pPr>
        <w:spacing w:line="480" w:lineRule="auto"/>
        <w:jc w:val="both"/>
        <w:rPr>
          <w:rFonts w:ascii="Times New Roman" w:hAnsi="Times New Roman" w:cs="Times New Roman"/>
        </w:rPr>
      </w:pPr>
    </w:p>
    <w:p w14:paraId="7CEEB648" w14:textId="4BCFB32E" w:rsidR="00BB5FE1" w:rsidRDefault="00EB12F1" w:rsidP="00BB5FE1">
      <w:pPr>
        <w:spacing w:line="480" w:lineRule="auto"/>
        <w:jc w:val="both"/>
        <w:rPr>
          <w:rFonts w:ascii="Times New Roman" w:hAnsi="Times New Roman" w:cs="Times New Roman"/>
        </w:rPr>
      </w:pPr>
      <w:r>
        <w:rPr>
          <w:rFonts w:ascii="Times New Roman" w:hAnsi="Times New Roman" w:cs="Times New Roman"/>
        </w:rPr>
        <w:t>Substituting</w:t>
      </w:r>
      <w:r w:rsidR="00CE3160">
        <w:rPr>
          <w:rFonts w:ascii="Times New Roman" w:hAnsi="Times New Roman" w:cs="Times New Roman"/>
        </w:rPr>
        <w:t xml:space="preserve"> equation </w:t>
      </w:r>
      <w:r w:rsidR="00442B0E">
        <w:rPr>
          <w:rFonts w:ascii="Times New Roman" w:hAnsi="Times New Roman" w:cs="Times New Roman"/>
        </w:rPr>
        <w:t>(</w:t>
      </w:r>
      <w:r w:rsidR="00CE3160">
        <w:rPr>
          <w:rFonts w:ascii="Times New Roman" w:hAnsi="Times New Roman" w:cs="Times New Roman"/>
        </w:rPr>
        <w:t>6</w:t>
      </w:r>
      <w:r w:rsidR="00442B0E">
        <w:rPr>
          <w:rFonts w:ascii="Times New Roman" w:hAnsi="Times New Roman" w:cs="Times New Roman"/>
        </w:rPr>
        <w:t>)</w:t>
      </w:r>
      <w:r w:rsidR="00CE3160">
        <w:rPr>
          <w:rFonts w:ascii="Times New Roman" w:hAnsi="Times New Roman" w:cs="Times New Roman"/>
        </w:rPr>
        <w:t xml:space="preserve"> </w:t>
      </w:r>
      <w:r>
        <w:rPr>
          <w:rFonts w:ascii="Times New Roman" w:hAnsi="Times New Roman" w:cs="Times New Roman"/>
        </w:rPr>
        <w:t>into</w:t>
      </w:r>
      <w:r w:rsidR="00CE3160">
        <w:rPr>
          <w:rFonts w:ascii="Times New Roman" w:hAnsi="Times New Roman" w:cs="Times New Roman"/>
        </w:rPr>
        <w:t xml:space="preserve"> equation </w:t>
      </w:r>
      <w:r w:rsidR="00442B0E">
        <w:rPr>
          <w:rFonts w:ascii="Times New Roman" w:hAnsi="Times New Roman" w:cs="Times New Roman"/>
        </w:rPr>
        <w:t>(5)</w:t>
      </w:r>
      <w:r w:rsidR="00CE3160">
        <w:rPr>
          <w:rFonts w:ascii="Times New Roman" w:hAnsi="Times New Roman" w:cs="Times New Roman"/>
        </w:rPr>
        <w:t xml:space="preserve"> </w:t>
      </w:r>
      <w:r>
        <w:rPr>
          <w:rFonts w:ascii="Times New Roman" w:hAnsi="Times New Roman" w:cs="Times New Roman"/>
        </w:rPr>
        <w:t>yields</w:t>
      </w:r>
    </w:p>
    <w:p w14:paraId="4B622CC5" w14:textId="77777777" w:rsidR="00B416B8" w:rsidRPr="00A961B2" w:rsidRDefault="00B416B8" w:rsidP="00BB5FE1">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6D240F" w:rsidRPr="00A961B2" w14:paraId="0E1EAF22" w14:textId="77777777" w:rsidTr="00C6505D">
        <w:trPr>
          <w:trHeight w:val="481"/>
        </w:trPr>
        <w:tc>
          <w:tcPr>
            <w:tcW w:w="8364" w:type="dxa"/>
            <w:vAlign w:val="center"/>
          </w:tcPr>
          <w:p w14:paraId="24FF37A6" w14:textId="406BBA58" w:rsidR="006D240F"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num>
                  <m:den>
                    <m:r>
                      <w:rPr>
                        <w:rFonts w:ascii="Cambria Math" w:hAnsi="Cambria Math" w:cs="Times New Roman"/>
                      </w:rPr>
                      <m:t>∂t</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acc>
                      <m:accPr>
                        <m:chr m:val="̅"/>
                        <m:ctrlPr>
                          <w:rPr>
                            <w:rFonts w:ascii="Cambria Math" w:hAnsi="Cambria Math" w:cs="Times New Roman"/>
                            <w:i/>
                            <w:iCs/>
                          </w:rPr>
                        </m:ctrlPr>
                      </m:accPr>
                      <m:e>
                        <m:r>
                          <w:rPr>
                            <w:rFonts w:ascii="Cambria Math" w:hAnsi="Cambria Math" w:cs="Times New Roman"/>
                          </w:rPr>
                          <m:t>h</m:t>
                        </m:r>
                      </m:e>
                    </m:acc>
                  </m:den>
                </m:f>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iCs/>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e>
                    </m:acc>
                  </m:num>
                  <m:den>
                    <m:r>
                      <w:rPr>
                        <w:rFonts w:ascii="Cambria Math" w:hAnsi="Cambria Math" w:cs="Times New Roman"/>
                      </w:rPr>
                      <m:t>∂t</m:t>
                    </m:r>
                  </m:den>
                </m:f>
                <m:r>
                  <w:rPr>
                    <w:rFonts w:ascii="Cambria Math" w:hAnsi="Cambria Math" w:cs="Times New Roman"/>
                  </w:rPr>
                  <m:t>+</m:t>
                </m:r>
                <m:d>
                  <m:dPr>
                    <m:ctrlPr>
                      <w:rPr>
                        <w:rFonts w:ascii="Cambria Math" w:hAnsi="Cambria Math" w:cs="Times New Roman"/>
                        <w:i/>
                      </w:rPr>
                    </m:ctrlPr>
                  </m:dPr>
                  <m:e>
                    <m:acc>
                      <m:accPr>
                        <m:chr m:val="̅"/>
                        <m:ctrlPr>
                          <w:rPr>
                            <w:rFonts w:ascii="Cambria Math" w:hAnsi="Cambria Math" w:cs="Times New Roman"/>
                            <w:i/>
                            <w:iCs/>
                          </w:rPr>
                        </m:ctrlPr>
                      </m:accPr>
                      <m:e>
                        <m:r>
                          <m:rPr>
                            <m:sty m:val="b"/>
                          </m:rPr>
                          <w:rPr>
                            <w:rFonts w:ascii="Cambria Math" w:hAnsi="Cambria Math" w:cs="Times New Roman"/>
                          </w:rPr>
                          <m:t>v</m:t>
                        </m:r>
                      </m:e>
                    </m:acc>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sSup>
                          <m:sSupPr>
                            <m:ctrlPr>
                              <w:rPr>
                                <w:rFonts w:ascii="Cambria Math" w:hAnsi="Cambria Math" w:cs="Times New Roman"/>
                                <w:i/>
                                <w:iCs/>
                              </w:rPr>
                            </m:ctrlPr>
                          </m:sSupPr>
                          <m:e>
                            <m:r>
                              <m:rPr>
                                <m:sty m:val="b"/>
                              </m:rPr>
                              <w:rPr>
                                <w:rFonts w:ascii="Cambria Math" w:hAnsi="Cambria Math" w:cs="Times New Roman"/>
                              </w:rPr>
                              <m:t>v</m:t>
                            </m:r>
                          </m:e>
                          <m:sup>
                            <m:r>
                              <w:rPr>
                                <w:rFonts w:ascii="Cambria Math" w:hAnsi="Cambria Math" w:cs="Times New Roman"/>
                              </w:rPr>
                              <m:t>'</m:t>
                            </m:r>
                          </m:sup>
                        </m:sSup>
                      </m:num>
                      <m:den>
                        <m:acc>
                          <m:accPr>
                            <m:chr m:val="̅"/>
                            <m:ctrlPr>
                              <w:rPr>
                                <w:rFonts w:ascii="Cambria Math" w:hAnsi="Cambria Math" w:cs="Times New Roman"/>
                                <w:i/>
                                <w:iCs/>
                              </w:rPr>
                            </m:ctrlPr>
                          </m:accPr>
                          <m:e>
                            <m:r>
                              <w:rPr>
                                <w:rFonts w:ascii="Cambria Math" w:hAnsi="Cambria Math" w:cs="Times New Roman"/>
                              </w:rPr>
                              <m:t>h</m:t>
                            </m:r>
                          </m:e>
                        </m:acc>
                      </m:den>
                    </m:f>
                    <m:ctrlPr>
                      <w:rPr>
                        <w:rFonts w:ascii="Cambria Math" w:hAnsi="Cambria Math" w:cs="Times New Roman"/>
                        <w:i/>
                        <w:iCs/>
                      </w:rPr>
                    </m:ctrlPr>
                  </m:e>
                </m:d>
                <m:r>
                  <w:rPr>
                    <w:rFonts w:ascii="Cambria Math" w:hAnsi="Cambria Math" w:cs="Times New Roman"/>
                  </w:rPr>
                  <m:t>∙</m:t>
                </m:r>
                <m:r>
                  <m:rPr>
                    <m:sty m:val="b"/>
                  </m:rPr>
                  <w:rPr>
                    <w:rFonts w:ascii="Cambria Math" w:hAnsi="Cambria Math" w:cs="Times New Roman"/>
                  </w:rPr>
                  <m:t>∇</m:t>
                </m:r>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acc>
                      <m:accPr>
                        <m:chr m:val="̅"/>
                        <m:ctrlPr>
                          <w:rPr>
                            <w:rFonts w:ascii="Cambria Math" w:hAnsi="Cambria Math" w:cs="Times New Roman"/>
                            <w:i/>
                            <w:iCs/>
                          </w:rPr>
                        </m:ctrlPr>
                      </m:accPr>
                      <m:e>
                        <m:r>
                          <w:rPr>
                            <w:rFonts w:ascii="Cambria Math" w:hAnsi="Cambria Math" w:cs="Times New Roman"/>
                          </w:rPr>
                          <m:t>h</m:t>
                        </m:r>
                      </m:e>
                    </m:acc>
                  </m:den>
                </m:f>
                <m:r>
                  <m:rPr>
                    <m:sty m:val="b"/>
                  </m:rPr>
                  <w:rPr>
                    <w:rFonts w:ascii="Cambria Math" w:hAnsi="Cambria Math" w:cs="Times New Roman"/>
                  </w:rPr>
                  <m:t>∇</m:t>
                </m:r>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d>
                          <m:dPr>
                            <m:ctrlPr>
                              <w:rPr>
                                <w:rFonts w:ascii="Cambria Math" w:hAnsi="Cambria Math" w:cs="Times New Roman"/>
                                <w:i/>
                              </w:rPr>
                            </m:ctrlPr>
                          </m:dPr>
                          <m:e>
                            <m:r>
                              <w:rPr>
                                <w:rFonts w:ascii="Cambria Math" w:hAnsi="Cambria Math" w:cs="Times New Roman"/>
                              </w:rPr>
                              <m:t>h</m:t>
                            </m:r>
                            <m:r>
                              <m:rPr>
                                <m:sty m:val="b"/>
                              </m:rPr>
                              <w:rPr>
                                <w:rFonts w:ascii="Cambria Math" w:hAnsi="Cambria Math" w:cs="Times New Roman"/>
                              </w:rPr>
                              <m:t>v</m:t>
                            </m:r>
                            <m:ctrlPr>
                              <w:rPr>
                                <w:rFonts w:ascii="Cambria Math" w:hAnsi="Cambria Math" w:cs="Times New Roman"/>
                                <w:b/>
                              </w:rPr>
                            </m:ctrlPr>
                          </m:e>
                        </m:d>
                      </m:e>
                      <m:sup>
                        <m:r>
                          <w:rPr>
                            <w:rFonts w:ascii="Cambria Math" w:hAnsi="Cambria Math" w:cs="Times New Roman"/>
                          </w:rPr>
                          <m:t>'</m:t>
                        </m:r>
                      </m:sup>
                    </m:sSup>
                  </m:e>
                </m:acc>
                <m:r>
                  <w:rPr>
                    <w:rFonts w:ascii="Cambria Math" w:hAnsi="Cambria Math" w:cs="Times New Roman"/>
                  </w:rPr>
                  <m:t>+J.</m:t>
                </m:r>
              </m:oMath>
            </m:oMathPara>
          </w:p>
        </w:tc>
        <w:tc>
          <w:tcPr>
            <w:tcW w:w="680" w:type="dxa"/>
            <w:vAlign w:val="center"/>
          </w:tcPr>
          <w:p w14:paraId="6E0698BE" w14:textId="1E5204EF" w:rsidR="006D240F" w:rsidRPr="00A961B2" w:rsidRDefault="006D240F" w:rsidP="00C6505D">
            <w:pPr>
              <w:spacing w:line="480" w:lineRule="auto"/>
              <w:jc w:val="center"/>
              <w:rPr>
                <w:rFonts w:ascii="Times New Roman" w:hAnsi="Times New Roman" w:cs="Times New Roman"/>
              </w:rPr>
            </w:pPr>
            <w:r w:rsidRPr="00A961B2">
              <w:rPr>
                <w:rFonts w:ascii="Times New Roman" w:hAnsi="Times New Roman" w:cs="Times New Roman"/>
              </w:rPr>
              <w:t>(</w:t>
            </w:r>
            <w:r w:rsidR="008E2C64" w:rsidRPr="00A961B2">
              <w:rPr>
                <w:rFonts w:ascii="Times New Roman" w:hAnsi="Times New Roman" w:cs="Times New Roman"/>
              </w:rPr>
              <w:t>7</w:t>
            </w:r>
            <w:r w:rsidRPr="00A961B2">
              <w:rPr>
                <w:rFonts w:ascii="Times New Roman" w:hAnsi="Times New Roman" w:cs="Times New Roman"/>
              </w:rPr>
              <w:t>)</w:t>
            </w:r>
          </w:p>
        </w:tc>
      </w:tr>
    </w:tbl>
    <w:p w14:paraId="3D3FF642" w14:textId="77777777" w:rsidR="00B416B8" w:rsidRDefault="00B416B8" w:rsidP="003939E7">
      <w:pPr>
        <w:spacing w:line="480" w:lineRule="auto"/>
        <w:jc w:val="both"/>
        <w:rPr>
          <w:rFonts w:ascii="Times New Roman" w:hAnsi="Times New Roman" w:cs="Times New Roman"/>
        </w:rPr>
      </w:pPr>
    </w:p>
    <w:p w14:paraId="666CF024" w14:textId="3EC0BD03" w:rsidR="003939E7" w:rsidRDefault="00CE3160" w:rsidP="003939E7">
      <w:pPr>
        <w:spacing w:line="480" w:lineRule="auto"/>
        <w:jc w:val="both"/>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ith </w:t>
      </w:r>
      <w:r w:rsidR="00EB12F1">
        <w:rPr>
          <w:rFonts w:ascii="Times New Roman" w:hAnsi="Times New Roman" w:cs="Times New Roman"/>
        </w:rPr>
        <w:t>the</w:t>
      </w:r>
      <w:r>
        <w:rPr>
          <w:rFonts w:ascii="Times New Roman" w:hAnsi="Times New Roman" w:cs="Times New Roman"/>
        </w:rPr>
        <w:t xml:space="preserve"> assumption that the eddy components of </w:t>
      </w:r>
      <w:r w:rsidR="00B34ED3">
        <w:rPr>
          <w:rFonts w:ascii="Times New Roman" w:hAnsi="Times New Roman" w:cs="Times New Roman"/>
        </w:rPr>
        <w:t>the tracer</w:t>
      </w:r>
      <w:r>
        <w:rPr>
          <w:rFonts w:ascii="Times New Roman" w:hAnsi="Times New Roman" w:cs="Times New Roman"/>
        </w:rPr>
        <w:t xml:space="preserve"> and thickness are not correlated</w:t>
      </w:r>
      <w:r w:rsidR="00F066A2">
        <w:rPr>
          <w:rFonts w:ascii="Times New Roman" w:hAnsi="Times New Roman" w:cs="Times New Roman"/>
        </w:rPr>
        <w:t xml:space="preserve"> </w:t>
      </w:r>
      <w:r w:rsidR="00F066A2">
        <w:rPr>
          <w:rFonts w:ascii="Times New Roman" w:hAnsi="Times New Roman" w:cs="Times New Roman"/>
        </w:rPr>
        <w:fldChar w:fldCharType="begin"/>
      </w:r>
      <w:r w:rsidR="00F066A2">
        <w:rPr>
          <w:rFonts w:ascii="Times New Roman" w:hAnsi="Times New Roman" w:cs="Times New Roman"/>
        </w:rPr>
        <w:instrText xml:space="preserve"> ADDIN ZOTERO_ITEM CSL_CITATION {"citationID":"afggdg04d6","properties":{"formattedCitation":"(Gent et al. 1995)","plainCitation":"(Gent et al. 1995)","noteIndex":0},"citationItems":[{"id":2378,"uris":["http://zotero.org/users/7846282/items/NSR32RF5"],"itemData":{"id":2378,"type":"article-journal","abstract":"Abstract It is shown that the effects of mesoscale eddies on tracer transports can be parameterized in a large-scale model by additional advection and diffusion of tracers. Thus, tracers are advected by the effective transport velocity, which is the sum of the large-scale velocity and the eddy-induced transport velocity. The density and continuity equations are the familiar equations for adiabatic, Boussinesq, and incompressible flow with the effective transport velocity replacing the large-scale velocity. One of the main points of this paper is to show how simple the parameterization of Gent and McWilliams appears when interpreted in terms of the effective transport velocity. This was not done in their original 1990 paper. It is also shown that, with the Gent and McWilliams parameterization, potential vorticity in the planetary geostrophic model satisfies an equation close to that for tracers. The analogy of this parameterization with vertical mixing of momentum is then described. The effect of the Gent and McWilliams parameterization is illustrated by applying it to a strong, sloping two-dimensional front. The final state is that the front is flat, corresponding to a state of minimum potential energy. However, the amount of water of a given density has not been changed and there has been no flow across isopycnals. These properties are not preserved with horizontal diffusion of tracer. Finally, the Levitus dataset is used to estimate the effects of the Gent and McWilliams parameterization. The zonal mean meridional overturning streamfunction for the eddy-induced transport velocity has a maximum of 18 Sverdrups near the Antarctic Circumpolar Current. The associated poleward heat transport is 0.4 petawatts. The maximum poleward heat transport in the Northern Hemisphere is 0.15 petawatts at 40°N. These values are the same order of magnitude as estimates from observations and regional eddy-resolving ocean models.","container-title":"Journal of Physical Oceanography","DOI":"10.1175/1520-0485(1995)025&lt;0463:PEITTI&gt;2.0.CO;2","ISSN":"0022-3670, 1520-0485","issue":"4","language":"EN","note":"publisher: American Meteorological Society\nsection: Journal of Physical Oceanography","page":"463-474","source":"journals.ametsoc.org","title":"Parameterizing Eddy-Induced Tracer Transports in Ocean Circulation Models","volume":"25","author":[{"family":"Gent","given":"Peter R."},{"family":"Willebrand","given":"Jurgen"},{"family":"McDougall","given":"Trevor J."},{"family":"McWilliams","given":"James C."}],"issued":{"date-parts":[["1995",4,1]]}}}],"schema":"https://github.com/citation-style-language/schema/raw/master/csl-citation.json"} </w:instrText>
      </w:r>
      <w:r w:rsidR="00F066A2">
        <w:rPr>
          <w:rFonts w:ascii="Times New Roman" w:hAnsi="Times New Roman" w:cs="Times New Roman"/>
        </w:rPr>
        <w:fldChar w:fldCharType="separate"/>
      </w:r>
      <w:r w:rsidR="008977BA">
        <w:rPr>
          <w:rFonts w:ascii="Times New Roman" w:hAnsi="Times New Roman" w:cs="Times New Roman"/>
        </w:rPr>
        <w:t>(Gent et al. 1995)</w:t>
      </w:r>
      <w:r w:rsidR="00F066A2">
        <w:rPr>
          <w:rFonts w:ascii="Times New Roman" w:hAnsi="Times New Roman" w:cs="Times New Roman"/>
        </w:rPr>
        <w:fldChar w:fldCharType="end"/>
      </w:r>
      <w:r>
        <w:rPr>
          <w:rFonts w:ascii="Times New Roman" w:hAnsi="Times New Roman" w:cs="Times New Roman"/>
        </w:rPr>
        <w:t xml:space="preserve">, </w:t>
      </w:r>
      <w:r w:rsidR="00B34ED3">
        <w:rPr>
          <w:rFonts w:ascii="Times New Roman" w:hAnsi="Times New Roman" w:cs="Times New Roman"/>
        </w:rPr>
        <w:t xml:space="preserve">the second term </w:t>
      </w:r>
      <w:r w:rsidR="00EB12F1">
        <w:rPr>
          <w:rFonts w:ascii="Times New Roman" w:hAnsi="Times New Roman" w:cs="Times New Roman"/>
        </w:rPr>
        <w:t>on</w:t>
      </w:r>
      <w:r w:rsidR="00B34ED3">
        <w:rPr>
          <w:rFonts w:ascii="Times New Roman" w:hAnsi="Times New Roman" w:cs="Times New Roman"/>
        </w:rPr>
        <w:t xml:space="preserve"> the left side of equation </w:t>
      </w:r>
      <w:r w:rsidR="00F066A2">
        <w:rPr>
          <w:rFonts w:ascii="Times New Roman" w:hAnsi="Times New Roman" w:cs="Times New Roman"/>
        </w:rPr>
        <w:t>(</w:t>
      </w:r>
      <w:r w:rsidR="00B34ED3">
        <w:rPr>
          <w:rFonts w:ascii="Times New Roman" w:hAnsi="Times New Roman" w:cs="Times New Roman"/>
        </w:rPr>
        <w:t>7</w:t>
      </w:r>
      <w:r w:rsidR="00F066A2">
        <w:rPr>
          <w:rFonts w:ascii="Times New Roman" w:hAnsi="Times New Roman" w:cs="Times New Roman"/>
        </w:rPr>
        <w:t>)</w:t>
      </w:r>
      <w:r w:rsidR="00B34ED3">
        <w:rPr>
          <w:rFonts w:ascii="Times New Roman" w:hAnsi="Times New Roman" w:cs="Times New Roman"/>
        </w:rPr>
        <w:t xml:space="preserve"> becomes negligible</w:t>
      </w:r>
      <w:r w:rsidR="00EB12F1">
        <w:rPr>
          <w:rFonts w:ascii="Times New Roman" w:hAnsi="Times New Roman" w:cs="Times New Roman"/>
        </w:rPr>
        <w:t>:</w:t>
      </w:r>
    </w:p>
    <w:p w14:paraId="58B960BF" w14:textId="77777777" w:rsidR="00B416B8" w:rsidRPr="00A961B2" w:rsidRDefault="00B416B8" w:rsidP="003939E7">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3939E7" w:rsidRPr="00A961B2" w14:paraId="7ABE6F0F" w14:textId="77777777" w:rsidTr="00C6505D">
        <w:trPr>
          <w:trHeight w:val="481"/>
        </w:trPr>
        <w:tc>
          <w:tcPr>
            <w:tcW w:w="8364" w:type="dxa"/>
            <w:vAlign w:val="center"/>
          </w:tcPr>
          <w:p w14:paraId="7C4594D4" w14:textId="16EFBE03" w:rsidR="003939E7"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num>
                  <m:den>
                    <m:r>
                      <w:rPr>
                        <w:rFonts w:ascii="Cambria Math" w:hAnsi="Cambria Math" w:cs="Times New Roman"/>
                      </w:rPr>
                      <m:t>∂t</m:t>
                    </m:r>
                  </m:den>
                </m:f>
                <m:r>
                  <w:rPr>
                    <w:rFonts w:ascii="Cambria Math" w:hAnsi="Cambria Math" w:cs="Times New Roman"/>
                  </w:rPr>
                  <m:t>+</m:t>
                </m:r>
                <m:d>
                  <m:dPr>
                    <m:ctrlPr>
                      <w:rPr>
                        <w:rFonts w:ascii="Cambria Math" w:hAnsi="Cambria Math" w:cs="Times New Roman"/>
                        <w:i/>
                      </w:rPr>
                    </m:ctrlPr>
                  </m:dPr>
                  <m:e>
                    <m:acc>
                      <m:accPr>
                        <m:chr m:val="̅"/>
                        <m:ctrlPr>
                          <w:rPr>
                            <w:rFonts w:ascii="Cambria Math" w:hAnsi="Cambria Math" w:cs="Times New Roman"/>
                            <w:i/>
                            <w:iCs/>
                          </w:rPr>
                        </m:ctrlPr>
                      </m:accPr>
                      <m:e>
                        <m:r>
                          <m:rPr>
                            <m:sty m:val="b"/>
                          </m:rPr>
                          <w:rPr>
                            <w:rFonts w:ascii="Cambria Math" w:hAnsi="Cambria Math" w:cs="Times New Roman"/>
                          </w:rPr>
                          <m:t>v</m:t>
                        </m:r>
                      </m:e>
                    </m:acc>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sSup>
                          <m:sSupPr>
                            <m:ctrlPr>
                              <w:rPr>
                                <w:rFonts w:ascii="Cambria Math" w:hAnsi="Cambria Math" w:cs="Times New Roman"/>
                                <w:i/>
                                <w:iCs/>
                              </w:rPr>
                            </m:ctrlPr>
                          </m:sSupPr>
                          <m:e>
                            <m:r>
                              <m:rPr>
                                <m:sty m:val="b"/>
                              </m:rPr>
                              <w:rPr>
                                <w:rFonts w:ascii="Cambria Math" w:hAnsi="Cambria Math" w:cs="Times New Roman"/>
                              </w:rPr>
                              <m:t>v</m:t>
                            </m:r>
                          </m:e>
                          <m:sup>
                            <m:r>
                              <w:rPr>
                                <w:rFonts w:ascii="Cambria Math" w:hAnsi="Cambria Math" w:cs="Times New Roman"/>
                              </w:rPr>
                              <m:t>'</m:t>
                            </m:r>
                          </m:sup>
                        </m:sSup>
                      </m:num>
                      <m:den>
                        <m:acc>
                          <m:accPr>
                            <m:chr m:val="̅"/>
                            <m:ctrlPr>
                              <w:rPr>
                                <w:rFonts w:ascii="Cambria Math" w:hAnsi="Cambria Math" w:cs="Times New Roman"/>
                                <w:i/>
                                <w:iCs/>
                              </w:rPr>
                            </m:ctrlPr>
                          </m:accPr>
                          <m:e>
                            <m:r>
                              <w:rPr>
                                <w:rFonts w:ascii="Cambria Math" w:hAnsi="Cambria Math" w:cs="Times New Roman"/>
                              </w:rPr>
                              <m:t>h</m:t>
                            </m:r>
                          </m:e>
                        </m:acc>
                      </m:den>
                    </m:f>
                    <m:ctrlPr>
                      <w:rPr>
                        <w:rFonts w:ascii="Cambria Math" w:hAnsi="Cambria Math" w:cs="Times New Roman"/>
                        <w:i/>
                        <w:iCs/>
                      </w:rPr>
                    </m:ctrlPr>
                  </m:e>
                </m:d>
                <m:r>
                  <w:rPr>
                    <w:rFonts w:ascii="Cambria Math" w:hAnsi="Cambria Math" w:cs="Times New Roman"/>
                  </w:rPr>
                  <m:t>∙</m:t>
                </m:r>
                <m:r>
                  <m:rPr>
                    <m:sty m:val="b"/>
                  </m:rPr>
                  <w:rPr>
                    <w:rFonts w:ascii="Cambria Math" w:hAnsi="Cambria Math" w:cs="Times New Roman"/>
                  </w:rPr>
                  <m:t>∇</m:t>
                </m:r>
                <m:acc>
                  <m:accPr>
                    <m:chr m:val="̅"/>
                    <m:ctrlPr>
                      <w:rPr>
                        <w:rFonts w:ascii="Cambria Math" w:hAnsi="Cambria Math" w:cs="Times New Roman"/>
                        <w:i/>
                      </w:rPr>
                    </m:ctrlPr>
                  </m:acc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acc>
                      <m:accPr>
                        <m:chr m:val="̅"/>
                        <m:ctrlPr>
                          <w:rPr>
                            <w:rFonts w:ascii="Cambria Math" w:hAnsi="Cambria Math" w:cs="Times New Roman"/>
                            <w:i/>
                            <w:iCs/>
                          </w:rPr>
                        </m:ctrlPr>
                      </m:accPr>
                      <m:e>
                        <m:r>
                          <w:rPr>
                            <w:rFonts w:ascii="Cambria Math" w:hAnsi="Cambria Math" w:cs="Times New Roman"/>
                          </w:rPr>
                          <m:t>h</m:t>
                        </m:r>
                      </m:e>
                    </m:acc>
                  </m:den>
                </m:f>
                <m:r>
                  <m:rPr>
                    <m:sty m:val="b"/>
                  </m:rPr>
                  <w:rPr>
                    <w:rFonts w:ascii="Cambria Math" w:hAnsi="Cambria Math" w:cs="Times New Roman"/>
                  </w:rPr>
                  <m:t>∇</m:t>
                </m:r>
                <m:r>
                  <w:rPr>
                    <w:rFonts w:ascii="Cambria Math" w:hAnsi="Cambria Math" w:cs="Times New Roman"/>
                  </w:rPr>
                  <m:t>∙</m:t>
                </m:r>
                <m:acc>
                  <m:accPr>
                    <m:chr m:val="̅"/>
                    <m:ctrlPr>
                      <w:rPr>
                        <w:rFonts w:ascii="Cambria Math" w:hAnsi="Cambria Math" w:cs="Times New Roman"/>
                        <w:i/>
                      </w:rPr>
                    </m:ctrlPr>
                  </m:acc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e>
                      <m:sup>
                        <m:r>
                          <w:rPr>
                            <w:rFonts w:ascii="Cambria Math" w:hAnsi="Cambria Math" w:cs="Times New Roman"/>
                          </w:rPr>
                          <m:t>'</m:t>
                        </m:r>
                      </m:sup>
                    </m:sSup>
                    <m:sSup>
                      <m:sSupPr>
                        <m:ctrlPr>
                          <w:rPr>
                            <w:rFonts w:ascii="Cambria Math" w:hAnsi="Cambria Math" w:cs="Times New Roman"/>
                            <w:i/>
                            <w:iCs/>
                          </w:rPr>
                        </m:ctrlPr>
                      </m:sSupPr>
                      <m:e>
                        <m:d>
                          <m:dPr>
                            <m:ctrlPr>
                              <w:rPr>
                                <w:rFonts w:ascii="Cambria Math" w:hAnsi="Cambria Math" w:cs="Times New Roman"/>
                                <w:i/>
                              </w:rPr>
                            </m:ctrlPr>
                          </m:dPr>
                          <m:e>
                            <m:r>
                              <w:rPr>
                                <w:rFonts w:ascii="Cambria Math" w:hAnsi="Cambria Math" w:cs="Times New Roman"/>
                              </w:rPr>
                              <m:t>h</m:t>
                            </m:r>
                            <m:r>
                              <m:rPr>
                                <m:sty m:val="b"/>
                              </m:rPr>
                              <w:rPr>
                                <w:rFonts w:ascii="Cambria Math" w:hAnsi="Cambria Math" w:cs="Times New Roman"/>
                              </w:rPr>
                              <m:t>v</m:t>
                            </m:r>
                            <m:ctrlPr>
                              <w:rPr>
                                <w:rFonts w:ascii="Cambria Math" w:hAnsi="Cambria Math" w:cs="Times New Roman"/>
                                <w:b/>
                              </w:rPr>
                            </m:ctrlPr>
                          </m:e>
                        </m:d>
                      </m:e>
                      <m:sup>
                        <m:r>
                          <w:rPr>
                            <w:rFonts w:ascii="Cambria Math" w:hAnsi="Cambria Math" w:cs="Times New Roman"/>
                          </w:rPr>
                          <m:t>'</m:t>
                        </m:r>
                      </m:sup>
                    </m:sSup>
                  </m:e>
                </m:acc>
                <m:r>
                  <w:rPr>
                    <w:rFonts w:ascii="Cambria Math" w:hAnsi="Cambria Math" w:cs="Times New Roman"/>
                  </w:rPr>
                  <m:t>+J.</m:t>
                </m:r>
              </m:oMath>
            </m:oMathPara>
          </w:p>
        </w:tc>
        <w:tc>
          <w:tcPr>
            <w:tcW w:w="680" w:type="dxa"/>
            <w:vAlign w:val="center"/>
          </w:tcPr>
          <w:p w14:paraId="146B7D9B" w14:textId="0B18E090" w:rsidR="003939E7" w:rsidRPr="00A961B2" w:rsidRDefault="003939E7" w:rsidP="00C6505D">
            <w:pPr>
              <w:spacing w:line="480" w:lineRule="auto"/>
              <w:jc w:val="center"/>
              <w:rPr>
                <w:rFonts w:ascii="Times New Roman" w:hAnsi="Times New Roman" w:cs="Times New Roman"/>
              </w:rPr>
            </w:pPr>
            <w:r w:rsidRPr="00A961B2">
              <w:rPr>
                <w:rFonts w:ascii="Times New Roman" w:hAnsi="Times New Roman" w:cs="Times New Roman"/>
              </w:rPr>
              <w:t>(</w:t>
            </w:r>
            <w:r w:rsidR="008E2C64" w:rsidRPr="00A961B2">
              <w:rPr>
                <w:rFonts w:ascii="Times New Roman" w:hAnsi="Times New Roman" w:cs="Times New Roman"/>
              </w:rPr>
              <w:t>8</w:t>
            </w:r>
            <w:r w:rsidRPr="00A961B2">
              <w:rPr>
                <w:rFonts w:ascii="Times New Roman" w:hAnsi="Times New Roman" w:cs="Times New Roman"/>
              </w:rPr>
              <w:t>)</w:t>
            </w:r>
          </w:p>
        </w:tc>
      </w:tr>
    </w:tbl>
    <w:p w14:paraId="64E6C4F8" w14:textId="77777777" w:rsidR="00B416B8" w:rsidRDefault="00B416B8" w:rsidP="003939E7">
      <w:pPr>
        <w:spacing w:line="480" w:lineRule="auto"/>
        <w:jc w:val="both"/>
        <w:rPr>
          <w:rFonts w:ascii="Times New Roman" w:hAnsi="Times New Roman" w:cs="Times New Roman"/>
        </w:rPr>
      </w:pPr>
    </w:p>
    <w:p w14:paraId="1E65A746" w14:textId="12905A82" w:rsidR="003939E7" w:rsidRDefault="00DD67ED" w:rsidP="003939E7">
      <w:pPr>
        <w:spacing w:line="480" w:lineRule="auto"/>
        <w:jc w:val="both"/>
        <w:rPr>
          <w:rFonts w:ascii="Times New Roman" w:hAnsi="Times New Roman" w:cs="Times New Roman"/>
        </w:rPr>
      </w:pPr>
      <w:r>
        <w:rPr>
          <w:rFonts w:ascii="Times New Roman" w:hAnsi="Times New Roman" w:cs="Times New Roman"/>
        </w:rPr>
        <w:t xml:space="preserve">Parameterizing </w:t>
      </w:r>
      <w:r w:rsidR="00CE3160">
        <w:rPr>
          <w:rFonts w:ascii="Times New Roman" w:hAnsi="Times New Roman" w:cs="Times New Roman" w:hint="eastAsia"/>
        </w:rPr>
        <w:t>t</w:t>
      </w:r>
      <w:r w:rsidR="00CE3160">
        <w:rPr>
          <w:rFonts w:ascii="Times New Roman" w:hAnsi="Times New Roman" w:cs="Times New Roman"/>
        </w:rPr>
        <w:t>he</w:t>
      </w:r>
      <w:r>
        <w:rPr>
          <w:rFonts w:ascii="Times New Roman" w:hAnsi="Times New Roman" w:cs="Times New Roman"/>
        </w:rPr>
        <w:t xml:space="preserve"> first term o</w:t>
      </w:r>
      <w:r w:rsidR="00EB12F1">
        <w:rPr>
          <w:rFonts w:ascii="Times New Roman" w:hAnsi="Times New Roman" w:cs="Times New Roman"/>
        </w:rPr>
        <w:t>n</w:t>
      </w:r>
      <w:r>
        <w:rPr>
          <w:rFonts w:ascii="Times New Roman" w:hAnsi="Times New Roman" w:cs="Times New Roman"/>
        </w:rPr>
        <w:t xml:space="preserve"> the right slide </w:t>
      </w:r>
      <w:r w:rsidR="00047A94">
        <w:rPr>
          <w:rFonts w:ascii="Times New Roman" w:hAnsi="Times New Roman" w:cs="Times New Roman"/>
        </w:rPr>
        <w:t>of</w:t>
      </w:r>
      <w:r>
        <w:rPr>
          <w:rFonts w:ascii="Times New Roman" w:hAnsi="Times New Roman" w:cs="Times New Roman"/>
        </w:rPr>
        <w:t xml:space="preserve"> equation </w:t>
      </w:r>
      <w:r w:rsidR="00F066A2">
        <w:rPr>
          <w:rFonts w:ascii="Times New Roman" w:hAnsi="Times New Roman" w:cs="Times New Roman"/>
        </w:rPr>
        <w:t>(</w:t>
      </w:r>
      <w:r>
        <w:rPr>
          <w:rFonts w:ascii="Times New Roman" w:hAnsi="Times New Roman" w:cs="Times New Roman"/>
        </w:rPr>
        <w:t>8</w:t>
      </w:r>
      <w:r w:rsidR="00F066A2">
        <w:rPr>
          <w:rFonts w:ascii="Times New Roman" w:hAnsi="Times New Roman" w:cs="Times New Roman"/>
        </w:rPr>
        <w:t>)</w:t>
      </w:r>
      <w:r>
        <w:rPr>
          <w:rFonts w:ascii="Times New Roman" w:hAnsi="Times New Roman" w:cs="Times New Roman"/>
        </w:rPr>
        <w:t xml:space="preserve"> as </w:t>
      </w:r>
      <w:proofErr w:type="spellStart"/>
      <w:r>
        <w:rPr>
          <w:rFonts w:ascii="Times New Roman" w:hAnsi="Times New Roman" w:cs="Times New Roman"/>
        </w:rPr>
        <w:t>Fickian</w:t>
      </w:r>
      <w:proofErr w:type="spellEnd"/>
      <w:r>
        <w:rPr>
          <w:rFonts w:ascii="Times New Roman" w:hAnsi="Times New Roman" w:cs="Times New Roman"/>
        </w:rPr>
        <w:t xml:space="preserve"> diffusion with a</w:t>
      </w:r>
      <w:r w:rsidR="00481175">
        <w:rPr>
          <w:rFonts w:ascii="Times New Roman" w:hAnsi="Times New Roman" w:cs="Times New Roman"/>
        </w:rPr>
        <w:t>n</w:t>
      </w:r>
      <w:r>
        <w:rPr>
          <w:rFonts w:ascii="Times New Roman" w:hAnsi="Times New Roman" w:cs="Times New Roman"/>
        </w:rPr>
        <w:t xml:space="preserve"> </w:t>
      </w:r>
      <w:r w:rsidR="00481175">
        <w:rPr>
          <w:rFonts w:ascii="Times New Roman" w:hAnsi="Times New Roman" w:cs="Times New Roman"/>
        </w:rPr>
        <w:t xml:space="preserve">eddy </w:t>
      </w:r>
      <w:r>
        <w:rPr>
          <w:rFonts w:ascii="Times New Roman" w:hAnsi="Times New Roman" w:cs="Times New Roman"/>
        </w:rPr>
        <w:t xml:space="preserve">diffusion coefficient </w:t>
      </w:r>
      <m:oMath>
        <m:r>
          <m:rPr>
            <m:sty m:val="b"/>
          </m:rPr>
          <w:rPr>
            <w:rFonts w:ascii="Cambria Math" w:hAnsi="Cambria Math" w:cs="Times New Roman"/>
          </w:rPr>
          <m:t>κ</m:t>
        </m:r>
      </m:oMath>
      <w:r w:rsidR="00DA341D" w:rsidRPr="00DA341D">
        <w:rPr>
          <w:rFonts w:ascii="Times New Roman" w:hAnsi="Times New Roman" w:cs="Times New Roman"/>
          <w:bCs/>
        </w:rPr>
        <w:t xml:space="preserve"> </w:t>
      </w:r>
      <w:r w:rsidR="00EB12F1">
        <w:rPr>
          <w:rFonts w:ascii="Times New Roman" w:hAnsi="Times New Roman" w:cs="Times New Roman"/>
          <w:bCs/>
        </w:rPr>
        <w:t>(</w:t>
      </w:r>
      <w:r w:rsidR="00DA341D">
        <w:rPr>
          <w:rFonts w:ascii="Times New Roman" w:hAnsi="Times New Roman" w:cs="Times New Roman"/>
          <w:bCs/>
        </w:rPr>
        <w:t>m</w:t>
      </w:r>
      <w:r w:rsidR="00DA341D" w:rsidRPr="00DA341D">
        <w:rPr>
          <w:rFonts w:ascii="Times New Roman" w:hAnsi="Times New Roman" w:cs="Times New Roman"/>
          <w:bCs/>
          <w:vertAlign w:val="superscript"/>
        </w:rPr>
        <w:t>2</w:t>
      </w:r>
      <w:r w:rsidR="00DA341D">
        <w:rPr>
          <w:rFonts w:ascii="Times New Roman" w:hAnsi="Times New Roman" w:cs="Times New Roman"/>
          <w:bCs/>
        </w:rPr>
        <w:t xml:space="preserve"> s</w:t>
      </w:r>
      <w:r w:rsidR="00C64659" w:rsidRPr="00C64659">
        <w:rPr>
          <w:rFonts w:ascii="Times New Roman" w:hAnsi="Times New Roman" w:cs="Times New Roman"/>
          <w:vertAlign w:val="superscript"/>
        </w:rPr>
        <w:t>−</w:t>
      </w:r>
      <w:r w:rsidR="00DA341D" w:rsidRPr="00DA341D">
        <w:rPr>
          <w:rFonts w:ascii="Times New Roman" w:hAnsi="Times New Roman" w:cs="Times New Roman"/>
          <w:bCs/>
          <w:vertAlign w:val="superscript"/>
        </w:rPr>
        <w:t>1</w:t>
      </w:r>
      <w:r w:rsidR="00DA341D" w:rsidRPr="00DA341D">
        <w:rPr>
          <w:rFonts w:ascii="Times New Roman" w:hAnsi="Times New Roman" w:cs="Times New Roman"/>
          <w:bCs/>
        </w:rPr>
        <w:t>)</w:t>
      </w:r>
      <w:r>
        <w:rPr>
          <w:rFonts w:ascii="Times New Roman" w:hAnsi="Times New Roman" w:cs="Times New Roman"/>
        </w:rPr>
        <w:t xml:space="preserve">, equation </w:t>
      </w:r>
      <w:r w:rsidR="00F066A2">
        <w:rPr>
          <w:rFonts w:ascii="Times New Roman" w:hAnsi="Times New Roman" w:cs="Times New Roman"/>
        </w:rPr>
        <w:t>(</w:t>
      </w:r>
      <w:r>
        <w:rPr>
          <w:rFonts w:ascii="Times New Roman" w:hAnsi="Times New Roman" w:cs="Times New Roman"/>
        </w:rPr>
        <w:t>8</w:t>
      </w:r>
      <w:r w:rsidR="00F066A2">
        <w:rPr>
          <w:rFonts w:ascii="Times New Roman" w:hAnsi="Times New Roman" w:cs="Times New Roman"/>
        </w:rPr>
        <w:t>)</w:t>
      </w:r>
      <w:r>
        <w:rPr>
          <w:rFonts w:ascii="Times New Roman" w:hAnsi="Times New Roman" w:cs="Times New Roman"/>
        </w:rPr>
        <w:t xml:space="preserve"> can be written in the </w:t>
      </w:r>
      <w:r w:rsidR="002A6515">
        <w:rPr>
          <w:rFonts w:ascii="Times New Roman" w:hAnsi="Times New Roman" w:cs="Times New Roman"/>
        </w:rPr>
        <w:t>form,</w:t>
      </w:r>
    </w:p>
    <w:p w14:paraId="141A2C2A" w14:textId="77777777" w:rsidR="00B416B8" w:rsidRPr="00A961B2" w:rsidRDefault="00B416B8" w:rsidP="003939E7">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3939E7" w:rsidRPr="00A961B2" w14:paraId="373967E5" w14:textId="77777777" w:rsidTr="00C6505D">
        <w:trPr>
          <w:trHeight w:val="481"/>
        </w:trPr>
        <w:tc>
          <w:tcPr>
            <w:tcW w:w="8364" w:type="dxa"/>
            <w:vAlign w:val="center"/>
          </w:tcPr>
          <w:p w14:paraId="3CCEE439" w14:textId="2F9A33E5" w:rsidR="003939E7"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num>
                  <m:den>
                    <m:r>
                      <w:rPr>
                        <w:rFonts w:ascii="Cambria Math" w:hAnsi="Cambria Math" w:cs="Times New Roman"/>
                      </w:rPr>
                      <m:t>∂t</m:t>
                    </m:r>
                  </m:den>
                </m:f>
                <m:r>
                  <w:rPr>
                    <w:rFonts w:ascii="Cambria Math" w:hAnsi="Cambria Math" w:cs="Times New Roman"/>
                  </w:rPr>
                  <m:t>=</m:t>
                </m:r>
                <m:r>
                  <m:rPr>
                    <m:sty m:val="b"/>
                  </m:rPr>
                  <w:rPr>
                    <w:rFonts w:ascii="Cambria Math" w:hAnsi="Cambria Math" w:cs="Times New Roman"/>
                  </w:rPr>
                  <m:t>∇</m:t>
                </m:r>
                <m:r>
                  <w:rPr>
                    <w:rFonts w:ascii="Cambria Math" w:hAnsi="Cambria Math" w:cs="Times New Roman"/>
                  </w:rPr>
                  <m:t>∙</m:t>
                </m:r>
                <m:r>
                  <m:rPr>
                    <m:sty m:val="b"/>
                  </m:rPr>
                  <w:rPr>
                    <w:rFonts w:ascii="Cambria Math" w:hAnsi="Cambria Math" w:cs="Times New Roman"/>
                  </w:rPr>
                  <m:t>κ∇</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r>
                  <w:rPr>
                    <w:rFonts w:ascii="Cambria Math" w:hAnsi="Cambria Math" w:cs="Times New Roman"/>
                  </w:rPr>
                  <m:t>-</m:t>
                </m:r>
                <m:d>
                  <m:dPr>
                    <m:ctrlPr>
                      <w:rPr>
                        <w:rFonts w:ascii="Cambria Math" w:hAnsi="Cambria Math" w:cs="Times New Roman"/>
                        <w:i/>
                      </w:rPr>
                    </m:ctrlPr>
                  </m:dPr>
                  <m:e>
                    <m:r>
                      <m:rPr>
                        <m:sty m:val="b"/>
                      </m:rPr>
                      <w:rPr>
                        <w:rFonts w:ascii="Cambria Math" w:hAnsi="Cambria Math" w:cs="Times New Roman"/>
                      </w:rPr>
                      <m:t>v</m:t>
                    </m:r>
                    <m:r>
                      <w:rPr>
                        <w:rFonts w:ascii="Cambria Math" w:hAnsi="Cambria Math" w:cs="Times New Roman"/>
                      </w:rPr>
                      <m:t>+</m:t>
                    </m:r>
                    <m:sSup>
                      <m:sSupPr>
                        <m:ctrlPr>
                          <w:rPr>
                            <w:rFonts w:ascii="Cambria Math" w:hAnsi="Cambria Math" w:cs="Times New Roman"/>
                            <w:i/>
                          </w:rPr>
                        </m:ctrlPr>
                      </m:sSupPr>
                      <m:e>
                        <m:r>
                          <m:rPr>
                            <m:sty m:val="b"/>
                          </m:rPr>
                          <w:rPr>
                            <w:rFonts w:ascii="Cambria Math" w:hAnsi="Cambria Math" w:cs="Times New Roman"/>
                          </w:rPr>
                          <m:t>v</m:t>
                        </m:r>
                      </m:e>
                      <m:sup>
                        <m:r>
                          <w:rPr>
                            <w:rFonts w:ascii="Cambria Math" w:hAnsi="Cambria Math" w:cs="Times New Roman"/>
                          </w:rPr>
                          <m:t>*</m:t>
                        </m:r>
                      </m:sup>
                    </m:sSup>
                    <m:ctrlPr>
                      <w:rPr>
                        <w:rFonts w:ascii="Cambria Math" w:hAnsi="Cambria Math" w:cs="Times New Roman"/>
                        <w:i/>
                        <w:iCs/>
                      </w:rPr>
                    </m:ctrlPr>
                  </m:e>
                </m:d>
                <m:r>
                  <w:rPr>
                    <w:rFonts w:ascii="Cambria Math" w:hAnsi="Cambria Math" w:cs="Times New Roman"/>
                  </w:rPr>
                  <m:t>∙</m:t>
                </m:r>
                <m:r>
                  <m:rPr>
                    <m:sty m:val="b"/>
                  </m:rP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r>
                  <w:rPr>
                    <w:rFonts w:ascii="Cambria Math" w:hAnsi="Cambria Math" w:cs="Times New Roman"/>
                  </w:rPr>
                  <m:t>+J,</m:t>
                </m:r>
              </m:oMath>
            </m:oMathPara>
          </w:p>
        </w:tc>
        <w:tc>
          <w:tcPr>
            <w:tcW w:w="680" w:type="dxa"/>
            <w:vAlign w:val="center"/>
          </w:tcPr>
          <w:p w14:paraId="68163699" w14:textId="4443FD32" w:rsidR="003939E7" w:rsidRPr="00A961B2" w:rsidRDefault="003939E7" w:rsidP="00C6505D">
            <w:pPr>
              <w:spacing w:line="480" w:lineRule="auto"/>
              <w:jc w:val="center"/>
              <w:rPr>
                <w:rFonts w:ascii="Times New Roman" w:hAnsi="Times New Roman" w:cs="Times New Roman"/>
              </w:rPr>
            </w:pPr>
            <w:r w:rsidRPr="00A961B2">
              <w:rPr>
                <w:rFonts w:ascii="Times New Roman" w:hAnsi="Times New Roman" w:cs="Times New Roman"/>
              </w:rPr>
              <w:t>(</w:t>
            </w:r>
            <w:r w:rsidR="008E2C64" w:rsidRPr="00A961B2">
              <w:rPr>
                <w:rFonts w:ascii="Times New Roman" w:hAnsi="Times New Roman" w:cs="Times New Roman"/>
              </w:rPr>
              <w:t>9</w:t>
            </w:r>
            <w:r w:rsidRPr="00A961B2">
              <w:rPr>
                <w:rFonts w:ascii="Times New Roman" w:hAnsi="Times New Roman" w:cs="Times New Roman"/>
              </w:rPr>
              <w:t>)</w:t>
            </w:r>
          </w:p>
        </w:tc>
      </w:tr>
    </w:tbl>
    <w:p w14:paraId="137D2ABE" w14:textId="77777777" w:rsidR="00B416B8" w:rsidRDefault="00B416B8" w:rsidP="00625B68">
      <w:pPr>
        <w:spacing w:line="480" w:lineRule="auto"/>
        <w:jc w:val="both"/>
        <w:rPr>
          <w:rFonts w:ascii="Times New Roman" w:hAnsi="Times New Roman" w:cs="Times New Roman"/>
        </w:rPr>
      </w:pPr>
    </w:p>
    <w:p w14:paraId="125C91EC" w14:textId="3A6C80F1" w:rsidR="00DD67ED" w:rsidRDefault="002A6515" w:rsidP="00625B68">
      <w:pPr>
        <w:spacing w:line="480" w:lineRule="auto"/>
        <w:jc w:val="both"/>
        <w:rPr>
          <w:rFonts w:ascii="Times New Roman" w:hAnsi="Times New Roman" w:cs="Times New Roman"/>
        </w:rPr>
      </w:pPr>
      <w:r>
        <w:rPr>
          <w:rFonts w:ascii="Times New Roman" w:hAnsi="Times New Roman" w:cs="Times New Roman"/>
        </w:rPr>
        <w:t xml:space="preserve">omitting </w:t>
      </w:r>
      <w:r w:rsidR="0053773A">
        <w:rPr>
          <w:rFonts w:ascii="Times New Roman" w:hAnsi="Times New Roman" w:cs="Times New Roman"/>
        </w:rPr>
        <w:t xml:space="preserve">the </w:t>
      </w:r>
      <w:r>
        <w:rPr>
          <w:rFonts w:ascii="Times New Roman" w:hAnsi="Times New Roman" w:cs="Times New Roman"/>
        </w:rPr>
        <w:t>overbar</w:t>
      </w:r>
      <w:r w:rsidR="00EB12F1">
        <w:rPr>
          <w:rFonts w:ascii="Times New Roman" w:hAnsi="Times New Roman" w:cs="Times New Roman"/>
        </w:rPr>
        <w:t>s</w:t>
      </w:r>
      <w:r>
        <w:rPr>
          <w:rFonts w:ascii="Times New Roman" w:hAnsi="Times New Roman" w:cs="Times New Roman"/>
        </w:rPr>
        <w:t xml:space="preserve"> for simplification and rep</w:t>
      </w:r>
      <w:r w:rsidR="00481175">
        <w:rPr>
          <w:rFonts w:ascii="Times New Roman" w:hAnsi="Times New Roman" w:cs="Times New Roman"/>
        </w:rPr>
        <w:t>resenting</w:t>
      </w:r>
      <w:r>
        <w:rPr>
          <w:rFonts w:ascii="Times New Roman" w:hAnsi="Times New Roman" w:cs="Times New Roman"/>
        </w:rPr>
        <w:t xml:space="preserve"> the bolus velocity </w:t>
      </w:r>
      <w:r>
        <w:rPr>
          <w:rFonts w:ascii="Times New Roman" w:hAnsi="Times New Roman" w:cs="Times New Roman" w:hint="eastAsia"/>
        </w:rPr>
        <w:t>(</w:t>
      </w:r>
      <m:oMath>
        <m:sSup>
          <m:sSupPr>
            <m:ctrlPr>
              <w:rPr>
                <w:rFonts w:ascii="Cambria Math" w:hAnsi="Cambria Math" w:cs="Times New Roman"/>
                <w:i/>
                <w:iCs/>
              </w:rPr>
            </m:ctrlPr>
          </m:sSupPr>
          <m:e>
            <m:r>
              <w:rPr>
                <w:rFonts w:ascii="Cambria Math" w:hAnsi="Cambria Math" w:cs="Times New Roman"/>
              </w:rPr>
              <m:t>h</m:t>
            </m:r>
          </m:e>
          <m:sup>
            <m:r>
              <w:rPr>
                <w:rFonts w:ascii="Cambria Math" w:hAnsi="Cambria Math" w:cs="Times New Roman"/>
              </w:rPr>
              <m:t>'</m:t>
            </m:r>
          </m:sup>
        </m:sSup>
        <m:sSup>
          <m:sSupPr>
            <m:ctrlPr>
              <w:rPr>
                <w:rFonts w:ascii="Cambria Math" w:hAnsi="Cambria Math" w:cs="Times New Roman"/>
                <w:i/>
                <w:iCs/>
              </w:rPr>
            </m:ctrlPr>
          </m:sSupPr>
          <m:e>
            <m:r>
              <m:rPr>
                <m:sty m:val="b"/>
              </m:rPr>
              <w:rPr>
                <w:rFonts w:ascii="Cambria Math" w:hAnsi="Cambria Math" w:cs="Times New Roman"/>
              </w:rPr>
              <m:t>v</m:t>
            </m:r>
          </m:e>
          <m:sup>
            <m:r>
              <w:rPr>
                <w:rFonts w:ascii="Cambria Math" w:hAnsi="Cambria Math" w:cs="Times New Roman"/>
              </w:rPr>
              <m:t>'</m:t>
            </m:r>
          </m:sup>
        </m:sSup>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h</m:t>
            </m:r>
          </m:e>
        </m:acc>
      </m:oMath>
      <w:r>
        <w:rPr>
          <w:rFonts w:ascii="Times New Roman" w:hAnsi="Times New Roman" w:cs="Times New Roman"/>
        </w:rPr>
        <w:t xml:space="preserve">) as </w:t>
      </w:r>
      <m:oMath>
        <m:sSup>
          <m:sSupPr>
            <m:ctrlPr>
              <w:rPr>
                <w:rFonts w:ascii="Cambria Math" w:hAnsi="Cambria Math" w:cs="Times New Roman"/>
                <w:i/>
              </w:rPr>
            </m:ctrlPr>
          </m:sSupPr>
          <m:e>
            <m:r>
              <m:rPr>
                <m:sty m:val="b"/>
              </m:rPr>
              <w:rPr>
                <w:rFonts w:ascii="Cambria Math" w:hAnsi="Cambria Math" w:cs="Times New Roman"/>
              </w:rPr>
              <m:t>v</m:t>
            </m:r>
          </m:e>
          <m:sup>
            <m:r>
              <w:rPr>
                <w:rFonts w:ascii="Cambria Math" w:hAnsi="Cambria Math" w:cs="Times New Roman"/>
              </w:rPr>
              <m:t>*</m:t>
            </m:r>
          </m:sup>
        </m:sSup>
      </m:oMath>
      <w:r>
        <w:rPr>
          <w:rFonts w:ascii="Times New Roman" w:hAnsi="Times New Roman" w:cs="Times New Roman"/>
        </w:rPr>
        <w:t>.</w:t>
      </w:r>
    </w:p>
    <w:p w14:paraId="0F55E916" w14:textId="77777777" w:rsidR="00DD67ED" w:rsidRPr="00481175" w:rsidRDefault="00DD67ED" w:rsidP="00625B68">
      <w:pPr>
        <w:spacing w:line="480" w:lineRule="auto"/>
        <w:jc w:val="both"/>
        <w:rPr>
          <w:rFonts w:ascii="Times New Roman" w:hAnsi="Times New Roman" w:cs="Times New Roman"/>
        </w:rPr>
      </w:pPr>
    </w:p>
    <w:p w14:paraId="150F4E45" w14:textId="225F172B" w:rsidR="008E2C64" w:rsidRDefault="00DA341D" w:rsidP="00DA341D">
      <w:pPr>
        <w:spacing w:line="480" w:lineRule="auto"/>
        <w:jc w:val="both"/>
        <w:rPr>
          <w:rFonts w:ascii="Times New Roman" w:hAnsi="Times New Roman" w:cs="Times New Roman"/>
        </w:rPr>
      </w:pPr>
      <w:r>
        <w:rPr>
          <w:rFonts w:ascii="Times New Roman" w:hAnsi="Times New Roman" w:cs="Times New Roman"/>
        </w:rPr>
        <w:lastRenderedPageBreak/>
        <w:t>The eddy diffusion term consists of the horizontal component (</w:t>
      </w:r>
      <m:oMath>
        <m:sSub>
          <m:sSubPr>
            <m:ctrlPr>
              <w:rPr>
                <w:rFonts w:ascii="Cambria Math" w:hAnsi="Cambria Math" w:cs="Times New Roman"/>
                <w:b/>
                <w:bCs/>
                <w:iCs/>
              </w:rPr>
            </m:ctrlPr>
          </m:sSubPr>
          <m:e>
            <m:r>
              <m:rPr>
                <m:sty m:val="b"/>
              </m:rPr>
              <w:rPr>
                <w:rFonts w:ascii="Cambria Math" w:hAnsi="Cambria Math" w:cs="Times New Roman"/>
              </w:rPr>
              <m:t>∇</m:t>
            </m:r>
          </m:e>
          <m:sub>
            <m:r>
              <m:rPr>
                <m:sty m:val="b"/>
              </m:rP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m:rPr>
                <m:sty m:val="b"/>
              </m:rPr>
              <w:rPr>
                <w:rFonts w:ascii="Cambria Math" w:hAnsi="Cambria Math" w:cs="Times New Roman"/>
              </w:rPr>
              <m:t>κ</m:t>
            </m:r>
          </m:e>
          <m:sub>
            <m:r>
              <m:rPr>
                <m:sty m:val="b"/>
              </m:rPr>
              <w:rPr>
                <w:rFonts w:ascii="Cambria Math" w:hAnsi="Cambria Math" w:cs="Times New Roman"/>
              </w:rPr>
              <m:t>h</m:t>
            </m:r>
          </m:sub>
        </m:sSub>
        <m:sSub>
          <m:sSubPr>
            <m:ctrlPr>
              <w:rPr>
                <w:rFonts w:ascii="Cambria Math" w:hAnsi="Cambria Math" w:cs="Times New Roman"/>
                <w:b/>
                <w:bCs/>
                <w:iCs/>
              </w:rPr>
            </m:ctrlPr>
          </m:sSubPr>
          <m:e>
            <m:r>
              <m:rPr>
                <m:sty m:val="b"/>
              </m:rPr>
              <w:rPr>
                <w:rFonts w:ascii="Cambria Math" w:hAnsi="Cambria Math" w:cs="Times New Roman"/>
              </w:rPr>
              <m:t>∇</m:t>
            </m:r>
          </m:e>
          <m:sub>
            <m:r>
              <m:rPr>
                <m:sty m:val="b"/>
              </m:rPr>
              <w:rPr>
                <w:rFonts w:ascii="Cambria Math" w:hAnsi="Cambria Math" w:cs="Times New Roman"/>
              </w:rPr>
              <m:t>h</m:t>
            </m:r>
          </m:sub>
        </m:sSub>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oMath>
      <w:r>
        <w:rPr>
          <w:rFonts w:ascii="Times New Roman" w:hAnsi="Times New Roman" w:cs="Times New Roman"/>
        </w:rPr>
        <w:t xml:space="preserve">) and </w:t>
      </w:r>
      <w:r w:rsidR="00EB12F1">
        <w:rPr>
          <w:rFonts w:ascii="Times New Roman" w:hAnsi="Times New Roman" w:cs="Times New Roman"/>
        </w:rPr>
        <w:t xml:space="preserve">the </w:t>
      </w:r>
      <w:r>
        <w:rPr>
          <w:rFonts w:ascii="Times New Roman" w:hAnsi="Times New Roman" w:cs="Times New Roman"/>
        </w:rPr>
        <w:t>vertical component (</w:t>
      </w:r>
      <m:oMath>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∂z</m:t>
            </m:r>
          </m:den>
        </m:f>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v</m:t>
            </m:r>
          </m:sub>
        </m:sSub>
        <m:f>
          <m:fPr>
            <m:ctrlPr>
              <w:rPr>
                <w:rFonts w:ascii="Cambria Math" w:hAnsi="Cambria Math" w:cs="Times New Roman"/>
                <w:i/>
              </w:rPr>
            </m:ctrlPr>
          </m:fPr>
          <m:num>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num>
          <m:den>
            <m:r>
              <w:rPr>
                <w:rFonts w:ascii="Cambria Math" w:hAnsi="Cambria Math" w:cs="Times New Roman"/>
              </w:rPr>
              <m:t>∂z</m:t>
            </m:r>
          </m:den>
        </m:f>
      </m:oMath>
      <w:r>
        <w:rPr>
          <w:rFonts w:ascii="Times New Roman" w:hAnsi="Times New Roman" w:cs="Times New Roman"/>
        </w:rPr>
        <w:t xml:space="preserve">). To obtain an equation for the upper ocean </w:t>
      </w:r>
      <w:r w:rsidR="001B2B1D">
        <w:rPr>
          <w:rFonts w:ascii="Times New Roman" w:hAnsi="Times New Roman" w:cs="Times New Roman"/>
        </w:rPr>
        <w:t>dissolved oxygen</w:t>
      </w:r>
      <w:r>
        <w:rPr>
          <w:rFonts w:ascii="Times New Roman" w:hAnsi="Times New Roman" w:cs="Times New Roman"/>
        </w:rPr>
        <w:t xml:space="preserve"> budget, equation </w:t>
      </w:r>
      <w:r w:rsidR="00F066A2">
        <w:rPr>
          <w:rFonts w:ascii="Times New Roman" w:hAnsi="Times New Roman" w:cs="Times New Roman"/>
        </w:rPr>
        <w:t>(</w:t>
      </w:r>
      <w:r>
        <w:rPr>
          <w:rFonts w:ascii="Times New Roman" w:hAnsi="Times New Roman" w:cs="Times New Roman"/>
        </w:rPr>
        <w:t>9</w:t>
      </w:r>
      <w:r w:rsidR="00F066A2">
        <w:rPr>
          <w:rFonts w:ascii="Times New Roman" w:hAnsi="Times New Roman" w:cs="Times New Roman"/>
        </w:rPr>
        <w:t>)</w:t>
      </w:r>
      <w:r>
        <w:rPr>
          <w:rFonts w:ascii="Times New Roman" w:hAnsi="Times New Roman" w:cs="Times New Roman"/>
        </w:rPr>
        <w:t xml:space="preserve"> is vertically integrated from the depth </w:t>
      </w:r>
      <w:r w:rsidRPr="00DA341D">
        <w:rPr>
          <w:rFonts w:ascii="Times New Roman" w:hAnsi="Times New Roman" w:cs="Times New Roman"/>
          <w:i/>
          <w:iCs/>
        </w:rPr>
        <w:t>H</w:t>
      </w:r>
      <w:r>
        <w:rPr>
          <w:rFonts w:ascii="Times New Roman" w:hAnsi="Times New Roman" w:cs="Times New Roman"/>
        </w:rPr>
        <w:t xml:space="preserve"> (</w:t>
      </w:r>
      <m:oMath>
        <m:r>
          <w:rPr>
            <w:rFonts w:ascii="Cambria Math" w:hAnsi="Cambria Math" w:cs="Times New Roman"/>
          </w:rPr>
          <m:t>z=-H</m:t>
        </m:r>
      </m:oMath>
      <w:r>
        <w:rPr>
          <w:rFonts w:ascii="Times New Roman" w:hAnsi="Times New Roman" w:cs="Times New Roman"/>
        </w:rPr>
        <w:t>) to the sea surface (</w:t>
      </w:r>
      <m:oMath>
        <m:r>
          <w:rPr>
            <w:rFonts w:ascii="Cambria Math" w:hAnsi="Cambria Math" w:cs="Times New Roman"/>
          </w:rPr>
          <m:t>z=0</m:t>
        </m:r>
      </m:oMath>
      <w:r>
        <w:rPr>
          <w:rFonts w:ascii="Times New Roman" w:hAnsi="Times New Roman" w:cs="Times New Roman"/>
        </w:rPr>
        <w:t>)</w:t>
      </w:r>
      <w:r w:rsidR="00EB12F1">
        <w:rPr>
          <w:rFonts w:ascii="Times New Roman" w:hAnsi="Times New Roman" w:cs="Times New Roman"/>
        </w:rPr>
        <w:t>:</w:t>
      </w:r>
    </w:p>
    <w:p w14:paraId="72134FA1" w14:textId="77777777" w:rsidR="00B416B8" w:rsidRPr="00A961B2" w:rsidRDefault="00B416B8" w:rsidP="00DA341D">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164D15" w:rsidRPr="00A961B2" w14:paraId="07C14685" w14:textId="77777777" w:rsidTr="00C6505D">
        <w:trPr>
          <w:trHeight w:val="481"/>
        </w:trPr>
        <w:tc>
          <w:tcPr>
            <w:tcW w:w="8364" w:type="dxa"/>
            <w:vAlign w:val="center"/>
          </w:tcPr>
          <w:p w14:paraId="1A1B032E" w14:textId="7FCCA3EE" w:rsidR="00164D15" w:rsidRPr="00A961B2" w:rsidRDefault="00000000" w:rsidP="00C6505D">
            <w:pPr>
              <w:spacing w:line="48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m:t>
                    </m:r>
                  </m:num>
                  <m:den>
                    <m:r>
                      <w:rPr>
                        <w:rFonts w:ascii="Cambria Math" w:hAnsi="Cambria Math" w:cs="Times New Roman"/>
                      </w:rPr>
                      <m:t>∂t</m:t>
                    </m:r>
                  </m:den>
                </m:f>
                <m:nary>
                  <m:naryPr>
                    <m:limLoc m:val="subSup"/>
                    <m:ctrlPr>
                      <w:rPr>
                        <w:rFonts w:ascii="Cambria Math" w:hAnsi="Cambria Math" w:cs="Times New Roman"/>
                        <w:i/>
                      </w:rPr>
                    </m:ctrlPr>
                  </m:naryPr>
                  <m:sub>
                    <m:r>
                      <w:rPr>
                        <w:rFonts w:ascii="Cambria Math" w:hAnsi="Cambria Math" w:cs="Times New Roman"/>
                      </w:rPr>
                      <m:t>-H</m:t>
                    </m:r>
                  </m:sub>
                  <m:sup>
                    <m:r>
                      <w:rPr>
                        <w:rFonts w:ascii="Cambria Math" w:hAnsi="Cambria Math" w:cs="Times New Roman"/>
                      </w:rPr>
                      <m:t>0</m:t>
                    </m:r>
                  </m:sup>
                  <m:e>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r>
                      <w:rPr>
                        <w:rFonts w:ascii="Cambria Math" w:hAnsi="Cambria Math" w:cs="Times New Roman"/>
                      </w:rPr>
                      <m:t xml:space="preserve"> dz</m:t>
                    </m:r>
                  </m:e>
                </m:nary>
                <m:r>
                  <w:rPr>
                    <w:rFonts w:ascii="Cambria Math" w:hAnsi="Cambria Math" w:cs="Times New Roman"/>
                  </w:rPr>
                  <m:t>=</m:t>
                </m:r>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v</m:t>
                            </m:r>
                          </m:sub>
                        </m:sSub>
                        <m:r>
                          <w:rPr>
                            <w:rFonts w:ascii="Cambria Math" w:hAnsi="Cambria Math" w:cs="Times New Roman"/>
                          </w:rPr>
                          <m:t>(0)</m:t>
                        </m:r>
                        <m:f>
                          <m:fPr>
                            <m:ctrlPr>
                              <w:rPr>
                                <w:rFonts w:ascii="Cambria Math" w:hAnsi="Cambria Math" w:cs="Times New Roman"/>
                                <w:i/>
                              </w:rPr>
                            </m:ctrlPr>
                          </m:fPr>
                          <m:num>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num>
                          <m:den>
                            <m:r>
                              <w:rPr>
                                <w:rFonts w:ascii="Cambria Math" w:hAnsi="Cambria Math" w:cs="Times New Roman"/>
                              </w:rPr>
                              <m:t>∂z</m:t>
                            </m:r>
                          </m:den>
                        </m:f>
                      </m:e>
                    </m:d>
                  </m:e>
                  <m:sub>
                    <m:r>
                      <w:rPr>
                        <w:rFonts w:ascii="Cambria Math" w:hAnsi="Cambria Math" w:cs="Times New Roman"/>
                      </w:rPr>
                      <m:t>z=0</m:t>
                    </m:r>
                  </m:sub>
                </m:sSub>
                <m:r>
                  <w:rPr>
                    <w:rFonts w:ascii="Cambria Math" w:hAnsi="Cambria Math" w:cs="Times New Roman"/>
                  </w:rPr>
                  <m:t>-</m:t>
                </m:r>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v</m:t>
                            </m:r>
                          </m:sub>
                        </m:sSub>
                        <m:r>
                          <w:rPr>
                            <w:rFonts w:ascii="Cambria Math" w:hAnsi="Cambria Math" w:cs="Times New Roman"/>
                          </w:rPr>
                          <m:t>(-H)</m:t>
                        </m:r>
                        <m:f>
                          <m:fPr>
                            <m:ctrlPr>
                              <w:rPr>
                                <w:rFonts w:ascii="Cambria Math" w:hAnsi="Cambria Math" w:cs="Times New Roman"/>
                                <w:i/>
                              </w:rPr>
                            </m:ctrlPr>
                          </m:fPr>
                          <m:num>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num>
                          <m:den>
                            <m:r>
                              <w:rPr>
                                <w:rFonts w:ascii="Cambria Math" w:hAnsi="Cambria Math" w:cs="Times New Roman"/>
                              </w:rPr>
                              <m:t>∂z</m:t>
                            </m:r>
                          </m:den>
                        </m:f>
                      </m:e>
                    </m:d>
                  </m:e>
                  <m:sub>
                    <m:r>
                      <w:rPr>
                        <w:rFonts w:ascii="Cambria Math" w:hAnsi="Cambria Math" w:cs="Times New Roman"/>
                      </w:rPr>
                      <m:t>z=-H</m:t>
                    </m:r>
                  </m:sub>
                </m:sSub>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-H</m:t>
                    </m:r>
                  </m:sub>
                  <m:sup>
                    <m:r>
                      <w:rPr>
                        <w:rFonts w:ascii="Cambria Math" w:hAnsi="Cambria Math" w:cs="Times New Roman"/>
                      </w:rPr>
                      <m:t>0</m:t>
                    </m:r>
                  </m:sup>
                  <m:e>
                    <m:r>
                      <w:rPr>
                        <w:rFonts w:ascii="Cambria Math" w:hAnsi="Cambria Math" w:cs="Times New Roman"/>
                      </w:rPr>
                      <m:t>-(</m:t>
                    </m:r>
                    <m:r>
                      <m:rPr>
                        <m:sty m:val="b"/>
                      </m:rPr>
                      <w:rPr>
                        <w:rFonts w:ascii="Cambria Math" w:hAnsi="Cambria Math" w:cs="Times New Roman"/>
                      </w:rPr>
                      <m:t>v+</m:t>
                    </m:r>
                    <m:sSup>
                      <m:sSupPr>
                        <m:ctrlPr>
                          <w:rPr>
                            <w:rFonts w:ascii="Cambria Math" w:hAnsi="Cambria Math" w:cs="Times New Roman"/>
                            <w:b/>
                            <w:bCs/>
                            <w:iCs/>
                          </w:rPr>
                        </m:ctrlPr>
                      </m:sSupPr>
                      <m:e>
                        <m:r>
                          <m:rPr>
                            <m:sty m:val="b"/>
                          </m:rPr>
                          <w:rPr>
                            <w:rFonts w:ascii="Cambria Math" w:hAnsi="Cambria Math" w:cs="Times New Roman"/>
                          </w:rPr>
                          <m:t>v</m:t>
                        </m:r>
                      </m:e>
                      <m:sup>
                        <m:r>
                          <m:rPr>
                            <m:sty m:val="bi"/>
                          </m:rPr>
                          <w:rPr>
                            <w:rFonts w:ascii="Cambria Math" w:hAnsi="Cambria Math" w:cs="Times New Roman"/>
                          </w:rPr>
                          <m:t>*</m:t>
                        </m:r>
                      </m:sup>
                    </m:sSup>
                    <m:r>
                      <m:rPr>
                        <m:sty m:val="b"/>
                      </m:rPr>
                      <w:rPr>
                        <w:rFonts w:ascii="Cambria Math" w:hAnsi="Cambria Math" w:cs="Times New Roman"/>
                      </w:rPr>
                      <m:t>)</m:t>
                    </m:r>
                    <m:r>
                      <w:rPr>
                        <w:rFonts w:ascii="Cambria Math" w:hAnsi="Cambria Math" w:cs="Times New Roman"/>
                      </w:rPr>
                      <m:t>∙</m:t>
                    </m:r>
                    <m:r>
                      <m:rPr>
                        <m:sty m:val="b"/>
                      </m:rP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r>
                      <w:rPr>
                        <w:rFonts w:ascii="Cambria Math" w:hAnsi="Cambria Math" w:cs="Times New Roman"/>
                      </w:rPr>
                      <m:t xml:space="preserve"> dz</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-H</m:t>
                    </m:r>
                  </m:sub>
                  <m:sup>
                    <m:r>
                      <w:rPr>
                        <w:rFonts w:ascii="Cambria Math" w:hAnsi="Cambria Math" w:cs="Times New Roman"/>
                      </w:rPr>
                      <m:t>0</m:t>
                    </m:r>
                  </m:sup>
                  <m:e>
                    <m:sSub>
                      <m:sSubPr>
                        <m:ctrlPr>
                          <w:rPr>
                            <w:rFonts w:ascii="Cambria Math" w:hAnsi="Cambria Math" w:cs="Times New Roman"/>
                            <w:b/>
                            <w:bCs/>
                            <w:iCs/>
                          </w:rPr>
                        </m:ctrlPr>
                      </m:sSubPr>
                      <m:e>
                        <m:r>
                          <m:rPr>
                            <m:sty m:val="b"/>
                          </m:rPr>
                          <w:rPr>
                            <w:rFonts w:ascii="Cambria Math" w:hAnsi="Cambria Math" w:cs="Times New Roman"/>
                          </w:rPr>
                          <m:t>∇</m:t>
                        </m:r>
                      </m:e>
                      <m:sub>
                        <m:r>
                          <m:rPr>
                            <m:sty m:val="b"/>
                          </m:rP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m:rPr>
                            <m:sty m:val="b"/>
                          </m:rPr>
                          <w:rPr>
                            <w:rFonts w:ascii="Cambria Math" w:hAnsi="Cambria Math" w:cs="Times New Roman"/>
                          </w:rPr>
                          <m:t>κ</m:t>
                        </m:r>
                      </m:e>
                      <m:sub>
                        <m:r>
                          <m:rPr>
                            <m:sty m:val="b"/>
                          </m:rPr>
                          <w:rPr>
                            <w:rFonts w:ascii="Cambria Math" w:hAnsi="Cambria Math" w:cs="Times New Roman"/>
                          </w:rPr>
                          <m:t>h</m:t>
                        </m:r>
                      </m:sub>
                    </m:sSub>
                    <m:sSub>
                      <m:sSubPr>
                        <m:ctrlPr>
                          <w:rPr>
                            <w:rFonts w:ascii="Cambria Math" w:hAnsi="Cambria Math" w:cs="Times New Roman"/>
                            <w:b/>
                            <w:bCs/>
                            <w:iCs/>
                          </w:rPr>
                        </m:ctrlPr>
                      </m:sSubPr>
                      <m:e>
                        <m:r>
                          <m:rPr>
                            <m:sty m:val="b"/>
                          </m:rPr>
                          <w:rPr>
                            <w:rFonts w:ascii="Cambria Math" w:hAnsi="Cambria Math" w:cs="Times New Roman"/>
                          </w:rPr>
                          <m:t>∇</m:t>
                        </m:r>
                      </m:e>
                      <m:sub>
                        <m:r>
                          <m:rPr>
                            <m:sty m:val="b"/>
                          </m:rPr>
                          <w:rPr>
                            <w:rFonts w:ascii="Cambria Math" w:hAnsi="Cambria Math" w:cs="Times New Roman"/>
                          </w:rPr>
                          <m:t>h</m:t>
                        </m:r>
                      </m:sub>
                    </m:sSub>
                    <m:d>
                      <m:dPr>
                        <m:begChr m:val="["/>
                        <m:endChr m:val="]"/>
                        <m:ctrlPr>
                          <w:rPr>
                            <w:rFonts w:ascii="Cambria Math" w:hAnsi="Cambria Math" w:cs="Times New Roman"/>
                            <w:i/>
                          </w:rPr>
                        </m:ctrlPr>
                      </m:d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ctrlPr>
                          <w:rPr>
                            <w:rFonts w:ascii="Cambria Math" w:hAnsi="Cambria Math" w:cs="Times New Roman"/>
                            <w:i/>
                            <w:iCs/>
                          </w:rPr>
                        </m:ctrlPr>
                      </m:e>
                    </m:d>
                    <m:r>
                      <w:rPr>
                        <w:rFonts w:ascii="Cambria Math" w:hAnsi="Cambria Math" w:cs="Times New Roman"/>
                      </w:rPr>
                      <m:t xml:space="preserve"> dz</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-H</m:t>
                    </m:r>
                  </m:sub>
                  <m:sup>
                    <m:r>
                      <w:rPr>
                        <w:rFonts w:ascii="Cambria Math" w:hAnsi="Cambria Math" w:cs="Times New Roman"/>
                      </w:rPr>
                      <m:t>0</m:t>
                    </m:r>
                  </m:sup>
                  <m:e>
                    <m:r>
                      <w:rPr>
                        <w:rFonts w:ascii="Cambria Math" w:hAnsi="Cambria Math" w:cs="Times New Roman"/>
                      </w:rPr>
                      <m:t>J dz</m:t>
                    </m:r>
                  </m:e>
                </m:nary>
                <m:r>
                  <w:rPr>
                    <w:rFonts w:ascii="Cambria Math" w:hAnsi="Cambria Math" w:cs="Times New Roman"/>
                  </w:rPr>
                  <m:t>.</m:t>
                </m:r>
              </m:oMath>
            </m:oMathPara>
          </w:p>
        </w:tc>
        <w:tc>
          <w:tcPr>
            <w:tcW w:w="680" w:type="dxa"/>
            <w:vAlign w:val="center"/>
          </w:tcPr>
          <w:p w14:paraId="1955B303" w14:textId="724109D6" w:rsidR="00164D15" w:rsidRPr="00A961B2" w:rsidRDefault="00164D15" w:rsidP="00C6505D">
            <w:pPr>
              <w:spacing w:line="480" w:lineRule="auto"/>
              <w:jc w:val="center"/>
              <w:rPr>
                <w:rFonts w:ascii="Times New Roman" w:hAnsi="Times New Roman" w:cs="Times New Roman"/>
              </w:rPr>
            </w:pPr>
            <w:r w:rsidRPr="00A961B2">
              <w:rPr>
                <w:rFonts w:ascii="Times New Roman" w:hAnsi="Times New Roman" w:cs="Times New Roman"/>
              </w:rPr>
              <w:t>(</w:t>
            </w:r>
            <w:r w:rsidR="008E2C64" w:rsidRPr="00A961B2">
              <w:rPr>
                <w:rFonts w:ascii="Times New Roman" w:hAnsi="Times New Roman" w:cs="Times New Roman"/>
              </w:rPr>
              <w:t>1</w:t>
            </w:r>
            <w:r w:rsidR="00DA341D">
              <w:rPr>
                <w:rFonts w:ascii="Times New Roman" w:hAnsi="Times New Roman" w:cs="Times New Roman"/>
              </w:rPr>
              <w:t>0</w:t>
            </w:r>
            <w:r w:rsidRPr="00A961B2">
              <w:rPr>
                <w:rFonts w:ascii="Times New Roman" w:hAnsi="Times New Roman" w:cs="Times New Roman"/>
              </w:rPr>
              <w:t>)</w:t>
            </w:r>
          </w:p>
        </w:tc>
      </w:tr>
    </w:tbl>
    <w:p w14:paraId="6E1087DD" w14:textId="77777777" w:rsidR="00B416B8" w:rsidRDefault="00B416B8" w:rsidP="00164D15">
      <w:pPr>
        <w:spacing w:line="480" w:lineRule="auto"/>
        <w:jc w:val="both"/>
        <w:rPr>
          <w:rFonts w:ascii="Times New Roman" w:hAnsi="Times New Roman" w:cs="Times New Roman"/>
        </w:rPr>
      </w:pPr>
    </w:p>
    <w:p w14:paraId="71ACEAF6" w14:textId="4C4960A9" w:rsidR="00164D15" w:rsidRDefault="00181C25" w:rsidP="00164D15">
      <w:pPr>
        <w:spacing w:line="480" w:lineRule="auto"/>
        <w:jc w:val="both"/>
        <w:rPr>
          <w:rFonts w:ascii="Times New Roman" w:hAnsi="Times New Roman" w:cs="Times New Roman"/>
        </w:rPr>
      </w:pPr>
      <w:r>
        <w:rPr>
          <w:rFonts w:ascii="Times New Roman" w:hAnsi="Times New Roman" w:cs="Times New Roman"/>
        </w:rPr>
        <w:t>In th</w:t>
      </w:r>
      <w:r w:rsidR="00EB12F1">
        <w:rPr>
          <w:rFonts w:ascii="Times New Roman" w:hAnsi="Times New Roman" w:cs="Times New Roman"/>
        </w:rPr>
        <w:t>e</w:t>
      </w:r>
      <w:r>
        <w:rPr>
          <w:rFonts w:ascii="Times New Roman" w:hAnsi="Times New Roman" w:cs="Times New Roman"/>
        </w:rPr>
        <w:t xml:space="preserve"> case </w:t>
      </w:r>
      <w:r w:rsidR="00EB12F1">
        <w:rPr>
          <w:rFonts w:ascii="Times New Roman" w:hAnsi="Times New Roman" w:cs="Times New Roman"/>
        </w:rPr>
        <w:t>where</w:t>
      </w:r>
      <w:r>
        <w:rPr>
          <w:rFonts w:ascii="Times New Roman" w:hAnsi="Times New Roman" w:cs="Times New Roman"/>
        </w:rPr>
        <w:t xml:space="preserve"> the target tracer is </w:t>
      </w:r>
      <w:r w:rsidR="001B2B1D">
        <w:rPr>
          <w:rFonts w:ascii="Times New Roman" w:hAnsi="Times New Roman" w:cs="Times New Roman"/>
        </w:rPr>
        <w:t xml:space="preserve">oxygen, the diffusion term at </w:t>
      </w:r>
      <w:r w:rsidR="00EB12F1">
        <w:rPr>
          <w:rFonts w:ascii="Times New Roman" w:hAnsi="Times New Roman" w:cs="Times New Roman"/>
        </w:rPr>
        <w:t xml:space="preserve">the </w:t>
      </w:r>
      <w:r w:rsidR="001B2B1D">
        <w:rPr>
          <w:rFonts w:ascii="Times New Roman" w:hAnsi="Times New Roman" w:cs="Times New Roman"/>
        </w:rPr>
        <w:t xml:space="preserve">sea surface corresponds to </w:t>
      </w:r>
      <w:r w:rsidR="006D1E5E">
        <w:rPr>
          <w:rFonts w:ascii="Times New Roman" w:hAnsi="Times New Roman" w:cs="Times New Roman"/>
        </w:rPr>
        <w:t xml:space="preserve">the </w:t>
      </w:r>
      <w:r w:rsidR="001B2B1D">
        <w:rPr>
          <w:rFonts w:ascii="Times New Roman" w:hAnsi="Times New Roman" w:cs="Times New Roman"/>
        </w:rPr>
        <w:t>a</w:t>
      </w:r>
      <w:r w:rsidR="00262BCF">
        <w:rPr>
          <w:rFonts w:ascii="Times New Roman" w:hAnsi="Times New Roman" w:cs="Times New Roman"/>
        </w:rPr>
        <w:t>ir</w:t>
      </w:r>
      <w:r w:rsidR="003567FE">
        <w:rPr>
          <w:rFonts w:ascii="Times New Roman" w:hAnsi="Times New Roman" w:cs="Times New Roman"/>
        </w:rPr>
        <w:t>–</w:t>
      </w:r>
      <w:r w:rsidR="001B2B1D">
        <w:rPr>
          <w:rFonts w:ascii="Times New Roman" w:hAnsi="Times New Roman" w:cs="Times New Roman"/>
        </w:rPr>
        <w:t xml:space="preserve">sea exchange of oxygen. Therefore, an equation for </w:t>
      </w:r>
      <w:r w:rsidR="00EB12F1">
        <w:rPr>
          <w:rFonts w:ascii="Times New Roman" w:hAnsi="Times New Roman" w:cs="Times New Roman"/>
        </w:rPr>
        <w:t xml:space="preserve">the </w:t>
      </w:r>
      <w:r w:rsidR="00532BE9">
        <w:rPr>
          <w:rFonts w:ascii="Times New Roman" w:hAnsi="Times New Roman" w:cs="Times New Roman"/>
        </w:rPr>
        <w:t xml:space="preserve">budget of </w:t>
      </w:r>
      <w:r w:rsidR="001B2B1D">
        <w:rPr>
          <w:rFonts w:ascii="Times New Roman" w:hAnsi="Times New Roman" w:cs="Times New Roman"/>
        </w:rPr>
        <w:t xml:space="preserve">the upper ocean </w:t>
      </w:r>
      <w:r w:rsidR="00FC1BE7">
        <w:rPr>
          <w:rFonts w:ascii="Times New Roman" w:hAnsi="Times New Roman" w:cs="Times New Roman"/>
        </w:rPr>
        <w:t>oxygen</w:t>
      </w:r>
      <w:r w:rsidR="001B2B1D">
        <w:rPr>
          <w:rFonts w:ascii="Times New Roman" w:hAnsi="Times New Roman" w:cs="Times New Roman"/>
        </w:rPr>
        <w:t xml:space="preserve"> </w:t>
      </w:r>
      <w:r w:rsidR="00532BE9">
        <w:rPr>
          <w:rFonts w:ascii="Times New Roman" w:hAnsi="Times New Roman" w:cs="Times New Roman"/>
        </w:rPr>
        <w:t>(</w:t>
      </w:r>
      <m:oMath>
        <m:sSub>
          <m:sSubPr>
            <m:ctrlPr>
              <w:rPr>
                <w:rFonts w:ascii="Cambria Math" w:hAnsi="Cambria Math" w:cs="Times New Roman"/>
                <w:iCs/>
              </w:rPr>
            </m:ctrlPr>
          </m:sSub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e>
          <m:sub>
            <m:r>
              <m:rPr>
                <m:sty m:val="p"/>
              </m:rPr>
              <w:rPr>
                <w:rFonts w:ascii="Cambria Math" w:hAnsi="Cambria Math" w:cs="Times New Roman"/>
              </w:rPr>
              <m:t>int</m:t>
            </m:r>
          </m:sub>
        </m:sSub>
      </m:oMath>
      <w:r w:rsidR="00532BE9">
        <w:rPr>
          <w:rFonts w:ascii="Times New Roman" w:hAnsi="Times New Roman" w:cs="Times New Roman"/>
        </w:rPr>
        <w:t xml:space="preserve">) </w:t>
      </w:r>
      <w:r w:rsidR="001B2B1D">
        <w:rPr>
          <w:rFonts w:ascii="Times New Roman" w:hAnsi="Times New Roman" w:cs="Times New Roman"/>
        </w:rPr>
        <w:t>can be written in the form</w:t>
      </w:r>
    </w:p>
    <w:p w14:paraId="514CF18E" w14:textId="77777777" w:rsidR="00B416B8" w:rsidRPr="00A961B2" w:rsidRDefault="00B416B8" w:rsidP="00164D15">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164D15" w:rsidRPr="00A961B2" w14:paraId="4633849C" w14:textId="77777777" w:rsidTr="00C6505D">
        <w:trPr>
          <w:trHeight w:val="481"/>
        </w:trPr>
        <w:tc>
          <w:tcPr>
            <w:tcW w:w="8364" w:type="dxa"/>
            <w:vAlign w:val="center"/>
          </w:tcPr>
          <w:p w14:paraId="11BED5E8" w14:textId="6075AFFF" w:rsidR="00164D15" w:rsidRPr="00A961B2" w:rsidRDefault="00000000" w:rsidP="00C6505D">
            <w:pPr>
              <w:spacing w:line="480" w:lineRule="auto"/>
              <w:jc w:val="center"/>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Cs/>
                        </w:rPr>
                      </m:ctrlPr>
                    </m:sSub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e>
                    <m:sub>
                      <m:r>
                        <m:rPr>
                          <m:sty m:val="p"/>
                        </m:rPr>
                        <w:rPr>
                          <w:rFonts w:ascii="Cambria Math" w:hAnsi="Cambria Math" w:cs="Times New Roman"/>
                        </w:rPr>
                        <m:t>int</m:t>
                      </m:r>
                    </m:sub>
                  </m:sSub>
                </m:num>
                <m:den>
                  <m:r>
                    <w:rPr>
                      <w:rFonts w:ascii="Cambria Math" w:hAnsi="Cambria Math" w:cs="Times New Roman"/>
                    </w:rPr>
                    <m:t>∂t</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vDIFF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ADV</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hDIFF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NCP</m:t>
                  </m:r>
                </m:sub>
              </m:sSub>
            </m:oMath>
            <w:r w:rsidR="001B2B1D">
              <w:rPr>
                <w:rFonts w:ascii="Times New Roman" w:hAnsi="Times New Roman" w:cs="Times New Roman" w:hint="eastAsia"/>
              </w:rPr>
              <w:t>,</w:t>
            </w:r>
          </w:p>
        </w:tc>
        <w:tc>
          <w:tcPr>
            <w:tcW w:w="680" w:type="dxa"/>
            <w:vAlign w:val="center"/>
          </w:tcPr>
          <w:p w14:paraId="6120E664" w14:textId="5B129FAB" w:rsidR="00164D15" w:rsidRPr="00A961B2" w:rsidRDefault="00164D15" w:rsidP="00C6505D">
            <w:pPr>
              <w:spacing w:line="480" w:lineRule="auto"/>
              <w:jc w:val="center"/>
              <w:rPr>
                <w:rFonts w:ascii="Times New Roman" w:hAnsi="Times New Roman" w:cs="Times New Roman"/>
              </w:rPr>
            </w:pPr>
            <w:r w:rsidRPr="00A961B2">
              <w:rPr>
                <w:rFonts w:ascii="Times New Roman" w:hAnsi="Times New Roman" w:cs="Times New Roman"/>
              </w:rPr>
              <w:t>(1</w:t>
            </w:r>
            <w:r w:rsidR="001B2B1D">
              <w:rPr>
                <w:rFonts w:ascii="Times New Roman" w:hAnsi="Times New Roman" w:cs="Times New Roman"/>
              </w:rPr>
              <w:t>1</w:t>
            </w:r>
            <w:r w:rsidRPr="00A961B2">
              <w:rPr>
                <w:rFonts w:ascii="Times New Roman" w:hAnsi="Times New Roman" w:cs="Times New Roman"/>
              </w:rPr>
              <w:t>)</w:t>
            </w:r>
          </w:p>
        </w:tc>
      </w:tr>
    </w:tbl>
    <w:p w14:paraId="256B49CF" w14:textId="77777777" w:rsidR="00B416B8" w:rsidRDefault="00B416B8" w:rsidP="00B8767A">
      <w:pPr>
        <w:spacing w:line="480" w:lineRule="auto"/>
        <w:jc w:val="both"/>
        <w:rPr>
          <w:rFonts w:ascii="Times New Roman" w:hAnsi="Times New Roman" w:cs="Times New Roman"/>
        </w:rPr>
      </w:pPr>
    </w:p>
    <w:p w14:paraId="394ABB8A" w14:textId="70A2C2B4" w:rsidR="00177153" w:rsidRPr="00A961B2" w:rsidRDefault="001B2B1D" w:rsidP="00B8767A">
      <w:pPr>
        <w:spacing w:line="480" w:lineRule="auto"/>
        <w:jc w:val="both"/>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hich indicates that </w:t>
      </w:r>
      <w:r w:rsidR="00EB12F1">
        <w:rPr>
          <w:rFonts w:ascii="Times New Roman" w:hAnsi="Times New Roman" w:cs="Times New Roman"/>
        </w:rPr>
        <w:t xml:space="preserve">changes in </w:t>
      </w:r>
      <w:r>
        <w:rPr>
          <w:rFonts w:ascii="Times New Roman" w:hAnsi="Times New Roman" w:cs="Times New Roman"/>
        </w:rPr>
        <w:t xml:space="preserve">upper ocean oxygen </w:t>
      </w:r>
      <w:r w:rsidR="00EB12F1">
        <w:rPr>
          <w:rFonts w:ascii="Times New Roman" w:hAnsi="Times New Roman" w:cs="Times New Roman"/>
        </w:rPr>
        <w:t>result from</w:t>
      </w:r>
      <w:r>
        <w:rPr>
          <w:rFonts w:ascii="Times New Roman" w:hAnsi="Times New Roman" w:cs="Times New Roman"/>
        </w:rPr>
        <w:t xml:space="preserve"> air</w:t>
      </w:r>
      <w:r w:rsidR="003567FE">
        <w:rPr>
          <w:rFonts w:ascii="Times New Roman" w:hAnsi="Times New Roman" w:cs="Times New Roman"/>
        </w:rPr>
        <w:t>–</w:t>
      </w:r>
      <w:r>
        <w:rPr>
          <w:rFonts w:ascii="Times New Roman" w:hAnsi="Times New Roman" w:cs="Times New Roman"/>
        </w:rPr>
        <w:t>sea oxygen exchange (</w:t>
      </w:r>
      <w:r w:rsidRPr="001B2B1D">
        <w:rPr>
          <w:rFonts w:ascii="Times New Roman" w:hAnsi="Times New Roman" w:cs="Times New Roman"/>
          <w:i/>
          <w:iCs/>
        </w:rPr>
        <w:t>F</w:t>
      </w:r>
      <w:r w:rsidRPr="001B2B1D">
        <w:rPr>
          <w:rFonts w:ascii="Times New Roman" w:hAnsi="Times New Roman" w:cs="Times New Roman"/>
          <w:i/>
          <w:iCs/>
          <w:vertAlign w:val="subscript"/>
        </w:rPr>
        <w:t>A</w:t>
      </w:r>
      <w:r w:rsidR="003567FE">
        <w:rPr>
          <w:rFonts w:ascii="Times New Roman" w:hAnsi="Times New Roman" w:cs="Times New Roman"/>
          <w:i/>
          <w:iCs/>
          <w:vertAlign w:val="subscript"/>
        </w:rPr>
        <w:t>–</w:t>
      </w:r>
      <w:r w:rsidRPr="001B2B1D">
        <w:rPr>
          <w:rFonts w:ascii="Times New Roman" w:hAnsi="Times New Roman" w:cs="Times New Roman"/>
          <w:i/>
          <w:iCs/>
          <w:vertAlign w:val="subscript"/>
        </w:rPr>
        <w:t>S</w:t>
      </w:r>
      <w:r>
        <w:rPr>
          <w:rFonts w:ascii="Times New Roman" w:hAnsi="Times New Roman" w:cs="Times New Roman"/>
        </w:rPr>
        <w:t xml:space="preserve">), vertical eddy diffusion of oxygen at the lower boundary depth </w:t>
      </w:r>
      <w:r w:rsidRPr="001B2B1D">
        <w:rPr>
          <w:rFonts w:ascii="Times New Roman" w:hAnsi="Times New Roman" w:cs="Times New Roman"/>
          <w:i/>
          <w:iCs/>
        </w:rPr>
        <w:t>H</w:t>
      </w:r>
      <w:r>
        <w:rPr>
          <w:rFonts w:ascii="Times New Roman" w:hAnsi="Times New Roman" w:cs="Times New Roman"/>
        </w:rPr>
        <w:t xml:space="preserve"> (</w:t>
      </w:r>
      <w:proofErr w:type="spellStart"/>
      <w:r w:rsidRPr="001B2B1D">
        <w:rPr>
          <w:rFonts w:ascii="Times New Roman" w:hAnsi="Times New Roman" w:cs="Times New Roman"/>
          <w:i/>
          <w:iCs/>
        </w:rPr>
        <w:t>F</w:t>
      </w:r>
      <w:r w:rsidRPr="001B2B1D">
        <w:rPr>
          <w:rFonts w:ascii="Times New Roman" w:hAnsi="Times New Roman" w:cs="Times New Roman"/>
          <w:i/>
          <w:iCs/>
          <w:vertAlign w:val="subscript"/>
        </w:rPr>
        <w:t>vDIFF</w:t>
      </w:r>
      <w:proofErr w:type="spellEnd"/>
      <w:r>
        <w:rPr>
          <w:rFonts w:ascii="Times New Roman" w:hAnsi="Times New Roman" w:cs="Times New Roman"/>
        </w:rPr>
        <w:t>), advection of oxygen (</w:t>
      </w:r>
      <w:r w:rsidRPr="001B2B1D">
        <w:rPr>
          <w:rFonts w:ascii="Times New Roman" w:hAnsi="Times New Roman" w:cs="Times New Roman"/>
          <w:i/>
          <w:iCs/>
        </w:rPr>
        <w:t>F</w:t>
      </w:r>
      <w:r>
        <w:rPr>
          <w:rFonts w:ascii="Times New Roman" w:hAnsi="Times New Roman" w:cs="Times New Roman"/>
          <w:i/>
          <w:iCs/>
          <w:vertAlign w:val="subscript"/>
        </w:rPr>
        <w:t>ADV</w:t>
      </w:r>
      <w:r>
        <w:rPr>
          <w:rFonts w:ascii="Times New Roman" w:hAnsi="Times New Roman" w:cs="Times New Roman"/>
        </w:rPr>
        <w:t>),</w:t>
      </w:r>
      <w:r w:rsidR="0015324B">
        <w:rPr>
          <w:rFonts w:ascii="Times New Roman" w:hAnsi="Times New Roman" w:cs="Times New Roman"/>
        </w:rPr>
        <w:t xml:space="preserve"> </w:t>
      </w:r>
      <w:r>
        <w:rPr>
          <w:rFonts w:ascii="Times New Roman" w:hAnsi="Times New Roman" w:cs="Times New Roman"/>
        </w:rPr>
        <w:t>horizontal eddy diffusion of oxygen (</w:t>
      </w:r>
      <w:proofErr w:type="spellStart"/>
      <w:r w:rsidRPr="001B2B1D">
        <w:rPr>
          <w:rFonts w:ascii="Times New Roman" w:hAnsi="Times New Roman" w:cs="Times New Roman"/>
          <w:i/>
          <w:iCs/>
        </w:rPr>
        <w:t>F</w:t>
      </w:r>
      <w:r>
        <w:rPr>
          <w:rFonts w:ascii="Times New Roman" w:hAnsi="Times New Roman" w:cs="Times New Roman"/>
          <w:i/>
          <w:iCs/>
          <w:vertAlign w:val="subscript"/>
        </w:rPr>
        <w:t>h</w:t>
      </w:r>
      <w:r w:rsidRPr="001B2B1D">
        <w:rPr>
          <w:rFonts w:ascii="Times New Roman" w:hAnsi="Times New Roman" w:cs="Times New Roman"/>
          <w:i/>
          <w:iCs/>
          <w:vertAlign w:val="subscript"/>
        </w:rPr>
        <w:t>DIFF</w:t>
      </w:r>
      <w:proofErr w:type="spellEnd"/>
      <w:r>
        <w:rPr>
          <w:rFonts w:ascii="Times New Roman" w:hAnsi="Times New Roman" w:cs="Times New Roman"/>
        </w:rPr>
        <w:t>)</w:t>
      </w:r>
      <w:r w:rsidR="0015324B">
        <w:rPr>
          <w:rFonts w:ascii="Times New Roman" w:hAnsi="Times New Roman" w:cs="Times New Roman"/>
        </w:rPr>
        <w:t>, and net biological oxygen production (</w:t>
      </w:r>
      <w:r w:rsidR="0015324B" w:rsidRPr="001B2B1D">
        <w:rPr>
          <w:rFonts w:ascii="Times New Roman" w:hAnsi="Times New Roman" w:cs="Times New Roman"/>
          <w:i/>
          <w:iCs/>
        </w:rPr>
        <w:t>F</w:t>
      </w:r>
      <w:r w:rsidR="0015324B">
        <w:rPr>
          <w:rFonts w:ascii="Times New Roman" w:hAnsi="Times New Roman" w:cs="Times New Roman"/>
          <w:i/>
          <w:iCs/>
          <w:vertAlign w:val="subscript"/>
        </w:rPr>
        <w:t>NCP</w:t>
      </w:r>
      <w:r w:rsidR="0015324B">
        <w:rPr>
          <w:rFonts w:ascii="Times New Roman" w:hAnsi="Times New Roman" w:cs="Times New Roman"/>
        </w:rPr>
        <w:t>)</w:t>
      </w:r>
      <w:r w:rsidR="00A570EE">
        <w:rPr>
          <w:rFonts w:ascii="Times New Roman" w:hAnsi="Times New Roman" w:cs="Times New Roman"/>
        </w:rPr>
        <w:t>.</w:t>
      </w:r>
    </w:p>
    <w:p w14:paraId="6D991671" w14:textId="77777777" w:rsidR="00177153" w:rsidRPr="00A961B2" w:rsidRDefault="00177153">
      <w:pPr>
        <w:rPr>
          <w:rFonts w:ascii="Times New Roman" w:hAnsi="Times New Roman" w:cs="Times New Roman"/>
        </w:rPr>
      </w:pPr>
      <w:r w:rsidRPr="00A961B2">
        <w:rPr>
          <w:rFonts w:ascii="Times New Roman" w:hAnsi="Times New Roman" w:cs="Times New Roman"/>
        </w:rPr>
        <w:br w:type="page"/>
      </w:r>
    </w:p>
    <w:p w14:paraId="6CF57094" w14:textId="21776C35" w:rsidR="00177153" w:rsidRPr="00A961B2" w:rsidRDefault="00177153" w:rsidP="00177153">
      <w:pPr>
        <w:spacing w:line="480" w:lineRule="auto"/>
        <w:jc w:val="both"/>
        <w:rPr>
          <w:rFonts w:ascii="Times New Roman" w:hAnsi="Times New Roman" w:cs="Times New Roman"/>
          <w:b/>
          <w:bCs/>
        </w:rPr>
      </w:pPr>
      <w:r w:rsidRPr="00A961B2">
        <w:rPr>
          <w:rFonts w:ascii="Times New Roman" w:hAnsi="Times New Roman" w:cs="Times New Roman"/>
          <w:b/>
          <w:bCs/>
          <w:color w:val="000000" w:themeColor="text1"/>
        </w:rPr>
        <w:lastRenderedPageBreak/>
        <w:t>Note</w:t>
      </w:r>
      <w:r w:rsidR="003173AD">
        <w:rPr>
          <w:rFonts w:ascii="Times New Roman" w:hAnsi="Times New Roman" w:cs="Times New Roman"/>
          <w:b/>
          <w:bCs/>
          <w:color w:val="000000" w:themeColor="text1"/>
        </w:rPr>
        <w:t xml:space="preserve"> 2</w:t>
      </w:r>
      <w:r w:rsidR="0094584A">
        <w:rPr>
          <w:rFonts w:ascii="Times New Roman" w:hAnsi="Times New Roman" w:cs="Times New Roman"/>
          <w:b/>
          <w:bCs/>
          <w:color w:val="000000" w:themeColor="text1"/>
        </w:rPr>
        <w:t xml:space="preserve"> |</w:t>
      </w:r>
      <w:r w:rsidRPr="00A961B2">
        <w:rPr>
          <w:rFonts w:ascii="Times New Roman" w:hAnsi="Times New Roman" w:cs="Times New Roman"/>
          <w:b/>
          <w:bCs/>
          <w:color w:val="000000" w:themeColor="text1"/>
        </w:rPr>
        <w:t xml:space="preserve"> </w:t>
      </w:r>
      <w:r w:rsidR="00A861FB">
        <w:rPr>
          <w:rFonts w:ascii="Times New Roman" w:hAnsi="Times New Roman" w:cs="Times New Roman"/>
          <w:b/>
          <w:bCs/>
          <w:color w:val="000000" w:themeColor="text1"/>
        </w:rPr>
        <w:t>Model</w:t>
      </w:r>
      <w:r w:rsidR="003173AD">
        <w:rPr>
          <w:rFonts w:ascii="Times New Roman" w:hAnsi="Times New Roman" w:cs="Times New Roman"/>
          <w:b/>
          <w:bCs/>
          <w:color w:val="000000" w:themeColor="text1"/>
        </w:rPr>
        <w:t xml:space="preserve"> </w:t>
      </w:r>
      <w:r w:rsidR="00280DDB">
        <w:rPr>
          <w:rFonts w:ascii="Times New Roman" w:hAnsi="Times New Roman" w:cs="Times New Roman"/>
          <w:b/>
          <w:bCs/>
          <w:color w:val="000000" w:themeColor="text1"/>
        </w:rPr>
        <w:t>and choices of parameter</w:t>
      </w:r>
      <w:r w:rsidR="00F6377A">
        <w:rPr>
          <w:rFonts w:ascii="Times New Roman" w:hAnsi="Times New Roman" w:cs="Times New Roman"/>
          <w:b/>
          <w:bCs/>
          <w:color w:val="000000" w:themeColor="text1"/>
        </w:rPr>
        <w:t>s</w:t>
      </w:r>
      <w:r w:rsidR="00280DDB">
        <w:rPr>
          <w:rFonts w:ascii="Times New Roman" w:hAnsi="Times New Roman" w:cs="Times New Roman"/>
          <w:b/>
          <w:bCs/>
          <w:color w:val="000000" w:themeColor="text1"/>
        </w:rPr>
        <w:t xml:space="preserve"> </w:t>
      </w:r>
      <w:r w:rsidR="003173AD">
        <w:rPr>
          <w:rFonts w:ascii="Times New Roman" w:hAnsi="Times New Roman" w:cs="Times New Roman"/>
          <w:b/>
          <w:bCs/>
          <w:color w:val="000000" w:themeColor="text1"/>
        </w:rPr>
        <w:t xml:space="preserve">for </w:t>
      </w:r>
      <w:r w:rsidR="00A861FB">
        <w:rPr>
          <w:rFonts w:ascii="Times New Roman" w:hAnsi="Times New Roman" w:cs="Times New Roman"/>
          <w:b/>
          <w:bCs/>
          <w:color w:val="000000" w:themeColor="text1"/>
        </w:rPr>
        <w:t xml:space="preserve">estimating </w:t>
      </w:r>
      <w:r w:rsidR="003173AD">
        <w:rPr>
          <w:rFonts w:ascii="Times New Roman" w:hAnsi="Times New Roman" w:cs="Times New Roman"/>
          <w:b/>
          <w:bCs/>
          <w:color w:val="000000" w:themeColor="text1"/>
        </w:rPr>
        <w:t>air</w:t>
      </w:r>
      <w:r w:rsidR="003567FE">
        <w:rPr>
          <w:rFonts w:ascii="Times New Roman" w:hAnsi="Times New Roman" w:cs="Times New Roman"/>
          <w:b/>
          <w:bCs/>
          <w:color w:val="000000" w:themeColor="text1"/>
        </w:rPr>
        <w:t>–</w:t>
      </w:r>
      <w:r w:rsidR="003173AD">
        <w:rPr>
          <w:rFonts w:ascii="Times New Roman" w:hAnsi="Times New Roman" w:cs="Times New Roman"/>
          <w:b/>
          <w:bCs/>
          <w:color w:val="000000" w:themeColor="text1"/>
        </w:rPr>
        <w:t>sea oxygen exchange</w:t>
      </w:r>
    </w:p>
    <w:p w14:paraId="26AEAFDF" w14:textId="2BB4DC54" w:rsidR="00164D15" w:rsidRPr="00F066A2" w:rsidRDefault="00D01705" w:rsidP="00B8767A">
      <w:pPr>
        <w:spacing w:line="480" w:lineRule="auto"/>
        <w:jc w:val="both"/>
        <w:rPr>
          <w:rFonts w:ascii="Times New Roman" w:hAnsi="Times New Roman" w:cs="Times New Roman"/>
          <w:u w:val="dash"/>
        </w:rPr>
      </w:pPr>
      <w:r>
        <w:rPr>
          <w:rFonts w:ascii="Times New Roman" w:hAnsi="Times New Roman" w:cs="Times New Roman"/>
        </w:rPr>
        <w:t>W</w:t>
      </w:r>
      <w:r w:rsidR="00A861FB">
        <w:rPr>
          <w:rFonts w:ascii="Times New Roman" w:hAnsi="Times New Roman" w:cs="Times New Roman"/>
        </w:rPr>
        <w:t>e use</w:t>
      </w:r>
      <w:r w:rsidR="00001D5F">
        <w:rPr>
          <w:rFonts w:ascii="Times New Roman" w:hAnsi="Times New Roman" w:cs="Times New Roman"/>
        </w:rPr>
        <w:t>d</w:t>
      </w:r>
      <w:r w:rsidR="00A861FB">
        <w:rPr>
          <w:rFonts w:ascii="Times New Roman" w:hAnsi="Times New Roman" w:cs="Times New Roman"/>
        </w:rPr>
        <w:t xml:space="preserve"> </w:t>
      </w:r>
      <w:r w:rsidR="00B34ED3">
        <w:rPr>
          <w:rFonts w:ascii="Times New Roman" w:hAnsi="Times New Roman" w:cs="Times New Roman"/>
        </w:rPr>
        <w:t xml:space="preserve">a model </w:t>
      </w:r>
      <w:r w:rsidR="00D57563">
        <w:rPr>
          <w:rFonts w:ascii="Times New Roman" w:hAnsi="Times New Roman" w:cs="Times New Roman"/>
        </w:rPr>
        <w:t xml:space="preserve">developed by </w:t>
      </w:r>
      <w:r w:rsidR="0047559A">
        <w:rPr>
          <w:rFonts w:ascii="Times New Roman" w:hAnsi="Times New Roman" w:cs="Times New Roman"/>
        </w:rPr>
        <w:fldChar w:fldCharType="begin"/>
      </w:r>
      <w:r w:rsidR="00F066A2">
        <w:rPr>
          <w:rFonts w:ascii="Times New Roman" w:hAnsi="Times New Roman" w:cs="Times New Roman"/>
        </w:rPr>
        <w:instrText xml:space="preserve"> ADDIN ZOTERO_ITEM CSL_CITATION {"citationID":"a19srphcv5j","properties":{"formattedCitation":"(Liang et al. 2013)","plainCitation":"(Liang et al. 2013)","dontUpdate":true,"noteIndex":0},"citationItems":[{"id":1676,"uris":["http://zotero.org/users/7846282/items/NBZGTM6Q"],"itemData":{"id":1676,"type":"article-journal","container-title":"Global Biogeochemical Cycles","DOI":"10.1002/gbc.20080","ISSN":"08866236","issue":"3","journalAbbreviation":"Global Biogeochem. Cycles","language":"en","page":"894-905","source":"DOI.org (Crossref)","title":"Parameterizing bubble-mediated air-sea gas exchange and its effect on ocean ventilation: BUBBLE-INDUCED SUPERSATURATION","title-short":"Parameterizing bubble-mediated air-sea gas exchange and its effect on ocean ventilation","volume":"27","author":[{"family":"Liang","given":"Jun-Hong"},{"family":"Deutsch","given":"Curtis"},{"family":"McWilliams","given":"James C."},{"family":"Baschek","given":"Burkard"},{"family":"Sullivan","given":"Peter P."},{"family":"Chiba","given":"David"}],"issued":{"date-parts":[["2013",9]]}}}],"schema":"https://github.com/citation-style-language/schema/raw/master/csl-citation.json"} </w:instrText>
      </w:r>
      <w:r w:rsidR="0047559A">
        <w:rPr>
          <w:rFonts w:ascii="Times New Roman" w:hAnsi="Times New Roman" w:cs="Times New Roman"/>
        </w:rPr>
        <w:fldChar w:fldCharType="separate"/>
      </w:r>
      <w:r w:rsidR="00F066A2" w:rsidRPr="00F066A2">
        <w:rPr>
          <w:rFonts w:ascii="Times New Roman" w:hAnsi="Times New Roman" w:cs="Times New Roman"/>
        </w:rPr>
        <w:t xml:space="preserve">Liang et al. </w:t>
      </w:r>
      <w:r w:rsidR="00F066A2">
        <w:rPr>
          <w:rFonts w:ascii="Times New Roman" w:hAnsi="Times New Roman" w:cs="Times New Roman"/>
        </w:rPr>
        <w:t>(</w:t>
      </w:r>
      <w:r w:rsidR="00F066A2" w:rsidRPr="00F066A2">
        <w:rPr>
          <w:rFonts w:ascii="Times New Roman" w:hAnsi="Times New Roman" w:cs="Times New Roman"/>
        </w:rPr>
        <w:t>2013)</w:t>
      </w:r>
      <w:r w:rsidR="0047559A">
        <w:rPr>
          <w:rFonts w:ascii="Times New Roman" w:hAnsi="Times New Roman" w:cs="Times New Roman"/>
        </w:rPr>
        <w:fldChar w:fldCharType="end"/>
      </w:r>
      <w:r>
        <w:rPr>
          <w:rFonts w:ascii="Times New Roman" w:hAnsi="Times New Roman" w:cs="Times New Roman"/>
        </w:rPr>
        <w:t xml:space="preserve"> to estimate </w:t>
      </w:r>
      <w:r w:rsidR="00D57563">
        <w:rPr>
          <w:rFonts w:ascii="Times New Roman" w:hAnsi="Times New Roman" w:cs="Times New Roman"/>
        </w:rPr>
        <w:t>air</w:t>
      </w:r>
      <w:r w:rsidR="003567FE">
        <w:rPr>
          <w:rFonts w:ascii="Times New Roman" w:hAnsi="Times New Roman" w:cs="Times New Roman"/>
        </w:rPr>
        <w:t>–</w:t>
      </w:r>
      <w:r w:rsidR="00D57563">
        <w:rPr>
          <w:rFonts w:ascii="Times New Roman" w:hAnsi="Times New Roman" w:cs="Times New Roman"/>
        </w:rPr>
        <w:t>sea oxygen exchange from sea surface dissolved oxygen</w:t>
      </w:r>
      <w:r w:rsidR="00001D5F">
        <w:rPr>
          <w:rFonts w:ascii="Times New Roman" w:hAnsi="Times New Roman" w:cs="Times New Roman"/>
        </w:rPr>
        <w:t xml:space="preserve"> concentrations</w:t>
      </w:r>
      <w:r w:rsidR="00D57563">
        <w:rPr>
          <w:rFonts w:ascii="Times New Roman" w:hAnsi="Times New Roman" w:cs="Times New Roman"/>
        </w:rPr>
        <w:t>, temperature</w:t>
      </w:r>
      <w:r w:rsidR="00E04AC0">
        <w:rPr>
          <w:rFonts w:ascii="Times New Roman" w:hAnsi="Times New Roman" w:cs="Times New Roman"/>
        </w:rPr>
        <w:t>/</w:t>
      </w:r>
      <w:r w:rsidR="00D57563">
        <w:rPr>
          <w:rFonts w:ascii="Times New Roman" w:hAnsi="Times New Roman" w:cs="Times New Roman"/>
        </w:rPr>
        <w:t>salinity data</w:t>
      </w:r>
      <w:r w:rsidR="00001D5F">
        <w:rPr>
          <w:rFonts w:ascii="Times New Roman" w:hAnsi="Times New Roman" w:cs="Times New Roman"/>
        </w:rPr>
        <w:t>,</w:t>
      </w:r>
      <w:r w:rsidR="00D57563">
        <w:rPr>
          <w:rFonts w:ascii="Times New Roman" w:hAnsi="Times New Roman" w:cs="Times New Roman"/>
        </w:rPr>
        <w:t xml:space="preserve"> and sea surface wind speed products. Th</w:t>
      </w:r>
      <w:r w:rsidR="00953A5D">
        <w:rPr>
          <w:rFonts w:ascii="Times New Roman" w:hAnsi="Times New Roman" w:cs="Times New Roman"/>
        </w:rPr>
        <w:t>is</w:t>
      </w:r>
      <w:r w:rsidR="00D57563">
        <w:rPr>
          <w:rFonts w:ascii="Times New Roman" w:hAnsi="Times New Roman" w:cs="Times New Roman"/>
        </w:rPr>
        <w:t xml:space="preserve"> model is one of </w:t>
      </w:r>
      <w:r w:rsidR="00A861FB">
        <w:rPr>
          <w:rFonts w:ascii="Times New Roman" w:hAnsi="Times New Roman" w:cs="Times New Roman"/>
        </w:rPr>
        <w:t>th</w:t>
      </w:r>
      <w:r w:rsidR="00001D5F">
        <w:rPr>
          <w:rFonts w:ascii="Times New Roman" w:hAnsi="Times New Roman" w:cs="Times New Roman"/>
        </w:rPr>
        <w:t>os</w:t>
      </w:r>
      <w:r w:rsidR="00A861FB">
        <w:rPr>
          <w:rFonts w:ascii="Times New Roman" w:hAnsi="Times New Roman" w:cs="Times New Roman"/>
        </w:rPr>
        <w:t xml:space="preserve">e developed to </w:t>
      </w:r>
      <w:r w:rsidR="00D57563">
        <w:rPr>
          <w:rFonts w:ascii="Times New Roman" w:hAnsi="Times New Roman" w:cs="Times New Roman"/>
        </w:rPr>
        <w:t xml:space="preserve">explicitly </w:t>
      </w:r>
      <w:r w:rsidR="00A861FB">
        <w:rPr>
          <w:rFonts w:ascii="Times New Roman" w:hAnsi="Times New Roman" w:cs="Times New Roman"/>
        </w:rPr>
        <w:t>represent the role of bubbles in air</w:t>
      </w:r>
      <w:r w:rsidR="003567FE">
        <w:rPr>
          <w:rFonts w:ascii="Times New Roman" w:hAnsi="Times New Roman" w:cs="Times New Roman"/>
        </w:rPr>
        <w:t>–</w:t>
      </w:r>
      <w:r w:rsidR="00A861FB">
        <w:rPr>
          <w:rFonts w:ascii="Times New Roman" w:hAnsi="Times New Roman" w:cs="Times New Roman"/>
        </w:rPr>
        <w:t xml:space="preserve">sea </w:t>
      </w:r>
      <w:r w:rsidR="00D57563">
        <w:rPr>
          <w:rFonts w:ascii="Times New Roman" w:hAnsi="Times New Roman" w:cs="Times New Roman"/>
        </w:rPr>
        <w:t xml:space="preserve">gas </w:t>
      </w:r>
      <w:r w:rsidR="00A861FB">
        <w:rPr>
          <w:rFonts w:ascii="Times New Roman" w:hAnsi="Times New Roman" w:cs="Times New Roman"/>
        </w:rPr>
        <w:t>exchange</w:t>
      </w:r>
      <w:r w:rsidR="00001D5F">
        <w:rPr>
          <w:rFonts w:ascii="Times New Roman" w:hAnsi="Times New Roman" w:cs="Times New Roman"/>
        </w:rPr>
        <w:t>,</w:t>
      </w:r>
      <w:r w:rsidR="00D57563">
        <w:rPr>
          <w:rFonts w:ascii="Times New Roman" w:hAnsi="Times New Roman" w:cs="Times New Roman"/>
        </w:rPr>
        <w:t xml:space="preserve"> and </w:t>
      </w:r>
      <w:r w:rsidR="00001D5F">
        <w:rPr>
          <w:rFonts w:ascii="Times New Roman" w:hAnsi="Times New Roman" w:cs="Times New Roman"/>
        </w:rPr>
        <w:t xml:space="preserve">was </w:t>
      </w:r>
      <w:r w:rsidR="00D57563">
        <w:rPr>
          <w:rFonts w:ascii="Times New Roman" w:hAnsi="Times New Roman" w:cs="Times New Roman"/>
        </w:rPr>
        <w:t>validated</w:t>
      </w:r>
      <w:r w:rsidR="00BF5BD5">
        <w:rPr>
          <w:rFonts w:ascii="Times New Roman" w:hAnsi="Times New Roman" w:cs="Times New Roman"/>
        </w:rPr>
        <w:t xml:space="preserve"> </w:t>
      </w:r>
      <w:r w:rsidR="00D57563">
        <w:rPr>
          <w:rFonts w:ascii="Times New Roman" w:hAnsi="Times New Roman" w:cs="Times New Roman"/>
        </w:rPr>
        <w:t>by compari</w:t>
      </w:r>
      <w:r w:rsidR="00953A5D">
        <w:rPr>
          <w:rFonts w:ascii="Times New Roman" w:hAnsi="Times New Roman" w:cs="Times New Roman"/>
        </w:rPr>
        <w:t>so</w:t>
      </w:r>
      <w:r w:rsidR="00D57563">
        <w:rPr>
          <w:rFonts w:ascii="Times New Roman" w:hAnsi="Times New Roman" w:cs="Times New Roman"/>
        </w:rPr>
        <w:t>n with direct field measurements of air</w:t>
      </w:r>
      <w:r w:rsidR="003567FE">
        <w:rPr>
          <w:rFonts w:ascii="Times New Roman" w:hAnsi="Times New Roman" w:cs="Times New Roman"/>
        </w:rPr>
        <w:t>–</w:t>
      </w:r>
      <w:r w:rsidR="00D57563">
        <w:rPr>
          <w:rFonts w:ascii="Times New Roman" w:hAnsi="Times New Roman" w:cs="Times New Roman"/>
        </w:rPr>
        <w:t>sea novel gas exchanges</w:t>
      </w:r>
      <w:r w:rsidR="007E65BC">
        <w:rPr>
          <w:rFonts w:ascii="Times New Roman" w:hAnsi="Times New Roman" w:cs="Times New Roman"/>
        </w:rPr>
        <w:t xml:space="preserve"> </w:t>
      </w:r>
      <w:r w:rsidR="007E65BC">
        <w:rPr>
          <w:rFonts w:ascii="Times New Roman" w:hAnsi="Times New Roman" w:cs="Times New Roman"/>
        </w:rPr>
        <w:fldChar w:fldCharType="begin"/>
      </w:r>
      <w:r w:rsidR="007E65BC">
        <w:rPr>
          <w:rFonts w:ascii="Times New Roman" w:hAnsi="Times New Roman" w:cs="Times New Roman"/>
        </w:rPr>
        <w:instrText xml:space="preserve"> ADDIN ZOTERO_ITEM CSL_CITATION {"citationID":"a1jpfcg0lfs","properties":{"formattedCitation":"(Emerson and Bushinsky 2016)","plainCitation":"(Emerson and Bushinsky 2016)","noteIndex":0},"citationItems":[{"id":1685,"uris":["http://zotero.org/users/7846282/items/UISJL43U"],"itemData":{"id":1685,"type":"article-journal","abstract":"The potential for using the air-sea exchange rate of oxygen as a tracer for net community biological production in the ocean is greatly enhanced by recent accuracy improvements for in situ measurements of oxygen on unmanned platforms. A limiting factor for determining the exchange process is evaluating the air-sea ﬂux contributed by bubble processes produced by breaking waves, particularly during winter months under high winds. Highly accurate measurements of noble gases (Ne, Ar &amp; Kr) and nitrogen, N2, in seawater are tracers of the importance of bubble process in the surface mixed layer. We use measured distributions of these gases in the ventilated thermocline of the North Paciﬁc and an annual time series of N2 in the surface ocean of the NE Subarctic Paciﬁc to evaluate four different air-water exchange models chosen to represent the range of model interpretation of bubble processes. We ﬁnd that models must have an explicit bubble mechanism to reproduce concentrations of insoluble atmospheric gases, but there are periods when they all depart from observations. The recent model of Liang et al. (2013) stems from a highly resolved model of bubble plumes and categorizes bubble mechanisms into those that are small enough to collapse and larger ones that exchange gases before they resurface, both of which are necessary to explain the data.","container-title":"Journal of Geophysical Research: Oceans","DOI":"10.1002/2016JC011744","ISSN</w:instrText>
      </w:r>
      <w:r w:rsidR="007E65BC">
        <w:rPr>
          <w:rFonts w:ascii="Times New Roman" w:hAnsi="Times New Roman" w:cs="Times New Roman" w:hint="eastAsia"/>
        </w:rPr>
        <w:instrText>":"2169-9275, 2169-9291","issue":"6","journalAbbreviation":"J. Geophys. Res. Oceans","language":"en","page":"4360-4376","source":"DOI.org (Crossref)","title":"The role of bubbles during air</w:instrText>
      </w:r>
      <w:r w:rsidR="007E65BC">
        <w:rPr>
          <w:rFonts w:ascii="Times New Roman" w:hAnsi="Times New Roman" w:cs="Times New Roman" w:hint="eastAsia"/>
        </w:rPr>
        <w:instrText>‐</w:instrText>
      </w:r>
      <w:r w:rsidR="007E65BC">
        <w:rPr>
          <w:rFonts w:ascii="Times New Roman" w:hAnsi="Times New Roman" w:cs="Times New Roman" w:hint="eastAsia"/>
        </w:rPr>
        <w:instrText>sea gas exchange","volume":"121","author":[{"family":"Emerson","g</w:instrText>
      </w:r>
      <w:r w:rsidR="007E65BC">
        <w:rPr>
          <w:rFonts w:ascii="Times New Roman" w:hAnsi="Times New Roman" w:cs="Times New Roman"/>
        </w:rPr>
        <w:instrText xml:space="preserve">iven":"Steven"},{"family":"Bushinsky","given":"Seth"}],"issued":{"date-parts":[["2016",6]]}}}],"schema":"https://github.com/citation-style-language/schema/raw/master/csl-citation.json"} </w:instrText>
      </w:r>
      <w:r w:rsidR="007E65BC">
        <w:rPr>
          <w:rFonts w:ascii="Times New Roman" w:hAnsi="Times New Roman" w:cs="Times New Roman"/>
        </w:rPr>
        <w:fldChar w:fldCharType="separate"/>
      </w:r>
      <w:r w:rsidR="008977BA">
        <w:rPr>
          <w:rFonts w:ascii="Times New Roman" w:hAnsi="Times New Roman" w:cs="Times New Roman"/>
        </w:rPr>
        <w:t>(Emerson and Bushinsky 2016)</w:t>
      </w:r>
      <w:r w:rsidR="007E65BC">
        <w:rPr>
          <w:rFonts w:ascii="Times New Roman" w:hAnsi="Times New Roman" w:cs="Times New Roman"/>
        </w:rPr>
        <w:fldChar w:fldCharType="end"/>
      </w:r>
      <w:r w:rsidR="00D57563">
        <w:rPr>
          <w:rFonts w:ascii="Times New Roman" w:hAnsi="Times New Roman" w:cs="Times New Roman"/>
        </w:rPr>
        <w:t xml:space="preserve">. </w:t>
      </w:r>
      <w:r w:rsidR="00001D5F">
        <w:rPr>
          <w:rFonts w:ascii="Times New Roman" w:hAnsi="Times New Roman" w:cs="Times New Roman"/>
        </w:rPr>
        <w:t>T</w:t>
      </w:r>
      <w:r w:rsidR="00D57563">
        <w:rPr>
          <w:rFonts w:ascii="Times New Roman" w:hAnsi="Times New Roman" w:cs="Times New Roman"/>
        </w:rPr>
        <w:t xml:space="preserve">he model has </w:t>
      </w:r>
      <w:r w:rsidR="00001D5F">
        <w:rPr>
          <w:rFonts w:ascii="Times New Roman" w:hAnsi="Times New Roman" w:cs="Times New Roman"/>
        </w:rPr>
        <w:t xml:space="preserve">also </w:t>
      </w:r>
      <w:r w:rsidR="00953A5D">
        <w:rPr>
          <w:rFonts w:ascii="Times New Roman" w:hAnsi="Times New Roman" w:cs="Times New Roman"/>
        </w:rPr>
        <w:t xml:space="preserve">been </w:t>
      </w:r>
      <w:r w:rsidR="00D57563">
        <w:rPr>
          <w:rFonts w:ascii="Times New Roman" w:hAnsi="Times New Roman" w:cs="Times New Roman"/>
        </w:rPr>
        <w:t xml:space="preserve">used in several studies </w:t>
      </w:r>
      <w:r w:rsidR="00BF5BD5">
        <w:rPr>
          <w:rFonts w:ascii="Times New Roman" w:hAnsi="Times New Roman" w:cs="Times New Roman"/>
        </w:rPr>
        <w:t xml:space="preserve">for estimating local net community production through oxygen mass balance </w:t>
      </w:r>
      <w:r w:rsidR="00F066A2">
        <w:rPr>
          <w:rFonts w:ascii="Times New Roman" w:hAnsi="Times New Roman" w:cs="Times New Roman"/>
        </w:rPr>
        <w:fldChar w:fldCharType="begin"/>
      </w:r>
      <w:r w:rsidR="007E65BC">
        <w:rPr>
          <w:rFonts w:ascii="Times New Roman" w:hAnsi="Times New Roman" w:cs="Times New Roman"/>
        </w:rPr>
        <w:instrText xml:space="preserve"> ADDIN ZOTERO_ITEM CSL_CITATION {"citationID":"a11oh83n59r","properties":{"formattedCitation":"(Bushinsky and Emerson 2015; Plant et al. 2016; Yang et al. 2019)","plainCitation":"(Bushinsky and Emerson 2015; Plant et al. 2016; Yang et al. 2019)","noteIndex":0},"citationItems":[{"id":749,"uris":["http://zotero.org/users/7846282/items/9BF3C5KK"],"itemData":{"id":749,"type":"article-journal","abstract":"Evaluating the organic carbon ﬂux from the surface ocean to the interior (the marine biological pump) is essential for predictions of ocean carbon cycle feedback to climate change. One approach for determining these ﬂuxes is to measure the concentration of oxygen in the upper ocean over a seasonal cycle, calculate the net O2 ﬂux using an upper ocean model, and then use a stoichiometric relationship between oxygen evolved and organic carbon produced. Applying this tracer in a variety of ocean areas over seasonal cycles requires accurate O2 measurements on autonomous vehicles. Here we demonstrate this approach using an O2 sensor on a proﬁling ﬂoat that is periodically calibrated against atmospheric pO2. Using accurate data and a model that includes all physical and biological processes inﬂuencing oxygen, we determine an annual net community production of 0.7 ± 0.5 mol C mÀ2 yrÀ1 in the northeast Paciﬁc Ocean (50°N, 145°W) from June 2012 to June 2013. There is a strong seasonal cycle in net biological oxygen production with wintertime ﬂuxes caused by bubble processes critical to determining the annual ﬂux. Approximately 50% of net autotrophic production during summer months is consumed by net respiration during the winter. The result is a biological pump in the subarctic Paciﬁc Ocean that is less than that determined by similar methods in the subtropics to the south. This estimate is signiﬁcantly lower than that predicted by satellite remote sensing and global circulation models.","container-title":"Global Biogeochemical Cycles","DOI":"10.1002/2015GB005251","ISSN":"0886-6236, 1944-9224","issue":"12","journalAbbreviation":"Global Biogeochem. Cycles","language":"en","page":"2050-2060","source":"DOI.org (Crossref)","title":"Marine biological production from in situ oxygen measurements on a profiling float in the subarctic Pacific Ocean","volume":"29","author":[{"family":"Bushinsky","given":"Seth M."},{"family":"Emerson","given":"Steven"}],"issued":{"date-parts":[["2015",12]]}}},{"id":745,"uris":["http://zotero.org/users/7846282/items/DD4CEXQ8"],"itemData":{"id":745,"type":"article-journal","abstract":"Six proﬁling ﬂoats equipped with nitrate and oxygen sensors were deployed at Ocean Station P in the Gulf of Alaska. The resulting six calendar years and 10 ﬂoat years of nitrate and oxygen data were used to determine an average annual cycle for net community production (NCP) in the top 35 m of the water column. NCP became positive in February as soon as the mixing activity in the surface layer began to weaken, but nearly 3 months before the traditionally deﬁned mixed layer began to shoal from its winter time maximum. NCP displayed two maxima, one toward the end of May and another in August with a summertime minimum in June corresponding to the historical peak in mesozooplankton biomass. The average annual NCP was determined to be 1.5 ± 0.6 mol C mÀ2 yrÀ1 using nitrate and 1.5 ± 0.7 mol C mÀ2 yrÀ1 using oxygen. The results from oxygen data proved to be quite sensitive to the gas exchange model used as well as the accuracy of the oxygen measurement. Gas exchange models optimized for carbon dioxide ﬂux generally ignore transport due to gas exchange through the injection of bubbles, and these models yield NCP values that are two to three time higher than the nitrate-based estimates. If nitrate and oxygen NCP rates are assumed to be related by the Redﬁeld model, we show that the oxygen gas exchange model can be optimized by tuning the exchange terms to reproduce the nitrate NCP annual cycle.","container-title":"Global Biogeochemical Cycles","DOI":"10.1002/2015GB005349","ISSN":"08866236","issue":"6","journalAbbreviation":"Global Biogeochem. Cycles","language":"en","page":"859-879","source":"DOI.org (Crossref)","title":"Net community production at Ocean Station Papa observed with nitrate and oxygen sensors on profiling floats: NCP AT OCEAN STATION PAPA","title-short":"Net community production at Ocean Station Papa observed with nitrate and oxygen sensors on profiling floats","volume":"30","author":[{"family":"Plant","given":"Joshua N."},{"family":"Johnson","given":"Kenneth S."},{"family":"Sakamoto","given":"Carole M."},{"family":"Jannasch","given":"Hans W."},{"family":"Coletti","given":"Luke J."},{"family":"Riser","given":"Stephen C."},{"family":"Swift","given":"Dana D."}],"issued":{"date-parts":[["2016",6]]}}},{"id":1878,"uris":["http://zotero.org/users/7846282/items/P9ZTTS2L"],"itemData":{"id":1878,"type":"article-journal","abstract":"The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sidR="007E65BC">
        <w:rPr>
          <w:rFonts w:ascii="Times New Roman" w:hAnsi="Times New Roman" w:cs="Times New Roman" w:hint="eastAsia"/>
        </w:rPr>
        <w:instrText>−</w:instrText>
      </w:r>
      <w:r w:rsidR="007E65BC">
        <w:rPr>
          <w:rFonts w:ascii="Times New Roman" w:hAnsi="Times New Roman" w:cs="Times New Roman"/>
        </w:rPr>
        <w:instrText>2·year</w:instrText>
      </w:r>
      <w:r w:rsidR="007E65BC">
        <w:rPr>
          <w:rFonts w:ascii="Times New Roman" w:hAnsi="Times New Roman" w:cs="Times New Roman" w:hint="eastAsia"/>
        </w:rPr>
        <w:instrText>−</w:instrText>
      </w:r>
      <w:r w:rsidR="007E65BC">
        <w:rPr>
          <w:rFonts w:ascii="Times New Roman" w:hAnsi="Times New Roman" w:cs="Times New Roman"/>
        </w:rPr>
        <w:instrText>1) at three Northern Hemisphere subtropical locations. Values for three Southern Hemisphere subtropical regions are lower and more variable determined by the O2 mass balance than by the DI13C method (</w:instrText>
      </w:r>
      <w:r w:rsidR="007E65BC">
        <w:rPr>
          <w:rFonts w:ascii="Times New Roman" w:hAnsi="Times New Roman" w:cs="Times New Roman" w:hint="eastAsia"/>
        </w:rPr>
        <w:instrText>−</w:instrText>
      </w:r>
      <w:r w:rsidR="007E65BC">
        <w:rPr>
          <w:rFonts w:ascii="Times New Roman" w:hAnsi="Times New Roman" w:cs="Times New Roman"/>
        </w:rPr>
        <w:instrText>0.5 to 0.8 mol C·m</w:instrText>
      </w:r>
      <w:r w:rsidR="007E65BC">
        <w:rPr>
          <w:rFonts w:ascii="Times New Roman" w:hAnsi="Times New Roman" w:cs="Times New Roman" w:hint="eastAsia"/>
        </w:rPr>
        <w:instrText>−</w:instrText>
      </w:r>
      <w:r w:rsidR="007E65BC">
        <w:rPr>
          <w:rFonts w:ascii="Times New Roman" w:hAnsi="Times New Roman" w:cs="Times New Roman"/>
        </w:rPr>
        <w:instrText>2·year</w:instrText>
      </w:r>
      <w:r w:rsidR="007E65BC">
        <w:rPr>
          <w:rFonts w:ascii="Times New Roman" w:hAnsi="Times New Roman" w:cs="Times New Roman" w:hint="eastAsia"/>
        </w:rPr>
        <w:instrText>−</w:instrText>
      </w:r>
      <w:r w:rsidR="007E65BC">
        <w:rPr>
          <w:rFonts w:ascii="Times New Roman" w:hAnsi="Times New Roman" w:cs="Times New Roman"/>
        </w:rPr>
        <w:instrText>1 and 0.9 to 1.3 mol C·m</w:instrText>
      </w:r>
      <w:r w:rsidR="007E65BC">
        <w:rPr>
          <w:rFonts w:ascii="Times New Roman" w:hAnsi="Times New Roman" w:cs="Times New Roman" w:hint="eastAsia"/>
        </w:rPr>
        <w:instrText>−</w:instrText>
      </w:r>
      <w:r w:rsidR="007E65BC">
        <w:rPr>
          <w:rFonts w:ascii="Times New Roman" w:hAnsi="Times New Roman" w:cs="Times New Roman"/>
        </w:rPr>
        <w:instrText>2·year</w:instrText>
      </w:r>
      <w:r w:rsidR="007E65BC">
        <w:rPr>
          <w:rFonts w:ascii="Times New Roman" w:hAnsi="Times New Roman" w:cs="Times New Roman" w:hint="eastAsia"/>
        </w:rPr>
        <w:instrText>−</w:instrText>
      </w:r>
      <w:r w:rsidR="007E65BC">
        <w:rPr>
          <w:rFonts w:ascii="Times New Roman" w:hAnsi="Times New Roman" w:cs="Times New Roman"/>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00F066A2">
        <w:rPr>
          <w:rFonts w:ascii="Times New Roman" w:hAnsi="Times New Roman" w:cs="Times New Roman"/>
        </w:rPr>
        <w:fldChar w:fldCharType="separate"/>
      </w:r>
      <w:r w:rsidR="008977BA">
        <w:rPr>
          <w:rFonts w:ascii="Times New Roman" w:hAnsi="Times New Roman" w:cs="Times New Roman"/>
        </w:rPr>
        <w:t>(Bushinsky and Emerson 2015; Plant et al. 2016; Yang et al. 2019)</w:t>
      </w:r>
      <w:r w:rsidR="00F066A2">
        <w:rPr>
          <w:rFonts w:ascii="Times New Roman" w:hAnsi="Times New Roman" w:cs="Times New Roman"/>
        </w:rPr>
        <w:fldChar w:fldCharType="end"/>
      </w:r>
      <w:r w:rsidR="00BF5BD5">
        <w:rPr>
          <w:rFonts w:ascii="Times New Roman" w:hAnsi="Times New Roman" w:cs="Times New Roman"/>
        </w:rPr>
        <w:t xml:space="preserve">, </w:t>
      </w:r>
      <w:bookmarkStart w:id="3" w:name="_Hlk146313417"/>
      <w:r w:rsidR="00BF5BD5">
        <w:rPr>
          <w:rFonts w:ascii="Times New Roman" w:hAnsi="Times New Roman" w:cs="Times New Roman"/>
        </w:rPr>
        <w:t xml:space="preserve">and has </w:t>
      </w:r>
      <w:r w:rsidR="00001D5F">
        <w:rPr>
          <w:rFonts w:ascii="Times New Roman" w:hAnsi="Times New Roman" w:cs="Times New Roman"/>
        </w:rPr>
        <w:t xml:space="preserve">been </w:t>
      </w:r>
      <w:r w:rsidR="00BF5BD5">
        <w:rPr>
          <w:rFonts w:ascii="Times New Roman" w:hAnsi="Times New Roman" w:cs="Times New Roman"/>
        </w:rPr>
        <w:t>updated by tu</w:t>
      </w:r>
      <w:r w:rsidR="00953A5D">
        <w:rPr>
          <w:rFonts w:ascii="Times New Roman" w:hAnsi="Times New Roman" w:cs="Times New Roman"/>
        </w:rPr>
        <w:t>n</w:t>
      </w:r>
      <w:r w:rsidR="00BF5BD5">
        <w:rPr>
          <w:rFonts w:ascii="Times New Roman" w:hAnsi="Times New Roman" w:cs="Times New Roman"/>
        </w:rPr>
        <w:t>ing the parameter</w:t>
      </w:r>
      <w:r w:rsidR="00953A5D">
        <w:rPr>
          <w:rFonts w:ascii="Times New Roman" w:hAnsi="Times New Roman" w:cs="Times New Roman"/>
        </w:rPr>
        <w:t>s</w:t>
      </w:r>
      <w:r w:rsidR="00BF5BD5">
        <w:rPr>
          <w:rFonts w:ascii="Times New Roman" w:hAnsi="Times New Roman" w:cs="Times New Roman"/>
        </w:rPr>
        <w:t xml:space="preserve"> of the model to match observations </w:t>
      </w:r>
      <w:r w:rsidR="007E65BC">
        <w:rPr>
          <w:rFonts w:ascii="Times New Roman" w:hAnsi="Times New Roman" w:cs="Times New Roman"/>
        </w:rPr>
        <w:fldChar w:fldCharType="begin"/>
      </w:r>
      <w:r w:rsidR="007E65BC">
        <w:rPr>
          <w:rFonts w:ascii="Times New Roman" w:hAnsi="Times New Roman" w:cs="Times New Roman"/>
        </w:rPr>
        <w:instrText xml:space="preserve"> ADDIN ZOTERO_ITEM CSL_CITATION {"citationID":"a1ildmiuhsj","properties":{"formattedCitation":"(Yang et al. 2017; Emerson et al. 2019)","plainCitation":"(Yang et al. 2017; Emerson et al. 2019)","noteIndex":0},"citationItems":[{"id":359,"uris":["http://zotero.org/users/7846282/items/ZFRIS667"],"itemData":{"id":359,"type":"article-journal","abstract":"Annual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sidR="007E65BC">
        <w:rPr>
          <w:rFonts w:ascii="Times New Roman" w:hAnsi="Times New Roman" w:cs="Times New Roman" w:hint="eastAsia"/>
        </w:rPr>
        <w:instrText>−</w:instrText>
      </w:r>
      <w:r w:rsidR="007E65BC">
        <w:rPr>
          <w:rFonts w:ascii="Times New Roman" w:hAnsi="Times New Roman" w:cs="Times New Roman"/>
        </w:rPr>
        <w:instrText>2 yr</w:instrText>
      </w:r>
      <w:r w:rsidR="007E65BC">
        <w:rPr>
          <w:rFonts w:ascii="Times New Roman" w:hAnsi="Times New Roman" w:cs="Times New Roman" w:hint="eastAsia"/>
        </w:rPr>
        <w:instrText>−</w:instrText>
      </w:r>
      <w:r w:rsidR="007E65BC">
        <w:rPr>
          <w:rFonts w:ascii="Times New Roman" w:hAnsi="Times New Roman" w:cs="Times New Roman"/>
        </w:rPr>
        <w:instrText>1 in the western subtropical North Pacific, 2.4 mol C m</w:instrText>
      </w:r>
      <w:r w:rsidR="007E65BC">
        <w:rPr>
          <w:rFonts w:ascii="Times New Roman" w:hAnsi="Times New Roman" w:cs="Times New Roman" w:hint="eastAsia"/>
        </w:rPr>
        <w:instrText>−</w:instrText>
      </w:r>
      <w:r w:rsidR="007E65BC">
        <w:rPr>
          <w:rFonts w:ascii="Times New Roman" w:hAnsi="Times New Roman" w:cs="Times New Roman"/>
        </w:rPr>
        <w:instrText>2 yr</w:instrText>
      </w:r>
      <w:r w:rsidR="007E65BC">
        <w:rPr>
          <w:rFonts w:ascii="Times New Roman" w:hAnsi="Times New Roman" w:cs="Times New Roman" w:hint="eastAsia"/>
        </w:rPr>
        <w:instrText>−</w:instrText>
      </w:r>
      <w:r w:rsidR="007E65BC">
        <w:rPr>
          <w:rFonts w:ascii="Times New Roman" w:hAnsi="Times New Roman" w:cs="Times New Roman"/>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sidR="007E65BC">
        <w:rPr>
          <w:rFonts w:ascii="Times New Roman" w:hAnsi="Times New Roman" w:cs="Times New Roman" w:hint="eastAsia"/>
        </w:rPr>
        <w:instrText>−</w:instrText>
      </w:r>
      <w:r w:rsidR="007E65BC">
        <w:rPr>
          <w:rFonts w:ascii="Times New Roman" w:hAnsi="Times New Roman" w:cs="Times New Roman"/>
        </w:rPr>
        <w:instrText>2 yr</w:instrText>
      </w:r>
      <w:r w:rsidR="007E65BC">
        <w:rPr>
          <w:rFonts w:ascii="Times New Roman" w:hAnsi="Times New Roman" w:cs="Times New Roman" w:hint="eastAsia"/>
        </w:rPr>
        <w:instrText>−</w:instrText>
      </w:r>
      <w:r w:rsidR="007E65BC">
        <w:rPr>
          <w:rFonts w:ascii="Times New Roman" w:hAnsi="Times New Roman" w:cs="Times New Roman"/>
        </w:rPr>
        <w:instrText>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M."}],"issued":{"date-parts":[["2017"]]}}},{"id":1686,"uris":["http://zotero.org/users/7846282/items/4I47NLI5"],"itemData":{"id":1686,"type":"article-journal","abstract":"Oxygen measurements by in situ sensors on remote platforms are used to determine net biological oxygen ﬂuxes in the surface ocean. On an annual basis these ﬂuxes are stoichiometrically related to the export of organic carbon from the upper ocean (the ocean's biological carbon pump). In situ measurements on remote platforms make it feasible to observe the annual biological oxygen ﬂux globally, but the accuracy of these estimates during periods of high winds depends on model</w:instrText>
      </w:r>
      <w:r w:rsidR="007E65BC">
        <w:rPr>
          <w:rFonts w:ascii="Times New Roman" w:hAnsi="Times New Roman" w:cs="Times New Roman" w:hint="eastAsia"/>
        </w:rPr>
        <w:instrText>‐</w:instrText>
      </w:r>
      <w:r w:rsidR="007E65BC">
        <w:rPr>
          <w:rFonts w:ascii="Times New Roman" w:hAnsi="Times New Roman" w:cs="Times New Roman"/>
        </w:rPr>
        <w:instrText>determined ﬂuxes by bubble processes created by breaking waves. We verify the importance of bubble processes in the gas exchange model of Liang et al. (2013, https://doi.org/10.1002gbc.20080) using surface</w:instrText>
      </w:r>
      <w:r w:rsidR="007E65BC">
        <w:rPr>
          <w:rFonts w:ascii="Times New Roman" w:hAnsi="Times New Roman" w:cs="Times New Roman" w:hint="eastAsia"/>
        </w:rPr>
        <w:instrText>‐</w:instrText>
      </w:r>
      <w:r w:rsidR="007E65BC">
        <w:rPr>
          <w:rFonts w:ascii="Times New Roman" w:hAnsi="Times New Roman" w:cs="Times New Roman"/>
        </w:rPr>
        <w:instrText>ocean N2 gas measurements determined from observations of dissolved gas pressure and oxygen concentrations every 3 hr on a mooring in the northeast subarctic Paciﬁc at Ocean Station Papa. The changes in N2 concentration during 10 separate monthlong periods in the winters between 2007 and 2016 indicate that bubble processes in the gas exchange model are over predicted by about a factor of 3 at this location. (The bubble mass transfer coefﬁcients must be multiplied by 0.37 ± 0.14 to match the observations.) These results can be used to adjust model</w:instrText>
      </w:r>
      <w:r w:rsidR="007E65BC">
        <w:rPr>
          <w:rFonts w:ascii="Times New Roman" w:hAnsi="Times New Roman" w:cs="Times New Roman" w:hint="eastAsia"/>
        </w:rPr>
        <w:instrText>‐</w:instrText>
      </w:r>
      <w:r w:rsidR="007E65BC">
        <w:rPr>
          <w:rFonts w:ascii="Times New Roman" w:hAnsi="Times New Roman" w:cs="Times New Roman"/>
        </w:rPr>
        <w:instrText>determined bubble ﬂuxes to yield more accurate measurements of net biological oxygen production until the next generation gas</w:instrText>
      </w:r>
      <w:r w:rsidR="007E65BC">
        <w:rPr>
          <w:rFonts w:ascii="Times New Roman" w:hAnsi="Times New Roman" w:cs="Times New Roman" w:hint="eastAsia"/>
        </w:rPr>
        <w:instrText>‐</w:instrText>
      </w:r>
      <w:r w:rsidR="007E65BC">
        <w:rPr>
          <w:rFonts w:ascii="Times New Roman" w:hAnsi="Times New Roman" w:cs="Times New Roman"/>
        </w:rPr>
        <w:instrText>exchange models are developed.","container-title":"Journal of Geophysical Research: Oceans","DOI":"10.1029/2018JC014786","ISSN":"2169-9275, 2169-9291","issue":"4","journalAbbreviation":"J. Geophys. Res. Oceans","language":"en","page":"2716-2727","source":"DOI.org (Cr</w:instrText>
      </w:r>
      <w:r w:rsidR="007E65BC">
        <w:rPr>
          <w:rFonts w:ascii="Times New Roman" w:hAnsi="Times New Roman" w:cs="Times New Roman" w:hint="eastAsia"/>
        </w:rPr>
        <w:instrText>ossref)","title":"Air</w:instrText>
      </w:r>
      <w:r w:rsidR="007E65BC">
        <w:rPr>
          <w:rFonts w:ascii="Times New Roman" w:hAnsi="Times New Roman" w:cs="Times New Roman" w:hint="eastAsia"/>
        </w:rPr>
        <w:instrText>‐</w:instrText>
      </w:r>
      <w:r w:rsidR="007E65BC">
        <w:rPr>
          <w:rFonts w:ascii="Times New Roman" w:hAnsi="Times New Roman" w:cs="Times New Roman" w:hint="eastAsia"/>
        </w:rPr>
        <w:instrText>Sea Gas Transfer: Determining Bubble Fluxes With In Situ N &lt;sub&gt;2&lt;/sub&gt; Observations","title-short":"Air</w:instrText>
      </w:r>
      <w:r w:rsidR="007E65BC">
        <w:rPr>
          <w:rFonts w:ascii="Times New Roman" w:hAnsi="Times New Roman" w:cs="Times New Roman" w:hint="eastAsia"/>
        </w:rPr>
        <w:instrText>‐</w:instrText>
      </w:r>
      <w:r w:rsidR="007E65BC">
        <w:rPr>
          <w:rFonts w:ascii="Times New Roman" w:hAnsi="Times New Roman" w:cs="Times New Roman" w:hint="eastAsia"/>
        </w:rPr>
        <w:instrText>Sea Gas Transfer","volume":"124","author":[{"family":"Emerson","given":"Steven"},{"family":"Yang","given":"Bo"},{"family":"White</w:instrText>
      </w:r>
      <w:r w:rsidR="007E65BC">
        <w:rPr>
          <w:rFonts w:ascii="Times New Roman" w:hAnsi="Times New Roman" w:cs="Times New Roman"/>
        </w:rPr>
        <w:instrText xml:space="preserve">","given":"Mariela"},{"family":"Cronin","given":"Meghan"}],"issued":{"date-parts":[["2019",4]]}}}],"schema":"https://github.com/citation-style-language/schema/raw/master/csl-citation.json"} </w:instrText>
      </w:r>
      <w:r w:rsidR="007E65BC">
        <w:rPr>
          <w:rFonts w:ascii="Times New Roman" w:hAnsi="Times New Roman" w:cs="Times New Roman"/>
        </w:rPr>
        <w:fldChar w:fldCharType="separate"/>
      </w:r>
      <w:r w:rsidR="008977BA">
        <w:rPr>
          <w:rFonts w:ascii="Times New Roman" w:hAnsi="Times New Roman" w:cs="Times New Roman"/>
        </w:rPr>
        <w:t>(Yang et al. 2017; Emerson et al. 2019)</w:t>
      </w:r>
      <w:r w:rsidR="007E65BC">
        <w:rPr>
          <w:rFonts w:ascii="Times New Roman" w:hAnsi="Times New Roman" w:cs="Times New Roman"/>
        </w:rPr>
        <w:fldChar w:fldCharType="end"/>
      </w:r>
      <w:bookmarkEnd w:id="3"/>
      <w:r w:rsidR="00BF5BD5">
        <w:rPr>
          <w:rFonts w:ascii="Times New Roman" w:hAnsi="Times New Roman" w:cs="Times New Roman"/>
        </w:rPr>
        <w:t>.</w:t>
      </w:r>
    </w:p>
    <w:p w14:paraId="53829353" w14:textId="77777777" w:rsidR="00EA18E0" w:rsidRDefault="00EA18E0" w:rsidP="00B8767A">
      <w:pPr>
        <w:spacing w:line="480" w:lineRule="auto"/>
        <w:jc w:val="both"/>
        <w:rPr>
          <w:rFonts w:ascii="Times New Roman" w:hAnsi="Times New Roman" w:cs="Times New Roman"/>
        </w:rPr>
      </w:pPr>
    </w:p>
    <w:p w14:paraId="57BB03A9" w14:textId="3FBA850B" w:rsidR="00EA18E0" w:rsidRDefault="008405E5" w:rsidP="00B8767A">
      <w:pPr>
        <w:spacing w:line="480" w:lineRule="auto"/>
        <w:jc w:val="both"/>
        <w:rPr>
          <w:rFonts w:ascii="Times New Roman" w:hAnsi="Times New Roman" w:cs="Times New Roman"/>
        </w:rPr>
      </w:pPr>
      <w:r>
        <w:rPr>
          <w:rFonts w:ascii="Times New Roman" w:hAnsi="Times New Roman" w:cs="Times New Roman"/>
        </w:rPr>
        <w:t>In</w:t>
      </w:r>
      <w:r w:rsidR="00EA18E0">
        <w:rPr>
          <w:rFonts w:ascii="Times New Roman" w:hAnsi="Times New Roman" w:cs="Times New Roman"/>
        </w:rPr>
        <w:t xml:space="preserve"> the model, the total air</w:t>
      </w:r>
      <w:r w:rsidR="003567FE">
        <w:rPr>
          <w:rFonts w:ascii="Times New Roman" w:hAnsi="Times New Roman" w:cs="Times New Roman"/>
        </w:rPr>
        <w:t>–</w:t>
      </w:r>
      <w:r w:rsidR="00EA18E0">
        <w:rPr>
          <w:rFonts w:ascii="Times New Roman" w:hAnsi="Times New Roman" w:cs="Times New Roman"/>
        </w:rPr>
        <w:t>sea oxygen exchange (</w:t>
      </w:r>
      <w:proofErr w:type="spellStart"/>
      <w:r w:rsidR="00EA18E0" w:rsidRPr="00EA18E0">
        <w:rPr>
          <w:rFonts w:ascii="Times New Roman" w:hAnsi="Times New Roman" w:cs="Times New Roman"/>
          <w:i/>
          <w:iCs/>
        </w:rPr>
        <w:t>F</w:t>
      </w:r>
      <w:r w:rsidR="00956CBF">
        <w:rPr>
          <w:rFonts w:ascii="Times New Roman" w:hAnsi="Times New Roman" w:cs="Times New Roman"/>
          <w:i/>
          <w:iCs/>
          <w:vertAlign w:val="subscript"/>
        </w:rPr>
        <w:t>net</w:t>
      </w:r>
      <w:proofErr w:type="spellEnd"/>
      <w:r w:rsidR="00EA18E0">
        <w:rPr>
          <w:rFonts w:ascii="Times New Roman" w:hAnsi="Times New Roman" w:cs="Times New Roman"/>
        </w:rPr>
        <w:t>) is represented as the sum of the diffusive exchange at the air</w:t>
      </w:r>
      <w:r w:rsidR="003567FE">
        <w:rPr>
          <w:rFonts w:ascii="Times New Roman" w:hAnsi="Times New Roman" w:cs="Times New Roman"/>
        </w:rPr>
        <w:t>–</w:t>
      </w:r>
      <w:r w:rsidR="00EA18E0">
        <w:rPr>
          <w:rFonts w:ascii="Times New Roman" w:hAnsi="Times New Roman" w:cs="Times New Roman"/>
        </w:rPr>
        <w:t>sea interface (</w:t>
      </w:r>
      <w:r w:rsidR="00EA18E0" w:rsidRPr="00EA18E0">
        <w:rPr>
          <w:rFonts w:ascii="Times New Roman" w:hAnsi="Times New Roman" w:cs="Times New Roman"/>
          <w:i/>
          <w:iCs/>
        </w:rPr>
        <w:t>F</w:t>
      </w:r>
      <w:r w:rsidR="00EA18E0">
        <w:rPr>
          <w:rFonts w:ascii="Times New Roman" w:hAnsi="Times New Roman" w:cs="Times New Roman"/>
          <w:i/>
          <w:iCs/>
          <w:vertAlign w:val="subscript"/>
        </w:rPr>
        <w:t>s</w:t>
      </w:r>
      <w:r w:rsidR="00EA18E0">
        <w:rPr>
          <w:rFonts w:ascii="Times New Roman" w:hAnsi="Times New Roman" w:cs="Times New Roman"/>
        </w:rPr>
        <w:t xml:space="preserve">) and two exchanges mediated by bubble processes </w:t>
      </w:r>
      <w:r w:rsidR="00001D5F">
        <w:rPr>
          <w:rFonts w:ascii="Times New Roman" w:hAnsi="Times New Roman" w:cs="Times New Roman"/>
        </w:rPr>
        <w:t>in</w:t>
      </w:r>
      <w:r w:rsidR="00EA18E0">
        <w:rPr>
          <w:rFonts w:ascii="Times New Roman" w:hAnsi="Times New Roman" w:cs="Times New Roman"/>
        </w:rPr>
        <w:t xml:space="preserve"> the vicinity of the air</w:t>
      </w:r>
      <w:r w:rsidR="003567FE">
        <w:rPr>
          <w:rFonts w:ascii="Times New Roman" w:hAnsi="Times New Roman" w:cs="Times New Roman"/>
        </w:rPr>
        <w:t>–</w:t>
      </w:r>
      <w:r w:rsidR="00EA18E0">
        <w:rPr>
          <w:rFonts w:ascii="Times New Roman" w:hAnsi="Times New Roman" w:cs="Times New Roman"/>
        </w:rPr>
        <w:t>sea interface (</w:t>
      </w:r>
      <w:proofErr w:type="spellStart"/>
      <w:r w:rsidR="00EA18E0" w:rsidRPr="00EA18E0">
        <w:rPr>
          <w:rFonts w:ascii="Times New Roman" w:hAnsi="Times New Roman" w:cs="Times New Roman"/>
          <w:i/>
          <w:iCs/>
        </w:rPr>
        <w:t>F</w:t>
      </w:r>
      <w:r w:rsidR="00EA18E0" w:rsidRPr="00EA18E0">
        <w:rPr>
          <w:rFonts w:ascii="Times New Roman" w:hAnsi="Times New Roman" w:cs="Times New Roman"/>
          <w:i/>
          <w:iCs/>
          <w:vertAlign w:val="subscript"/>
        </w:rPr>
        <w:t>p</w:t>
      </w:r>
      <w:proofErr w:type="spellEnd"/>
      <w:r w:rsidR="00EA18E0">
        <w:rPr>
          <w:rFonts w:ascii="Times New Roman" w:hAnsi="Times New Roman" w:cs="Times New Roman"/>
        </w:rPr>
        <w:t xml:space="preserve"> and </w:t>
      </w:r>
      <w:r w:rsidR="00EA18E0" w:rsidRPr="00EA18E0">
        <w:rPr>
          <w:rFonts w:ascii="Times New Roman" w:hAnsi="Times New Roman" w:cs="Times New Roman"/>
          <w:i/>
          <w:iCs/>
        </w:rPr>
        <w:t>F</w:t>
      </w:r>
      <w:r w:rsidR="00EA18E0" w:rsidRPr="00EA18E0">
        <w:rPr>
          <w:rFonts w:ascii="Times New Roman" w:hAnsi="Times New Roman" w:cs="Times New Roman"/>
          <w:i/>
          <w:iCs/>
          <w:vertAlign w:val="subscript"/>
        </w:rPr>
        <w:t>c</w:t>
      </w:r>
      <w:r w:rsidR="00EA18E0">
        <w:rPr>
          <w:rFonts w:ascii="Times New Roman" w:hAnsi="Times New Roman" w:cs="Times New Roman"/>
        </w:rPr>
        <w:t>)</w:t>
      </w:r>
    </w:p>
    <w:p w14:paraId="3A9DE9FD" w14:textId="77777777" w:rsidR="00B416B8" w:rsidRDefault="00B416B8" w:rsidP="00B8767A">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EA18E0" w:rsidRPr="00A961B2" w14:paraId="121A80E5" w14:textId="77777777" w:rsidTr="00C6505D">
        <w:trPr>
          <w:trHeight w:val="481"/>
        </w:trPr>
        <w:tc>
          <w:tcPr>
            <w:tcW w:w="8364" w:type="dxa"/>
            <w:vAlign w:val="center"/>
          </w:tcPr>
          <w:p w14:paraId="6579E2C6" w14:textId="514E1FE2" w:rsidR="00EA18E0" w:rsidRPr="00A961B2" w:rsidRDefault="00000000" w:rsidP="00C6505D">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net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m:t>
                    </m:r>
                  </m:sub>
                </m:sSub>
                <m:r>
                  <w:rPr>
                    <w:rFonts w:ascii="Cambria Math" w:hAnsi="Cambria Math" w:cs="Times New Roman"/>
                  </w:rPr>
                  <m:t>+β(</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m:t>
                    </m:r>
                  </m:sub>
                </m:sSub>
                <m:r>
                  <w:rPr>
                    <w:rFonts w:ascii="Cambria Math" w:hAnsi="Cambria Math" w:cs="Times New Roman"/>
                  </w:rPr>
                  <m:t>),</m:t>
                </m:r>
              </m:oMath>
            </m:oMathPara>
          </w:p>
        </w:tc>
        <w:tc>
          <w:tcPr>
            <w:tcW w:w="680" w:type="dxa"/>
            <w:vAlign w:val="center"/>
          </w:tcPr>
          <w:p w14:paraId="0FFDAE75" w14:textId="41838F2E" w:rsidR="00EA18E0" w:rsidRPr="00A961B2" w:rsidRDefault="00EA18E0" w:rsidP="00C6505D">
            <w:pPr>
              <w:spacing w:line="480" w:lineRule="auto"/>
              <w:jc w:val="center"/>
              <w:rPr>
                <w:rFonts w:ascii="Times New Roman" w:hAnsi="Times New Roman" w:cs="Times New Roman"/>
              </w:rPr>
            </w:pPr>
            <w:r w:rsidRPr="00A961B2">
              <w:rPr>
                <w:rFonts w:ascii="Times New Roman" w:hAnsi="Times New Roman" w:cs="Times New Roman"/>
              </w:rPr>
              <w:t>(1</w:t>
            </w:r>
            <w:r w:rsidR="00956CBF">
              <w:rPr>
                <w:rFonts w:ascii="Times New Roman" w:hAnsi="Times New Roman" w:cs="Times New Roman"/>
              </w:rPr>
              <w:t>2</w:t>
            </w:r>
            <w:r w:rsidRPr="00A961B2">
              <w:rPr>
                <w:rFonts w:ascii="Times New Roman" w:hAnsi="Times New Roman" w:cs="Times New Roman"/>
              </w:rPr>
              <w:t>)</w:t>
            </w:r>
          </w:p>
        </w:tc>
      </w:tr>
    </w:tbl>
    <w:p w14:paraId="28D16213" w14:textId="77777777" w:rsidR="00B416B8" w:rsidRDefault="00B416B8" w:rsidP="00956CBF">
      <w:pPr>
        <w:spacing w:line="480" w:lineRule="auto"/>
        <w:jc w:val="both"/>
        <w:rPr>
          <w:rFonts w:ascii="Times New Roman" w:hAnsi="Times New Roman" w:cs="Times New Roman"/>
        </w:rPr>
      </w:pPr>
    </w:p>
    <w:p w14:paraId="31EBD2EB" w14:textId="718EBDCD" w:rsidR="00956CBF" w:rsidRDefault="00956CBF" w:rsidP="00956CBF">
      <w:pPr>
        <w:spacing w:line="480" w:lineRule="auto"/>
        <w:jc w:val="both"/>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here </w:t>
      </w:r>
      <m:oMath>
        <m:r>
          <w:rPr>
            <w:rFonts w:ascii="Cambria Math" w:hAnsi="Cambria Math" w:cs="Times New Roman"/>
          </w:rPr>
          <m:t>β</m:t>
        </m:r>
      </m:oMath>
      <w:r>
        <w:rPr>
          <w:rFonts w:ascii="Times New Roman" w:hAnsi="Times New Roman" w:cs="Times New Roman"/>
        </w:rPr>
        <w:t xml:space="preserve"> is a tuning parameter </w:t>
      </w:r>
      <w:r w:rsidR="00001D5F">
        <w:rPr>
          <w:rFonts w:ascii="Times New Roman" w:hAnsi="Times New Roman" w:cs="Times New Roman"/>
        </w:rPr>
        <w:t>for</w:t>
      </w:r>
      <w:r>
        <w:rPr>
          <w:rFonts w:ascii="Times New Roman" w:hAnsi="Times New Roman" w:cs="Times New Roman"/>
        </w:rPr>
        <w:t xml:space="preserve"> adjust</w:t>
      </w:r>
      <w:r w:rsidR="00001D5F">
        <w:rPr>
          <w:rFonts w:ascii="Times New Roman" w:hAnsi="Times New Roman" w:cs="Times New Roman"/>
        </w:rPr>
        <w:t>ing</w:t>
      </w:r>
      <w:r>
        <w:rPr>
          <w:rFonts w:ascii="Times New Roman" w:hAnsi="Times New Roman" w:cs="Times New Roman"/>
        </w:rPr>
        <w:t xml:space="preserve"> to field observations</w:t>
      </w:r>
      <w:r w:rsidR="00D00B56">
        <w:rPr>
          <w:rFonts w:ascii="Times New Roman" w:hAnsi="Times New Roman" w:cs="Times New Roman"/>
        </w:rPr>
        <w:t xml:space="preserve"> (</w:t>
      </w:r>
      <m:oMath>
        <m:r>
          <w:rPr>
            <w:rFonts w:ascii="Cambria Math" w:hAnsi="Cambria Math" w:cs="Times New Roman"/>
          </w:rPr>
          <m:t>β=0.37</m:t>
        </m:r>
      </m:oMath>
      <w:r w:rsidR="008C7308">
        <w:rPr>
          <w:rFonts w:ascii="Times New Roman" w:hAnsi="Times New Roman" w:cs="Times New Roman"/>
        </w:rPr>
        <w:t xml:space="preserve">,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{"citationID":"a1d9dbk71se","properties":{"formattedCitation":"(Emerson et al. 2019)","plainCitation":"(Emerson et al. 2019)","dontUpdate":true,"noteIndex":0},"citationItems":[{"id":1686,"uris":["http://zotero.org/users/7846282/items/4I47NLI5"],"itemData":{"id":1686,"type":"article-journal","abstract":"Oxygen measurements by in situ sensors on remote platforms are used to determine net biological oxygen ﬂuxes in the surface ocean. On an annual basis these ﬂuxes are stoichiometrically related to the export of organic carbon from the upper ocean (the ocean's biological carbon pump). In situ measurements on remote platforms make it feasible to observe the annual biological oxygen ﬂux globally, but the accuracy of these estimates during periods of high winds depends on model</w:instrText>
      </w:r>
      <w:r w:rsidR="008C7308">
        <w:rPr>
          <w:rFonts w:ascii="Times New Roman" w:hAnsi="Times New Roman" w:cs="Times New Roman" w:hint="eastAsia"/>
        </w:rPr>
        <w:instrText>‐</w:instrText>
      </w:r>
      <w:r w:rsidR="008C7308">
        <w:rPr>
          <w:rFonts w:ascii="Times New Roman" w:hAnsi="Times New Roman" w:cs="Times New Roman"/>
        </w:rPr>
        <w:instrText>determined ﬂuxes by bubble processes created by breaking waves. We verify the importance of bubble processes in the gas exchange model of Liang et al. (2013, https://doi.org/10.1002gbc.20080) using surface</w:instrText>
      </w:r>
      <w:r w:rsidR="008C7308">
        <w:rPr>
          <w:rFonts w:ascii="Times New Roman" w:hAnsi="Times New Roman" w:cs="Times New Roman" w:hint="eastAsia"/>
        </w:rPr>
        <w:instrText>‐</w:instrText>
      </w:r>
      <w:r w:rsidR="008C7308">
        <w:rPr>
          <w:rFonts w:ascii="Times New Roman" w:hAnsi="Times New Roman" w:cs="Times New Roman"/>
        </w:rPr>
        <w:instrText>ocean N2 gas measurements determined from observations of dissolved gas pressure and oxygen concentrations every 3 hr on a mooring in the northeast subarctic Paciﬁc at Ocean Station Papa. The changes in N2 concentration during 10 separate monthlong periods in the winters between 2007 and 2016 indicate that bubble processes in the gas exchange model are over predicted by about a factor of 3 at this location. (The bubble mass transfer coefﬁcients must be multiplied by 0.37 ± 0.14 to match the observations.) These results can be used to adjust model</w:instrText>
      </w:r>
      <w:r w:rsidR="008C7308">
        <w:rPr>
          <w:rFonts w:ascii="Times New Roman" w:hAnsi="Times New Roman" w:cs="Times New Roman" w:hint="eastAsia"/>
        </w:rPr>
        <w:instrText>‐</w:instrText>
      </w:r>
      <w:r w:rsidR="008C7308">
        <w:rPr>
          <w:rFonts w:ascii="Times New Roman" w:hAnsi="Times New Roman" w:cs="Times New Roman"/>
        </w:rPr>
        <w:instrText>determined bubble ﬂuxes to yield more accurate measurements of net biological oxygen production until the next generation gas</w:instrText>
      </w:r>
      <w:r w:rsidR="008C7308">
        <w:rPr>
          <w:rFonts w:ascii="Times New Roman" w:hAnsi="Times New Roman" w:cs="Times New Roman" w:hint="eastAsia"/>
        </w:rPr>
        <w:instrText>‐</w:instrText>
      </w:r>
      <w:r w:rsidR="008C7308">
        <w:rPr>
          <w:rFonts w:ascii="Times New Roman" w:hAnsi="Times New Roman" w:cs="Times New Roman"/>
        </w:rPr>
        <w:instrText>exchange models are developed.","container-title":"Journal of Geophysical Research: Oc</w:instrText>
      </w:r>
      <w:r w:rsidR="008C7308">
        <w:rPr>
          <w:rFonts w:ascii="Times New Roman" w:hAnsi="Times New Roman" w:cs="Times New Roman" w:hint="eastAsia"/>
        </w:rPr>
        <w:instrText>eans","DOI":"10.1029/2018JC014786","ISSN":"2169-9275, 2169-9291","issue":"4","journalAbbreviation":"J. Geophys. Res. Oceans","language":"en","page":"2716-2727","source":"DOI.org (Crossref)","title":"Air</w:instrText>
      </w:r>
      <w:r w:rsidR="008C7308">
        <w:rPr>
          <w:rFonts w:ascii="Times New Roman" w:hAnsi="Times New Roman" w:cs="Times New Roman" w:hint="eastAsia"/>
        </w:rPr>
        <w:instrText>‐</w:instrText>
      </w:r>
      <w:r w:rsidR="008C7308">
        <w:rPr>
          <w:rFonts w:ascii="Times New Roman" w:hAnsi="Times New Roman" w:cs="Times New Roman" w:hint="eastAsia"/>
        </w:rPr>
        <w:instrText>Sea Gas Transfer: Determining Bubble Fluxes With In Situ N &lt;sub&gt;2&lt;/sub&gt; Observations","title-short":"Air</w:instrText>
      </w:r>
      <w:r w:rsidR="008C7308">
        <w:rPr>
          <w:rFonts w:ascii="Times New Roman" w:hAnsi="Times New Roman" w:cs="Times New Roman" w:hint="eastAsia"/>
        </w:rPr>
        <w:instrText>‐</w:instrText>
      </w:r>
      <w:r w:rsidR="008C7308">
        <w:rPr>
          <w:rFonts w:ascii="Times New Roman" w:hAnsi="Times New Roman" w:cs="Times New Roman" w:hint="eastAsia"/>
        </w:rPr>
        <w:instrText>Sea Gas Transfer","volume":"124","author":[{"family":"Emerson","given":"Steven"},{"family":"Yang","given":"Bo"},{"family":"White","given":"Mariela"},{"family":"Cronin","given":"Meghan"}],"issued":{"date</w:instrText>
      </w:r>
      <w:r w:rsidR="008C7308">
        <w:rPr>
          <w:rFonts w:ascii="Times New Roman" w:hAnsi="Times New Roman" w:cs="Times New Roman"/>
        </w:rPr>
        <w:instrText xml:space="preserve">-parts":[["2019",4]]}}}],"schema":"https://github.com/citation-style-language/schema/raw/master/csl-citation.json"} </w:instrText>
      </w:r>
      <w:r w:rsidR="008C7308">
        <w:rPr>
          <w:rFonts w:ascii="Times New Roman" w:hAnsi="Times New Roman" w:cs="Times New Roman"/>
        </w:rPr>
        <w:fldChar w:fldCharType="separate"/>
      </w:r>
      <w:r w:rsidR="008C7308" w:rsidRPr="008C7308">
        <w:rPr>
          <w:rFonts w:ascii="Times New Roman" w:hAnsi="Times New Roman" w:cs="Times New Roman"/>
        </w:rPr>
        <w:t>Emerson et al. 2019)</w:t>
      </w:r>
      <w:r w:rsidR="008C7308">
        <w:rPr>
          <w:rFonts w:ascii="Times New Roman" w:hAnsi="Times New Roman" w:cs="Times New Roman"/>
        </w:rPr>
        <w:fldChar w:fldCharType="end"/>
      </w:r>
      <w:r>
        <w:rPr>
          <w:rFonts w:ascii="Times New Roman" w:hAnsi="Times New Roman" w:cs="Times New Roman"/>
        </w:rPr>
        <w:t>.</w:t>
      </w:r>
      <w:r w:rsidR="008F1C8B">
        <w:rPr>
          <w:rFonts w:ascii="Times New Roman" w:hAnsi="Times New Roman" w:cs="Times New Roman"/>
        </w:rPr>
        <w:t xml:space="preserve"> </w:t>
      </w:r>
      <w:r w:rsidR="00C01A6F">
        <w:rPr>
          <w:rFonts w:ascii="Times New Roman" w:hAnsi="Times New Roman" w:cs="Times New Roman"/>
        </w:rPr>
        <w:t>These three</w:t>
      </w:r>
      <w:r>
        <w:rPr>
          <w:rFonts w:ascii="Times New Roman" w:hAnsi="Times New Roman" w:cs="Times New Roman"/>
        </w:rPr>
        <w:t xml:space="preserve"> component</w:t>
      </w:r>
      <w:r w:rsidR="00C01A6F">
        <w:rPr>
          <w:rFonts w:ascii="Times New Roman" w:hAnsi="Times New Roman" w:cs="Times New Roman"/>
        </w:rPr>
        <w:t>s</w:t>
      </w:r>
      <w:r>
        <w:rPr>
          <w:rFonts w:ascii="Times New Roman" w:hAnsi="Times New Roman" w:cs="Times New Roman"/>
        </w:rPr>
        <w:t xml:space="preserve"> </w:t>
      </w:r>
      <w:r w:rsidR="00C01A6F">
        <w:rPr>
          <w:rFonts w:ascii="Times New Roman" w:hAnsi="Times New Roman" w:cs="Times New Roman"/>
        </w:rPr>
        <w:t>are</w:t>
      </w:r>
      <w:r>
        <w:rPr>
          <w:rFonts w:ascii="Times New Roman" w:hAnsi="Times New Roman" w:cs="Times New Roman"/>
        </w:rPr>
        <w:t xml:space="preserve"> </w:t>
      </w:r>
      <w:r w:rsidR="00C01A6F">
        <w:rPr>
          <w:rFonts w:ascii="Times New Roman" w:hAnsi="Times New Roman" w:cs="Times New Roman"/>
        </w:rPr>
        <w:t>written in</w:t>
      </w:r>
      <w:r w:rsidR="00001D5F">
        <w:rPr>
          <w:rFonts w:ascii="Times New Roman" w:hAnsi="Times New Roman" w:cs="Times New Roman"/>
        </w:rPr>
        <w:t xml:space="preserve"> the</w:t>
      </w:r>
      <w:r w:rsidR="00C01A6F">
        <w:rPr>
          <w:rFonts w:ascii="Times New Roman" w:hAnsi="Times New Roman" w:cs="Times New Roman"/>
        </w:rPr>
        <w:t xml:space="preserve"> form</w:t>
      </w:r>
    </w:p>
    <w:p w14:paraId="348C6C9B" w14:textId="77777777" w:rsidR="00B416B8" w:rsidRPr="0034592F" w:rsidRDefault="00B416B8" w:rsidP="00956CBF">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956CBF" w:rsidRPr="0034592F" w14:paraId="5E2BA5D4" w14:textId="77777777" w:rsidTr="00C6505D">
        <w:trPr>
          <w:trHeight w:val="481"/>
        </w:trPr>
        <w:tc>
          <w:tcPr>
            <w:tcW w:w="8364" w:type="dxa"/>
            <w:vAlign w:val="center"/>
          </w:tcPr>
          <w:p w14:paraId="15E193B6" w14:textId="74254806" w:rsidR="00956CBF" w:rsidRPr="0034592F" w:rsidRDefault="00000000" w:rsidP="00C6505D">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m:t>
                    </m:r>
                  </m:sub>
                </m:sSub>
                <m:d>
                  <m:dPr>
                    <m:ctrlPr>
                      <w:rPr>
                        <w:rFonts w:ascii="Cambria Math" w:hAnsi="Cambria Math" w:cs="Times New Roman"/>
                        <w:i/>
                      </w:rPr>
                    </m:ctrlPr>
                  </m:dPr>
                  <m:e>
                    <m:sSubSup>
                      <m:sSubSupPr>
                        <m:ctrlPr>
                          <w:rPr>
                            <w:rFonts w:ascii="Cambria Math" w:eastAsiaTheme="minorEastAsia" w:hAnsi="Cambria Math" w:cs="Times New Roman"/>
                            <w:i/>
                          </w:rPr>
                        </m:ctrlPr>
                      </m:sSubSup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up>
                        <m:r>
                          <w:rPr>
                            <w:rFonts w:ascii="Cambria Math" w:hAnsi="Cambria Math" w:cs="Times New Roman"/>
                          </w:rPr>
                          <m:t>sat</m:t>
                        </m:r>
                      </m:sup>
                    </m:sSubSup>
                    <m:r>
                      <w:rPr>
                        <w:rFonts w:ascii="Cambria Math" w:hAnsi="Cambria Math" w:cs="Times New Roman"/>
                      </w:rPr>
                      <m:t>-</m:t>
                    </m:r>
                    <m:sSub>
                      <m:sSubPr>
                        <m:ctrlPr>
                          <w:rPr>
                            <w:rFonts w:ascii="Cambria Math" w:eastAsiaTheme="minorEastAsia" w:hAnsi="Cambria Math" w:cs="Times New Roman"/>
                            <w:i/>
                          </w:rPr>
                        </m:ctrlPr>
                      </m:sSub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Sub>
                  </m:e>
                </m:d>
              </m:oMath>
            </m:oMathPara>
          </w:p>
          <w:p w14:paraId="09EC5775" w14:textId="3BFBCDA7" w:rsidR="00956CBF" w:rsidRPr="0034592F" w:rsidRDefault="00000000" w:rsidP="00C6505D">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(1+∆P)</m:t>
                    </m:r>
                    <m:sSubSup>
                      <m:sSubSupPr>
                        <m:ctrlPr>
                          <w:rPr>
                            <w:rFonts w:ascii="Cambria Math" w:eastAsiaTheme="minorEastAsia" w:hAnsi="Cambria Math" w:cs="Times New Roman"/>
                            <w:i/>
                          </w:rPr>
                        </m:ctrlPr>
                      </m:sSubSup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up>
                        <m:r>
                          <w:rPr>
                            <w:rFonts w:ascii="Cambria Math" w:hAnsi="Cambria Math" w:cs="Times New Roman"/>
                          </w:rPr>
                          <m:t>sat</m:t>
                        </m:r>
                      </m:sup>
                    </m:sSubSup>
                    <m:r>
                      <w:rPr>
                        <w:rFonts w:ascii="Cambria Math" w:hAnsi="Cambria Math" w:cs="Times New Roman"/>
                      </w:rPr>
                      <m:t>-</m:t>
                    </m:r>
                    <m:sSub>
                      <m:sSubPr>
                        <m:ctrlPr>
                          <w:rPr>
                            <w:rFonts w:ascii="Cambria Math" w:eastAsiaTheme="minorEastAsia" w:hAnsi="Cambria Math" w:cs="Times New Roman"/>
                            <w:i/>
                          </w:rPr>
                        </m:ctrlPr>
                      </m:sSub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Sub>
                  </m:e>
                </m:d>
              </m:oMath>
            </m:oMathPara>
          </w:p>
          <w:p w14:paraId="4AE3C8AB" w14:textId="1FF61031" w:rsidR="00956CBF" w:rsidRPr="0034592F" w:rsidRDefault="00000000" w:rsidP="00C6505D">
            <w:pPr>
              <w:spacing w:line="480" w:lineRule="auto"/>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c</m:t>
                  </m:r>
                </m:sub>
              </m:sSub>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atm</m:t>
                  </m:r>
                </m:sub>
                <m:sup>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sup>
              </m:sSubSup>
            </m:oMath>
            <w:r w:rsidR="00956CBF">
              <w:rPr>
                <w:rFonts w:ascii="Times New Roman" w:hAnsi="Times New Roman" w:cs="Times New Roman" w:hint="eastAsia"/>
              </w:rPr>
              <w:t>,</w:t>
            </w:r>
          </w:p>
        </w:tc>
        <w:tc>
          <w:tcPr>
            <w:tcW w:w="680" w:type="dxa"/>
            <w:vAlign w:val="center"/>
          </w:tcPr>
          <w:p w14:paraId="1F96258F" w14:textId="6F18A81B" w:rsidR="00956CBF" w:rsidRPr="0034592F" w:rsidRDefault="00956CBF" w:rsidP="00C6505D">
            <w:pPr>
              <w:spacing w:line="480" w:lineRule="auto"/>
              <w:jc w:val="center"/>
              <w:rPr>
                <w:rFonts w:ascii="Times New Roman" w:hAnsi="Times New Roman" w:cs="Times New Roman"/>
              </w:rPr>
            </w:pPr>
            <w:r w:rsidRPr="0034592F">
              <w:rPr>
                <w:rFonts w:ascii="Times New Roman" w:hAnsi="Times New Roman" w:cs="Times New Roman"/>
              </w:rPr>
              <w:t>(</w:t>
            </w:r>
            <w:r>
              <w:rPr>
                <w:rFonts w:ascii="Times New Roman" w:hAnsi="Times New Roman" w:cs="Times New Roman"/>
              </w:rPr>
              <w:t>1</w:t>
            </w:r>
            <w:r w:rsidRPr="0034592F">
              <w:rPr>
                <w:rFonts w:ascii="Times New Roman" w:hAnsi="Times New Roman" w:cs="Times New Roman"/>
              </w:rPr>
              <w:t>3)</w:t>
            </w:r>
          </w:p>
        </w:tc>
      </w:tr>
    </w:tbl>
    <w:p w14:paraId="55610BE6" w14:textId="77777777" w:rsidR="00B416B8" w:rsidRDefault="00B416B8" w:rsidP="00C01A6F">
      <w:pPr>
        <w:spacing w:line="480" w:lineRule="auto"/>
        <w:jc w:val="both"/>
        <w:rPr>
          <w:rFonts w:ascii="Times New Roman" w:hAnsi="Times New Roman" w:cs="Times New Roman"/>
        </w:rPr>
      </w:pPr>
      <w:bookmarkStart w:id="4" w:name="_Hlk146313488"/>
    </w:p>
    <w:p w14:paraId="3B16BEF2" w14:textId="048741F1" w:rsidR="00C01A6F" w:rsidRDefault="00956CBF" w:rsidP="00C01A6F">
      <w:pPr>
        <w:spacing w:line="480" w:lineRule="auto"/>
        <w:jc w:val="both"/>
        <w:rPr>
          <w:rFonts w:ascii="Times New Roman" w:hAnsi="Times New Roman" w:cs="Times New Roman"/>
        </w:rPr>
      </w:pPr>
      <w:r>
        <w:rPr>
          <w:rFonts w:ascii="Times New Roman" w:hAnsi="Times New Roman" w:cs="Times New Roman" w:hint="eastAsia"/>
        </w:rPr>
        <w:lastRenderedPageBreak/>
        <w:t>w</w:t>
      </w:r>
      <w:r>
        <w:rPr>
          <w:rFonts w:ascii="Times New Roman" w:hAnsi="Times New Roman" w:cs="Times New Roman"/>
        </w:rPr>
        <w:t xml:space="preserve">here </w:t>
      </w:r>
      <m:oMath>
        <m:sSub>
          <m:sSubPr>
            <m:ctrlPr>
              <w:rPr>
                <w:rFonts w:ascii="Cambria Math" w:eastAsiaTheme="minorEastAsia" w:hAnsi="Cambria Math" w:cs="Times New Roman"/>
                <w:i/>
              </w:rPr>
            </m:ctrlPr>
          </m:sSub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Sub>
      </m:oMath>
      <w:r>
        <w:rPr>
          <w:rFonts w:ascii="Times New Roman" w:hAnsi="Times New Roman" w:cs="Times New Roman" w:hint="eastAsia"/>
        </w:rPr>
        <w:t>,</w:t>
      </w:r>
      <w:r>
        <w:rPr>
          <w:rFonts w:ascii="Times New Roman" w:hAnsi="Times New Roman" w:cs="Times New Roman"/>
        </w:rPr>
        <w:t xml:space="preserve"> </w:t>
      </w:r>
      <m:oMath>
        <m:sSubSup>
          <m:sSubSupPr>
            <m:ctrlPr>
              <w:rPr>
                <w:rFonts w:ascii="Cambria Math" w:eastAsiaTheme="minorEastAsia" w:hAnsi="Cambria Math" w:cs="Times New Roman"/>
                <w:i/>
              </w:rPr>
            </m:ctrlPr>
          </m:sSubSup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up>
            <m:r>
              <w:rPr>
                <w:rFonts w:ascii="Cambria Math" w:hAnsi="Cambria Math" w:cs="Times New Roman"/>
              </w:rPr>
              <m:t>sat</m:t>
            </m:r>
          </m:sup>
        </m:sSubSup>
      </m:oMath>
      <w:r>
        <w:rPr>
          <w:rFonts w:ascii="Times New Roman" w:hAnsi="Times New Roman" w:cs="Times New Roman" w:hint="eastAsia"/>
        </w:rPr>
        <w:t>,</w:t>
      </w:r>
      <w:r>
        <w:rPr>
          <w:rFonts w:ascii="Times New Roman" w:hAnsi="Times New Roman" w:cs="Times New Roman"/>
        </w:rPr>
        <w:t xml:space="preserve"> and </w:t>
      </w:r>
      <m:oMath>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atm</m:t>
            </m:r>
          </m:sub>
          <m:sup>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sup>
        </m:sSubSup>
      </m:oMath>
      <w:r>
        <w:rPr>
          <w:rFonts w:ascii="Times New Roman" w:hAnsi="Times New Roman" w:cs="Times New Roman" w:hint="eastAsia"/>
        </w:rPr>
        <w:t xml:space="preserve"> </w:t>
      </w:r>
      <w:r w:rsidR="00001D5F">
        <w:rPr>
          <w:rFonts w:ascii="Times New Roman" w:hAnsi="Times New Roman" w:cs="Times New Roman"/>
        </w:rPr>
        <w:t>represent</w:t>
      </w:r>
      <w:r>
        <w:rPr>
          <w:rFonts w:ascii="Times New Roman" w:hAnsi="Times New Roman" w:cs="Times New Roman"/>
        </w:rPr>
        <w:t xml:space="preserve"> </w:t>
      </w:r>
      <w:r w:rsidR="0089143D">
        <w:rPr>
          <w:rFonts w:ascii="Times New Roman" w:hAnsi="Times New Roman" w:cs="Times New Roman"/>
        </w:rPr>
        <w:t xml:space="preserve">measured </w:t>
      </w:r>
      <w:r>
        <w:rPr>
          <w:rFonts w:ascii="Times New Roman" w:hAnsi="Times New Roman" w:cs="Times New Roman"/>
        </w:rPr>
        <w:t xml:space="preserve">dissolved oxygen concentration at </w:t>
      </w:r>
      <w:r w:rsidR="0089143D">
        <w:rPr>
          <w:rFonts w:ascii="Times New Roman" w:hAnsi="Times New Roman" w:cs="Times New Roman"/>
        </w:rPr>
        <w:t>the</w:t>
      </w:r>
      <w:r>
        <w:rPr>
          <w:rFonts w:ascii="Times New Roman" w:hAnsi="Times New Roman" w:cs="Times New Roman"/>
        </w:rPr>
        <w:t xml:space="preserve"> surface</w:t>
      </w:r>
      <w:r w:rsidR="00443836">
        <w:rPr>
          <w:rFonts w:ascii="Times New Roman" w:hAnsi="Times New Roman" w:cs="Times New Roman"/>
        </w:rPr>
        <w:t>;</w:t>
      </w:r>
      <w:r>
        <w:rPr>
          <w:rFonts w:ascii="Times New Roman" w:hAnsi="Times New Roman" w:cs="Times New Roman"/>
        </w:rPr>
        <w:t xml:space="preserve"> dissolved oxygen </w:t>
      </w:r>
      <w:r w:rsidR="0089143D">
        <w:rPr>
          <w:rFonts w:ascii="Times New Roman" w:hAnsi="Times New Roman" w:cs="Times New Roman"/>
        </w:rPr>
        <w:t xml:space="preserve">saturation </w:t>
      </w:r>
      <w:r>
        <w:rPr>
          <w:rFonts w:ascii="Times New Roman" w:hAnsi="Times New Roman" w:cs="Times New Roman"/>
        </w:rPr>
        <w:t>concentration</w:t>
      </w:r>
      <w:r w:rsidR="0089143D">
        <w:rPr>
          <w:rFonts w:ascii="Times New Roman" w:hAnsi="Times New Roman" w:cs="Times New Roman"/>
        </w:rPr>
        <w:t xml:space="preserve"> </w:t>
      </w:r>
      <w:r w:rsidR="00C01A6F">
        <w:rPr>
          <w:rFonts w:ascii="Times New Roman" w:hAnsi="Times New Roman" w:cs="Times New Roman"/>
        </w:rPr>
        <w:t>at the surface</w:t>
      </w:r>
      <w:r w:rsidR="00001D5F">
        <w:rPr>
          <w:rFonts w:ascii="Times New Roman" w:hAnsi="Times New Roman" w:cs="Times New Roman"/>
        </w:rPr>
        <w:t>,</w:t>
      </w:r>
      <w:r w:rsidR="00C01A6F">
        <w:rPr>
          <w:rFonts w:ascii="Times New Roman" w:hAnsi="Times New Roman" w:cs="Times New Roman"/>
        </w:rPr>
        <w:t xml:space="preserve"> </w:t>
      </w:r>
      <w:r w:rsidR="0089143D">
        <w:rPr>
          <w:rFonts w:ascii="Times New Roman" w:hAnsi="Times New Roman" w:cs="Times New Roman"/>
        </w:rPr>
        <w:t xml:space="preserve">calculated </w:t>
      </w:r>
      <w:r w:rsidR="00001D5F">
        <w:rPr>
          <w:rFonts w:ascii="Times New Roman" w:hAnsi="Times New Roman" w:cs="Times New Roman"/>
        </w:rPr>
        <w:t>following</w:t>
      </w:r>
      <w:r w:rsidR="0089143D">
        <w:rPr>
          <w:rFonts w:ascii="Times New Roman" w:hAnsi="Times New Roman" w:cs="Times New Roman"/>
        </w:rPr>
        <w:t xml:space="preserve"> </w:t>
      </w:r>
      <w:r w:rsidR="008C7308">
        <w:rPr>
          <w:rFonts w:ascii="Times New Roman" w:hAnsi="Times New Roman" w:cs="Times New Roman"/>
        </w:rPr>
        <w:fldChar w:fldCharType="begin"/>
      </w:r>
      <w:r w:rsidR="00502663">
        <w:rPr>
          <w:rFonts w:ascii="Times New Roman" w:hAnsi="Times New Roman" w:cs="Times New Roman"/>
        </w:rPr>
        <w:instrText xml:space="preserve"> ADDIN ZOTERO_ITEM CSL_CITATION {"citationID":"a2e2tb503v1","properties":{"formattedCitation":"(Garcia and Gordon 1992)","plainCitation":"(Garcia and Gordon 1992)","dontUpdate":true,"noteIndex":0},"citationItems":[{"id":2387,"uris":["http://zotero.org/users/7846282/items/3KUXKXYJ"],"itemData":{"id":2387,"type":"article-journal","abstract":"We examined uncertainties associated with the routine computation of O2 solubility (Co*) at 1 atm total pressure in pure water and seawater in equilibrium with air as a function of temperature and salinity. We propose formulae expressing C*(at STP, real gas) in cm3 dm</w:instrText>
      </w:r>
      <w:r w:rsidR="00502663">
        <w:rPr>
          <w:rFonts w:ascii="Times New Roman" w:hAnsi="Times New Roman" w:cs="Times New Roman" w:hint="eastAsia"/>
        </w:rPr>
        <w:instrText>−</w:instrText>
      </w:r>
      <w:r w:rsidR="00502663">
        <w:rPr>
          <w:rFonts w:ascii="Times New Roman" w:hAnsi="Times New Roman" w:cs="Times New Roman"/>
        </w:rPr>
        <w:instrText>3 and µmol kg</w:instrText>
      </w:r>
      <w:r w:rsidR="00502663">
        <w:rPr>
          <w:rFonts w:ascii="Times New Roman" w:hAnsi="Times New Roman" w:cs="Times New Roman" w:hint="eastAsia"/>
        </w:rPr>
        <w:instrText>−</w:instrText>
      </w:r>
      <w:r w:rsidR="00502663">
        <w:rPr>
          <w:rFonts w:ascii="Times New Roman" w:hAnsi="Times New Roman" w:cs="Times New Roman"/>
        </w:rPr>
        <w:instrText xml:space="preserve">1 in the range (tF ≥ t 40°C; 0 ≥ S 42‰) based on a fit to precise data selected from the literature.","container-title":"Limnology and Oceanography","DOI":"10.4319/lo.1992.37.6.1307","ISSN":"1939-5590","issue":"6","language":"en","license":"© 1992, by the Association for the Sciences of Limnology and Oceanography, Inc.","note":"_eprint: https://onlinelibrary.wiley.com/doi/pdf/10.4319/lo.1992.37.6.1307","page":"1307-1312","source":"Wiley Online Library","title":"Oxygen solubility in seawater: Better fitting equations","title-short":"Oxygen solubility in seawater","volume":"37","author":[{"family":"Garcia","given":"Herncin E."},{"family":"Gordon","given":"Louis I."}],"issued":{"date-parts":[["1992"]]}}}],"schema":"https://github.com/citation-style-language/schema/raw/master/csl-citation.json"}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 xml:space="preserve">Garcia and Gordon </w:t>
      </w:r>
      <w:r w:rsidR="00E04AC0">
        <w:rPr>
          <w:rFonts w:ascii="Times New Roman" w:hAnsi="Times New Roman" w:cs="Times New Roman"/>
        </w:rPr>
        <w:t>(</w:t>
      </w:r>
      <w:r w:rsidR="008977BA">
        <w:rPr>
          <w:rFonts w:ascii="Times New Roman" w:hAnsi="Times New Roman" w:cs="Times New Roman"/>
        </w:rPr>
        <w:t>1992)</w:t>
      </w:r>
      <w:r w:rsidR="008C7308">
        <w:rPr>
          <w:rFonts w:ascii="Times New Roman" w:hAnsi="Times New Roman" w:cs="Times New Roman"/>
        </w:rPr>
        <w:fldChar w:fldCharType="end"/>
      </w:r>
      <w:bookmarkEnd w:id="4"/>
      <w:r w:rsidR="00C01A6F">
        <w:rPr>
          <w:rFonts w:ascii="Times New Roman" w:hAnsi="Times New Roman" w:cs="Times New Roman"/>
        </w:rPr>
        <w:t xml:space="preserve"> </w:t>
      </w:r>
      <w:r w:rsidR="00953A5D">
        <w:rPr>
          <w:rFonts w:ascii="Times New Roman" w:hAnsi="Times New Roman" w:cs="Times New Roman"/>
        </w:rPr>
        <w:t>using</w:t>
      </w:r>
      <w:r w:rsidR="00C01A6F">
        <w:rPr>
          <w:rFonts w:ascii="Times New Roman" w:hAnsi="Times New Roman" w:cs="Times New Roman"/>
        </w:rPr>
        <w:t xml:space="preserve"> measured </w:t>
      </w:r>
      <w:r w:rsidR="0089143D">
        <w:rPr>
          <w:rFonts w:ascii="Times New Roman" w:hAnsi="Times New Roman" w:cs="Times New Roman"/>
        </w:rPr>
        <w:t>sea surface temperature and salinity</w:t>
      </w:r>
      <w:r w:rsidR="00443836">
        <w:rPr>
          <w:rFonts w:ascii="Times New Roman" w:hAnsi="Times New Roman" w:cs="Times New Roman"/>
        </w:rPr>
        <w:t>;</w:t>
      </w:r>
      <w:r w:rsidR="0089143D">
        <w:rPr>
          <w:rFonts w:ascii="Times New Roman" w:hAnsi="Times New Roman" w:cs="Times New Roman"/>
        </w:rPr>
        <w:t xml:space="preserve"> and the atmospheric mole fraction of oxygen (</w:t>
      </w:r>
      <m:oMath>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atm</m:t>
            </m:r>
          </m:sub>
          <m:sup>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sup>
        </m:sSubSup>
        <m:r>
          <m:rPr>
            <m:sty m:val="p"/>
          </m:rPr>
          <w:rPr>
            <w:rFonts w:ascii="Cambria Math" w:hAnsi="Cambria Math" w:cs="Times New Roman" w:hint="eastAsia"/>
          </w:rPr>
          <m:t>=</m:t>
        </m:r>
        <m:r>
          <m:rPr>
            <m:sty m:val="p"/>
          </m:rPr>
          <w:rPr>
            <w:rFonts w:ascii="Cambria Math" w:hAnsi="Cambria Math" w:cs="Times New Roman"/>
          </w:rPr>
          <m:t>0.21</m:t>
        </m:r>
      </m:oMath>
      <w:r w:rsidR="0089143D">
        <w:rPr>
          <w:rFonts w:ascii="Times New Roman" w:hAnsi="Times New Roman" w:cs="Times New Roman"/>
        </w:rPr>
        <w:t xml:space="preserve">), respectively. </w:t>
      </w:r>
      <w:r w:rsidR="00C01A6F">
        <w:rPr>
          <w:rFonts w:ascii="Times New Roman" w:hAnsi="Times New Roman" w:cs="Times New Roman"/>
        </w:rPr>
        <w:t>The mass transfer coefficients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m:t>
            </m:r>
          </m:sub>
        </m:sSub>
      </m:oMath>
      <w:r w:rsidR="00C01A6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m:t>
            </m:r>
          </m:sub>
        </m:sSub>
      </m:oMath>
      <w:r w:rsidR="00C01A6F">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c</m:t>
            </m:r>
          </m:sub>
        </m:sSub>
      </m:oMath>
      <w:r w:rsidR="00C01A6F">
        <w:rPr>
          <w:rFonts w:ascii="Times New Roman" w:hAnsi="Times New Roman" w:cs="Times New Roman"/>
        </w:rPr>
        <w:t>) and t</w:t>
      </w:r>
      <w:r w:rsidR="00C01A6F" w:rsidRPr="00C01A6F">
        <w:rPr>
          <w:rFonts w:ascii="Times New Roman" w:hAnsi="Times New Roman" w:cs="Times New Roman" w:hint="eastAsia"/>
        </w:rPr>
        <w:t>h</w:t>
      </w:r>
      <w:r w:rsidR="00C01A6F" w:rsidRPr="00C01A6F">
        <w:rPr>
          <w:rFonts w:ascii="Times New Roman" w:hAnsi="Times New Roman" w:cs="Times New Roman"/>
        </w:rPr>
        <w:t>e fraction of supersaturation inside large bubbles</w:t>
      </w:r>
      <w:r w:rsidR="00C01A6F">
        <w:rPr>
          <w:rFonts w:ascii="Times New Roman" w:hAnsi="Times New Roman" w:cs="Times New Roman"/>
        </w:rPr>
        <w:t xml:space="preserve"> (</w:t>
      </w:r>
      <m:oMath>
        <m:r>
          <w:rPr>
            <w:rFonts w:ascii="Cambria Math" w:hAnsi="Cambria Math" w:cs="Times New Roman"/>
          </w:rPr>
          <m:t>∆P</m:t>
        </m:r>
      </m:oMath>
      <w:r w:rsidR="00C01A6F">
        <w:rPr>
          <w:rFonts w:ascii="Times New Roman" w:hAnsi="Times New Roman" w:cs="Times New Roman"/>
        </w:rPr>
        <w:t xml:space="preserve">) are parameterized as </w:t>
      </w:r>
      <w:r w:rsidR="00B65DFE">
        <w:rPr>
          <w:rFonts w:ascii="Times New Roman" w:hAnsi="Times New Roman" w:cs="Times New Roman"/>
        </w:rPr>
        <w:t>functions</w:t>
      </w:r>
      <w:r w:rsidR="00C01A6F">
        <w:rPr>
          <w:rFonts w:ascii="Times New Roman" w:hAnsi="Times New Roman" w:cs="Times New Roman"/>
        </w:rPr>
        <w:t xml:space="preserve"> of wind speed (</w:t>
      </w:r>
      <w:r w:rsidR="00B65DFE">
        <w:rPr>
          <w:rFonts w:ascii="Times New Roman" w:hAnsi="Times New Roman" w:cs="Times New Roman"/>
        </w:rPr>
        <w:t>a</w:t>
      </w:r>
      <w:r w:rsidR="00B65DFE" w:rsidRPr="00B65DFE">
        <w:rPr>
          <w:rFonts w:ascii="Times New Roman" w:hAnsi="Times New Roman" w:cs="Times New Roman"/>
        </w:rPr>
        <w:t>dapted</w:t>
      </w:r>
      <w:r w:rsidR="001D24F2">
        <w:rPr>
          <w:rFonts w:ascii="Times New Roman" w:hAnsi="Times New Roman" w:cs="Times New Roman"/>
        </w:rPr>
        <w:t xml:space="preserve"> from</w:t>
      </w:r>
      <w:r w:rsidR="00502663">
        <w:rPr>
          <w:rFonts w:ascii="Times New Roman" w:hAnsi="Times New Roman" w:cs="Times New Roman"/>
        </w:rPr>
        <w:fldChar w:fldCharType="begin"/>
      </w:r>
      <w:r w:rsidR="0010373B">
        <w:rPr>
          <w:rFonts w:ascii="Times New Roman" w:hAnsi="Times New Roman" w:cs="Times New Roman"/>
        </w:rPr>
        <w:instrText xml:space="preserve"> ADDIN ZOTERO_ITEM CSL_CITATION {"citationID":"g2G4ynqF","properties":{"formattedCitation":"(Emerson and Bushinsky 2016)","plainCitation":"(Emerson and Bushinsky 2016)","dontUpdate":true,"noteIndex":0},"citationItems":[{"id":1685,"uris":["http://zotero.org/users/7846282/items/UISJL43U"],"itemData":{"id":1685,"type":"article-journal","abstract":"The potential for using the air-sea exchange rate of oxygen as a tracer for net community biological production in the ocean is greatly enhanced by recent accuracy improvements for in situ measurements of oxygen on unmanned platforms. A limiting factor for determining the exchange process is evaluating the air-sea ﬂux contributed by bubble processes produced by breaking waves, particularly during winter months under high winds. Highly accurate measurements of noble gases (Ne, Ar &amp; Kr) and nitrogen, N2, in seawater are tracers of the importance of bubble process in the surface mixed layer. We use measured distributions of these gases in the ventilated thermocline of the North Paciﬁc and an annual time series of N2 in the surface ocean of the NE Subarctic Paciﬁc to evaluate four different air-water exchange models chosen to represent the range of model interpretation of bubble processes. We ﬁnd that models must have an explicit bubble mechanism to reproduce concentrations of insoluble atmospheric gases, but there are periods when they all depart from observations. The recent model of Liang et al. (2013) stems from a highly resolved model of bubble plumes and categorizes bubble mechanisms into those that are small enough to collapse and larger ones that exchange gases before they resurface, both of which are necessary to explain the data.","container-title":"Journal of Geophysical Research: Oceans","DOI":"10.1002/2016</w:instrText>
      </w:r>
      <w:r w:rsidR="0010373B">
        <w:rPr>
          <w:rFonts w:ascii="Times New Roman" w:hAnsi="Times New Roman" w:cs="Times New Roman" w:hint="eastAsia"/>
        </w:rPr>
        <w:instrText>JC011744","ISSN":"2169-9275, 2169-9291","issue":"6","journalAbbreviation":"J. Geophys. Res. Oceans","language":"en","page":"4360-4376","source":"DOI.org (Crossref)","title":"The role of bubbles during air</w:instrText>
      </w:r>
      <w:r w:rsidR="0010373B">
        <w:rPr>
          <w:rFonts w:ascii="Times New Roman" w:hAnsi="Times New Roman" w:cs="Times New Roman" w:hint="eastAsia"/>
        </w:rPr>
        <w:instrText>‐</w:instrText>
      </w:r>
      <w:r w:rsidR="0010373B">
        <w:rPr>
          <w:rFonts w:ascii="Times New Roman" w:hAnsi="Times New Roman" w:cs="Times New Roman" w:hint="eastAsia"/>
        </w:rPr>
        <w:instrText>sea gas exchange","volume":"121","author":[{"famil</w:instrText>
      </w:r>
      <w:r w:rsidR="0010373B">
        <w:rPr>
          <w:rFonts w:ascii="Times New Roman" w:hAnsi="Times New Roman" w:cs="Times New Roman"/>
        </w:rPr>
        <w:instrText xml:space="preserve">y":"Emerson","given":"Steven"},{"family":"Bushinsky","given":"Seth"}],"issued":{"date-parts":[["2016",6]]}}}],"schema":"https://github.com/citation-style-language/schema/raw/master/csl-citation.json"} </w:instrText>
      </w:r>
      <w:r w:rsidR="00502663">
        <w:rPr>
          <w:rFonts w:ascii="Times New Roman" w:hAnsi="Times New Roman" w:cs="Times New Roman"/>
        </w:rPr>
        <w:fldChar w:fldCharType="separate"/>
      </w:r>
      <w:r w:rsidR="00502663">
        <w:rPr>
          <w:rFonts w:ascii="Times New Roman" w:hAnsi="Times New Roman" w:cs="Times New Roman"/>
          <w:noProof/>
        </w:rPr>
        <w:t xml:space="preserve"> Emerson and Bushinsky 2016)</w:t>
      </w:r>
      <w:r w:rsidR="00502663">
        <w:rPr>
          <w:rFonts w:ascii="Times New Roman" w:hAnsi="Times New Roman" w:cs="Times New Roman"/>
        </w:rPr>
        <w:fldChar w:fldCharType="end"/>
      </w:r>
      <w:r w:rsidR="00001D5F">
        <w:rPr>
          <w:rFonts w:ascii="Times New Roman" w:hAnsi="Times New Roman" w:cs="Times New Roman"/>
        </w:rPr>
        <w:t>:</w:t>
      </w:r>
    </w:p>
    <w:p w14:paraId="1E305A8C" w14:textId="77777777" w:rsidR="00B416B8" w:rsidRPr="0034592F" w:rsidRDefault="00B416B8" w:rsidP="00C01A6F">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C01A6F" w:rsidRPr="0034592F" w14:paraId="1E77021E" w14:textId="77777777" w:rsidTr="00C6505D">
        <w:trPr>
          <w:trHeight w:val="481"/>
        </w:trPr>
        <w:tc>
          <w:tcPr>
            <w:tcW w:w="8364" w:type="dxa"/>
            <w:vAlign w:val="center"/>
          </w:tcPr>
          <w:p w14:paraId="72A82BD8" w14:textId="63544F25" w:rsidR="00C01A6F" w:rsidRPr="0034592F" w:rsidRDefault="00000000" w:rsidP="00C6505D">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s</m:t>
                    </m:r>
                  </m:sub>
                </m:sSub>
                <m:r>
                  <w:rPr>
                    <w:rFonts w:ascii="Cambria Math" w:hAnsi="Cambria Math" w:cs="Times New Roman"/>
                  </w:rPr>
                  <m:t>=1.04×</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r>
                  <w:rPr>
                    <w:rFonts w:ascii="Cambria Math" w:hAnsi="Cambria Math" w:cs="Times New Roman"/>
                  </w:rPr>
                  <m:t>×1.3×</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a</m:t>
                    </m:r>
                  </m:sup>
                </m:sSubSup>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c</m:t>
                        </m:r>
                      </m:sub>
                    </m:sSub>
                    <m:r>
                      <w:rPr>
                        <w:rFonts w:ascii="Cambria Math" w:hAnsi="Cambria Math" w:cs="Times New Roman"/>
                      </w:rPr>
                      <m:t>/660)</m:t>
                    </m:r>
                  </m:e>
                  <m:sup>
                    <m:r>
                      <w:rPr>
                        <w:rFonts w:ascii="Cambria Math" w:hAnsi="Cambria Math" w:cs="Times New Roman"/>
                      </w:rPr>
                      <m:t>-0.5</m:t>
                    </m:r>
                  </m:sup>
                </m:sSup>
              </m:oMath>
            </m:oMathPara>
          </w:p>
          <w:p w14:paraId="14E6FC1C" w14:textId="1C71235B" w:rsidR="00B65DFE" w:rsidRPr="0034592F" w:rsidRDefault="00000000" w:rsidP="00B65DFE">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m:t>
                    </m:r>
                  </m:sub>
                </m:sSub>
                <m:r>
                  <w:rPr>
                    <w:rFonts w:ascii="Cambria Math" w:hAnsi="Cambria Math" w:cs="Times New Roman"/>
                  </w:rPr>
                  <m:t>=5.5×</m:t>
                </m:r>
                <m:sSup>
                  <m:sSupPr>
                    <m:ctrlPr>
                      <w:rPr>
                        <w:rFonts w:ascii="Cambria Math" w:hAnsi="Cambria Math" w:cs="Times New Roman"/>
                        <w:i/>
                      </w:rPr>
                    </m:ctrlPr>
                  </m:sSupPr>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w</m:t>
                        </m:r>
                      </m:sup>
                    </m:sSubSup>
                    <m:r>
                      <w:rPr>
                        <w:rFonts w:ascii="Cambria Math" w:hAnsi="Cambria Math" w:cs="Times New Roman"/>
                      </w:rPr>
                      <m:t>)</m:t>
                    </m:r>
                  </m:e>
                  <m:sup>
                    <m:r>
                      <w:rPr>
                        <w:rFonts w:ascii="Cambria Math" w:hAnsi="Cambria Math" w:cs="Times New Roman"/>
                      </w:rPr>
                      <m:t>2.76</m:t>
                    </m:r>
                  </m:sup>
                </m:sSup>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c</m:t>
                        </m:r>
                      </m:sub>
                    </m:sSub>
                    <m:r>
                      <w:rPr>
                        <w:rFonts w:ascii="Cambria Math" w:hAnsi="Cambria Math" w:cs="Times New Roman"/>
                      </w:rPr>
                      <m:t>/660)</m:t>
                    </m:r>
                  </m:e>
                  <m:sup>
                    <m:r>
                      <w:rPr>
                        <w:rFonts w:ascii="Cambria Math" w:hAnsi="Cambria Math" w:cs="Times New Roman"/>
                      </w:rPr>
                      <m:t>-0.67</m:t>
                    </m:r>
                  </m:sup>
                </m:sSup>
              </m:oMath>
            </m:oMathPara>
          </w:p>
          <w:p w14:paraId="405D3761" w14:textId="3003CA35" w:rsidR="00B65DFE" w:rsidRPr="0034592F" w:rsidRDefault="00000000" w:rsidP="00B65DFE">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c</m:t>
                    </m:r>
                  </m:sub>
                </m:sSub>
                <m:r>
                  <w:rPr>
                    <w:rFonts w:ascii="Cambria Math" w:hAnsi="Cambria Math" w:cs="Times New Roman"/>
                  </w:rPr>
                  <m:t>=5.56×</m:t>
                </m:r>
                <m:sSup>
                  <m:sSupPr>
                    <m:ctrlPr>
                      <w:rPr>
                        <w:rFonts w:ascii="Cambria Math" w:hAnsi="Cambria Math" w:cs="Times New Roman"/>
                        <w:i/>
                      </w:rPr>
                    </m:ctrlPr>
                  </m:sSupPr>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w</m:t>
                        </m:r>
                      </m:sup>
                    </m:sSubSup>
                    <m:r>
                      <w:rPr>
                        <w:rFonts w:ascii="Cambria Math" w:hAnsi="Cambria Math" w:cs="Times New Roman"/>
                      </w:rPr>
                      <m:t>)</m:t>
                    </m:r>
                  </m:e>
                  <m:sup>
                    <m:r>
                      <w:rPr>
                        <w:rFonts w:ascii="Cambria Math" w:hAnsi="Cambria Math" w:cs="Times New Roman"/>
                      </w:rPr>
                      <m:t>3.86</m:t>
                    </m:r>
                  </m:sup>
                </m:sSup>
              </m:oMath>
            </m:oMathPara>
          </w:p>
          <w:p w14:paraId="75F1C899" w14:textId="7A76C8E3" w:rsidR="00C01A6F" w:rsidRPr="0034592F" w:rsidRDefault="00B65DFE" w:rsidP="00C6505D">
            <w:pPr>
              <w:spacing w:line="480" w:lineRule="auto"/>
              <w:jc w:val="center"/>
              <w:rPr>
                <w:rFonts w:ascii="Times New Roman" w:hAnsi="Times New Roman" w:cs="Times New Roman"/>
              </w:rPr>
            </w:pPr>
            <m:oMathPara>
              <m:oMath>
                <m:r>
                  <w:rPr>
                    <w:rFonts w:ascii="Cambria Math" w:hAnsi="Cambria Math" w:cs="Times New Roman"/>
                  </w:rPr>
                  <m:t>∆P=1.52×</m:t>
                </m:r>
                <m:sSup>
                  <m:sSupPr>
                    <m:ctrlPr>
                      <w:rPr>
                        <w:rFonts w:ascii="Cambria Math" w:hAnsi="Cambria Math" w:cs="Times New Roman"/>
                        <w:i/>
                      </w:rPr>
                    </m:ctrlPr>
                  </m:sSupPr>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w</m:t>
                        </m:r>
                      </m:sup>
                    </m:sSubSup>
                    <m:r>
                      <w:rPr>
                        <w:rFonts w:ascii="Cambria Math" w:hAnsi="Cambria Math" w:cs="Times New Roman"/>
                      </w:rPr>
                      <m:t>)</m:t>
                    </m:r>
                  </m:e>
                  <m:sup>
                    <m:r>
                      <w:rPr>
                        <w:rFonts w:ascii="Cambria Math" w:hAnsi="Cambria Math" w:cs="Times New Roman"/>
                      </w:rPr>
                      <m:t>1.06</m:t>
                    </m:r>
                  </m:sup>
                </m:sSup>
                <m:r>
                  <w:rPr>
                    <w:rFonts w:ascii="Cambria Math" w:hAnsi="Cambria Math" w:cs="Times New Roman"/>
                  </w:rPr>
                  <m:t>,</m:t>
                </m:r>
              </m:oMath>
            </m:oMathPara>
          </w:p>
        </w:tc>
        <w:tc>
          <w:tcPr>
            <w:tcW w:w="680" w:type="dxa"/>
            <w:vAlign w:val="center"/>
          </w:tcPr>
          <w:p w14:paraId="57A98C44" w14:textId="18E09EF0" w:rsidR="00C01A6F" w:rsidRPr="0034592F" w:rsidRDefault="00C01A6F" w:rsidP="00C6505D">
            <w:pPr>
              <w:spacing w:line="480" w:lineRule="auto"/>
              <w:jc w:val="center"/>
              <w:rPr>
                <w:rFonts w:ascii="Times New Roman" w:hAnsi="Times New Roman" w:cs="Times New Roman"/>
              </w:rPr>
            </w:pPr>
            <w:r w:rsidRPr="0034592F">
              <w:rPr>
                <w:rFonts w:ascii="Times New Roman" w:hAnsi="Times New Roman" w:cs="Times New Roman"/>
              </w:rPr>
              <w:t>(</w:t>
            </w:r>
            <w:r>
              <w:rPr>
                <w:rFonts w:ascii="Times New Roman" w:hAnsi="Times New Roman" w:cs="Times New Roman"/>
              </w:rPr>
              <w:t>14</w:t>
            </w:r>
            <w:r w:rsidRPr="0034592F">
              <w:rPr>
                <w:rFonts w:ascii="Times New Roman" w:hAnsi="Times New Roman" w:cs="Times New Roman"/>
              </w:rPr>
              <w:t>)</w:t>
            </w:r>
          </w:p>
        </w:tc>
      </w:tr>
    </w:tbl>
    <w:p w14:paraId="2DD81001" w14:textId="77777777" w:rsidR="00B416B8" w:rsidRDefault="00B416B8" w:rsidP="00945122">
      <w:pPr>
        <w:spacing w:line="480" w:lineRule="auto"/>
        <w:jc w:val="both"/>
        <w:rPr>
          <w:rFonts w:ascii="Times New Roman" w:hAnsi="Times New Roman" w:cs="Times New Roman"/>
        </w:rPr>
      </w:pPr>
    </w:p>
    <w:p w14:paraId="5940C032" w14:textId="2594C384" w:rsidR="00945122" w:rsidRDefault="00945122" w:rsidP="00945122">
      <w:pPr>
        <w:spacing w:line="480" w:lineRule="auto"/>
        <w:jc w:val="both"/>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 xml:space="preserve">here </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a</m:t>
            </m:r>
          </m:sup>
        </m:sSubSup>
      </m:oMath>
      <w:r>
        <w:rPr>
          <w:rFonts w:ascii="Times New Roman" w:hAnsi="Times New Roman" w:cs="Times New Roman"/>
        </w:rPr>
        <w:t xml:space="preserve"> and </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w</m:t>
            </m:r>
          </m:sup>
        </m:sSubSup>
      </m:oMath>
      <w:r>
        <w:rPr>
          <w:rFonts w:ascii="Times New Roman" w:hAnsi="Times New Roman" w:cs="Times New Roman"/>
        </w:rPr>
        <w:t xml:space="preserve"> are the air-side and water-side friction velocit</w:t>
      </w:r>
      <w:r w:rsidR="00001D5F">
        <w:rPr>
          <w:rFonts w:ascii="Times New Roman" w:hAnsi="Times New Roman" w:cs="Times New Roman"/>
        </w:rPr>
        <w:t>ies</w:t>
      </w:r>
      <w:r>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c</m:t>
            </m:r>
          </m:sub>
        </m:sSub>
      </m:oMath>
      <w:r>
        <w:rPr>
          <w:rFonts w:ascii="Times New Roman" w:hAnsi="Times New Roman" w:cs="Times New Roman" w:hint="eastAsia"/>
        </w:rPr>
        <w:t xml:space="preserve"> </w:t>
      </w:r>
      <w:r w:rsidR="00001D5F">
        <w:rPr>
          <w:rFonts w:ascii="Times New Roman" w:hAnsi="Times New Roman" w:cs="Times New Roman"/>
        </w:rPr>
        <w:t>is the</w:t>
      </w:r>
      <w:r>
        <w:rPr>
          <w:rFonts w:ascii="Times New Roman" w:hAnsi="Times New Roman" w:cs="Times New Roman"/>
        </w:rPr>
        <w:t xml:space="preserve"> Schmidt number of oxygen at the sea surface temperature. The friction velocities are related by</w:t>
      </w:r>
    </w:p>
    <w:p w14:paraId="06ACC9C0" w14:textId="77777777" w:rsidR="00B416B8" w:rsidRPr="0034592F" w:rsidRDefault="00B416B8" w:rsidP="00945122">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945122" w:rsidRPr="0034592F" w14:paraId="46D4FE55" w14:textId="77777777" w:rsidTr="00C6505D">
        <w:trPr>
          <w:trHeight w:val="481"/>
        </w:trPr>
        <w:tc>
          <w:tcPr>
            <w:tcW w:w="8364" w:type="dxa"/>
            <w:vAlign w:val="center"/>
          </w:tcPr>
          <w:p w14:paraId="10CAC895" w14:textId="0CE70DF6" w:rsidR="00945122" w:rsidRPr="0034592F" w:rsidRDefault="00000000" w:rsidP="009E51DC">
            <w:pPr>
              <w:spacing w:line="480" w:lineRule="auto"/>
              <w:jc w:val="center"/>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w</m:t>
                    </m:r>
                  </m:sup>
                </m:sSubSup>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w</m:t>
                            </m:r>
                          </m:sub>
                        </m:sSub>
                      </m:den>
                    </m:f>
                  </m:e>
                </m:rad>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m:t>
                    </m:r>
                  </m:sub>
                  <m:sup>
                    <m:r>
                      <w:rPr>
                        <w:rFonts w:ascii="Cambria Math" w:hAnsi="Cambria Math" w:cs="Times New Roman"/>
                      </w:rPr>
                      <m:t>a</m:t>
                    </m:r>
                  </m:sup>
                </m:sSubSup>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w</m:t>
                            </m:r>
                          </m:sub>
                        </m:sSub>
                      </m:den>
                    </m:f>
                  </m:e>
                </m:rad>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d</m:t>
                        </m:r>
                      </m:sub>
                    </m:sSub>
                  </m:e>
                </m:rad>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10</m:t>
                    </m:r>
                  </m:sub>
                </m:sSub>
                <m:r>
                  <w:rPr>
                    <w:rFonts w:ascii="Cambria Math" w:hAnsi="Cambria Math" w:cs="Times New Roman"/>
                  </w:rPr>
                  <m:t>,</m:t>
                </m:r>
              </m:oMath>
            </m:oMathPara>
          </w:p>
        </w:tc>
        <w:tc>
          <w:tcPr>
            <w:tcW w:w="680" w:type="dxa"/>
            <w:vAlign w:val="center"/>
          </w:tcPr>
          <w:p w14:paraId="4E7DAFFB" w14:textId="750989E7" w:rsidR="00945122" w:rsidRPr="0034592F" w:rsidRDefault="00945122" w:rsidP="00C6505D">
            <w:pPr>
              <w:spacing w:line="480" w:lineRule="auto"/>
              <w:jc w:val="center"/>
              <w:rPr>
                <w:rFonts w:ascii="Times New Roman" w:hAnsi="Times New Roman" w:cs="Times New Roman"/>
              </w:rPr>
            </w:pPr>
            <w:r w:rsidRPr="0034592F">
              <w:rPr>
                <w:rFonts w:ascii="Times New Roman" w:hAnsi="Times New Roman" w:cs="Times New Roman"/>
              </w:rPr>
              <w:t>(</w:t>
            </w:r>
            <w:r>
              <w:rPr>
                <w:rFonts w:ascii="Times New Roman" w:hAnsi="Times New Roman" w:cs="Times New Roman"/>
              </w:rPr>
              <w:t>15</w:t>
            </w:r>
            <w:r w:rsidRPr="0034592F">
              <w:rPr>
                <w:rFonts w:ascii="Times New Roman" w:hAnsi="Times New Roman" w:cs="Times New Roman"/>
              </w:rPr>
              <w:t>)</w:t>
            </w:r>
          </w:p>
        </w:tc>
      </w:tr>
    </w:tbl>
    <w:p w14:paraId="2A0417AD" w14:textId="77777777" w:rsidR="00B416B8" w:rsidRDefault="00B416B8" w:rsidP="00F07610">
      <w:pPr>
        <w:spacing w:line="480" w:lineRule="auto"/>
        <w:jc w:val="both"/>
        <w:rPr>
          <w:rFonts w:ascii="Times New Roman" w:hAnsi="Times New Roman" w:cs="Times New Roman"/>
        </w:rPr>
      </w:pPr>
    </w:p>
    <w:p w14:paraId="7820B035" w14:textId="38A3DE7A" w:rsidR="00F07610" w:rsidRDefault="009E51DC" w:rsidP="00F07610">
      <w:pPr>
        <w:spacing w:line="480" w:lineRule="auto"/>
        <w:jc w:val="both"/>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a</m:t>
            </m:r>
          </m:sub>
        </m:sSub>
      </m:oMath>
      <w:r>
        <w:rPr>
          <w:rFonts w:ascii="Times New Roman" w:hAnsi="Times New Roman" w:cs="Times New Roman" w:hint="eastAsia"/>
        </w:rPr>
        <w:t>,</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w</m:t>
            </m:r>
          </m:sub>
        </m:sSub>
      </m:oMath>
      <w:r>
        <w:rPr>
          <w:rFonts w:ascii="Times New Roman" w:hAnsi="Times New Roman" w:cs="Times New Roman" w:hint="eastAsia"/>
        </w:rPr>
        <w:t>,</w:t>
      </w:r>
      <w:r w:rsidRPr="009E51DC">
        <w:rPr>
          <w:rFonts w:ascii="Cambria Math" w:hAnsi="Cambria Math" w:cs="Times New Roman"/>
          <w:i/>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d</m:t>
            </m:r>
          </m:sub>
        </m:sSub>
      </m:oMath>
      <w:r w:rsidR="00945122">
        <w:rPr>
          <w:rFonts w:ascii="Times New Roman" w:hAnsi="Times New Roman" w:cs="Times New Roman"/>
        </w:rPr>
        <w:t xml:space="preserve"> </w:t>
      </w:r>
      <w:r>
        <w:rPr>
          <w:rFonts w:ascii="Times New Roman" w:hAnsi="Times New Roman" w:cs="Times New Roman"/>
        </w:rPr>
        <w:t>a</w:t>
      </w:r>
      <w:r w:rsidR="00945122">
        <w:rPr>
          <w:rFonts w:ascii="Times New Roman" w:hAnsi="Times New Roman" w:cs="Times New Roman"/>
        </w:rPr>
        <w:t xml:space="preserve">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10</m:t>
            </m:r>
          </m:sub>
        </m:sSub>
      </m:oMath>
      <w:r>
        <w:rPr>
          <w:rFonts w:ascii="Times New Roman" w:hAnsi="Times New Roman" w:cs="Times New Roman" w:hint="eastAsia"/>
        </w:rPr>
        <w:t xml:space="preserve"> </w:t>
      </w:r>
      <w:r w:rsidR="00001D5F">
        <w:rPr>
          <w:rFonts w:ascii="Times New Roman" w:hAnsi="Times New Roman" w:cs="Times New Roman"/>
        </w:rPr>
        <w:t>represent</w:t>
      </w:r>
      <w:r>
        <w:rPr>
          <w:rFonts w:ascii="Times New Roman" w:hAnsi="Times New Roman" w:cs="Times New Roman"/>
        </w:rPr>
        <w:t xml:space="preserve"> air density, seawater density, drag coefficient at the air</w:t>
      </w:r>
      <w:r w:rsidR="003567FE">
        <w:rPr>
          <w:rFonts w:ascii="Times New Roman" w:hAnsi="Times New Roman" w:cs="Times New Roman"/>
        </w:rPr>
        <w:t>–</w:t>
      </w:r>
      <w:r>
        <w:rPr>
          <w:rFonts w:ascii="Times New Roman" w:hAnsi="Times New Roman" w:cs="Times New Roman"/>
        </w:rPr>
        <w:t xml:space="preserve">water interface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{"citationID":"aehh73cfi3","properties":{"formattedCitation":"(Large and Pond 1981; Sullivan et al. 2012)","plainCitation":"(Large and Pond 1981; Sullivan et al. 2012)","noteIndex":0},"citationItems":[{"id":2612,"uris":["http://zotero.org/users/7846282/items/BFCHRZ4M"],"itemData":{"id":2612,"type":"article-journal","abstract":"Abstract Measurements of the momentum flux were made by the Reynolds flux and dissipation methods on a deep water stable tower operated by the Bedford Institute of Oceanography, A modified Gill propeller-vane anemometer was used to measure the velocity. Drag coefficients from 196 Reynolds flux measurements agree well with those reported in Smith (1980) based on independent observations at the same site. Based on 192 runs, a comparison of the dissipation and Reynolds flux results shows excellent agreement on average, for wind speeds from 4 to 20 m s</w:instrText>
      </w:r>
      <w:r w:rsidR="008C7308">
        <w:rPr>
          <w:rFonts w:ascii="Times New Roman" w:hAnsi="Times New Roman" w:cs="Times New Roman" w:hint="eastAsia"/>
        </w:rPr>
        <w:instrText>−</w:instrText>
      </w:r>
      <w:r w:rsidR="008C7308">
        <w:rPr>
          <w:rFonts w:ascii="Times New Roman" w:hAnsi="Times New Roman" w:cs="Times New Roman"/>
        </w:rPr>
        <w:instrText xml:space="preserve">1. The much more extensive dissipation data set (1086 h from the tower and 505 h from the weathership PAPA, CCGS Quadra) was used to investigate the dependence of the drag coefficient on wind speed, fetch and stability. The drag coefficient reduced to 10 m height and neutral conditions (CDN), is independent of stability and fetch (for fetch/height </w:instrText>
      </w:r>
      <w:r w:rsidR="008C7308">
        <w:rPr>
          <w:rFonts w:ascii="Cambria Math" w:hAnsi="Cambria Math" w:cs="Cambria Math"/>
        </w:rPr>
        <w:instrText>≳</w:instrText>
      </w:r>
      <w:r w:rsidR="008C7308">
        <w:rPr>
          <w:rFonts w:ascii="Times New Roman" w:hAnsi="Times New Roman" w:cs="Times New Roman"/>
        </w:rPr>
        <w:instrText>800) but increases with wind speed above 10 m s</w:instrText>
      </w:r>
      <w:r w:rsidR="008C7308">
        <w:rPr>
          <w:rFonts w:ascii="Times New Roman" w:hAnsi="Times New Roman" w:cs="Times New Roman" w:hint="eastAsia"/>
        </w:rPr>
        <w:instrText>−</w:instrText>
      </w:r>
      <w:r w:rsidR="008C7308">
        <w:rPr>
          <w:rFonts w:ascii="Times New Roman" w:hAnsi="Times New Roman" w:cs="Times New Roman"/>
        </w:rPr>
        <w:instrText>1. Some time series of the momentum flux and drag coefficient are shown to demonstrate additional sources of variation in the drag coefficient. CDN is observed to be smaller, on average. during rising winds than during failing winds or after a change in wind direction. Based on our results and many deep water results of others, we obtainwhere U10 is the wind speed at a height of 10 m. A method for calculating the stress from this CDN and observations of wind speed and surface minus air temperature at heights other than 10 m is also given.","container-title":"Journal of Physical Oceanography","DOI":"10.1175/1520-0485(1981)011&lt;0324:OOMFMI&gt;2.0.CO;2","ISSN":"0022-3670, 1520-0485","issue":"3","language":"EN","note":"publisher: American Meteorological Society\nsection: Journal of Physical Oceanography","page":"324-336","source":"journals.ametsoc.org","title":"Open Ocean Momentum Flux Measurements in Moderate to Strong Winds","volume":"11","author":[{"family":"Large","given":"W. G."},{"family":"Pond","given":"S."}],"issued":{"date-parts":[["1981",3,1]]}}},{"id":2609,"uris":["http://zotero.org/users/7846282/items/ILWZ6VGV"],"itemData":{"id":2609,"type":"article-journal","abstract":"Abstract A large-eddy simulation (LES) model, which adopts wave-averaged equations with vortex force, is used to investigate Langmuir turbulence and ocean boundary layer (OBL) dynamics in high-wind hurricane conditions. The temporally evolving spatially asymmetric wind and wave Stokes drift velocity imposed in the LES are generated by a spectral wave prediction model adapted to Hurricane Frances traveling at a speed of 5.5 m s</w:instrText>
      </w:r>
      <w:r w:rsidR="008C7308">
        <w:rPr>
          <w:rFonts w:ascii="Times New Roman" w:hAnsi="Times New Roman" w:cs="Times New Roman" w:hint="eastAsia"/>
        </w:rPr>
        <w:instrText>−</w:instrText>
      </w:r>
      <w:r w:rsidR="008C7308">
        <w:rPr>
          <w:rFonts w:ascii="Times New Roman" w:hAnsi="Times New Roman" w:cs="Times New Roman"/>
        </w:rPr>
        <w:instrText xml:space="preserve">1. The potency of Langmuir turbulence depends on the turbulent Langmuir number, the wind–Stokes drift alignment, and the depth scale of the Stokes profile Ds relative to the OBL depth h. At the time of maximum winds, large-scale vigorous coherent cells develop on the right-hand side of the storm under the inertially rotating winds; the Stokes drift velocity is well tuned to the surface winds. Much weaker cells develop on the left-hand side of the storm, partly because of reduced Stokes production. With misaligned winds and waves the vertical momentum fluxes can be counter to the gradient of Stokes drift, and the cell orientation tracks the direction of the mean Lagrangian shear. The entrainment flux is increased by 20% and the sea surface temperature is 0.25 K cooler on the right-hand side of the storm in the presence of Langmuir turbulence. Wave effects impact entrainment when the ratio Ds/|h| &gt; 0.75. Because of wind–wave asymmetry Langmuir cells add quantitatively to the left–right asymmetry already understood for hurricanes due to resonance. And the transient evolution of the OBL cannot be understood simply in terms of equilibrium snapshots.","container-title":"Journal of Physical Oceanography","DOI":"10.1175/JPO-D-12-025.1","ISSN":"0022-3670, 1520-0485","issue":"11","language":"EN","note":"publisher: American Meteorological Society\nsection: Journal of Physical Oceanography","page":"1959-1980","source":"journals.ametsoc.org","title":"Transient Evolution of Langmuir Turbulence in Ocean Boundary Layers Driven by Hurricane Winds and Waves","volume":"42","author":[{"family":"Sullivan","given":"Peter P."},{"family":"Romero","given":"Leonel"},{"family":"McWilliams","given":"James C."},{"family":"Melville","given":"W. Kendall"}],"issued":{"date-parts":[["2012",11,1]]}}}],"schema":"https://github.com/citation-style-language/schema/raw/master/csl-citation.json"}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(Large and Pond 1981; Sullivan et al. 2012)</w:t>
      </w:r>
      <w:r w:rsidR="008C7308">
        <w:rPr>
          <w:rFonts w:ascii="Times New Roman" w:hAnsi="Times New Roman" w:cs="Times New Roman"/>
        </w:rPr>
        <w:fldChar w:fldCharType="end"/>
      </w:r>
      <w:r>
        <w:rPr>
          <w:rFonts w:ascii="Times New Roman" w:hAnsi="Times New Roman" w:cs="Times New Roman"/>
        </w:rPr>
        <w:t>, and wind speed at 10 m height, respectively.</w:t>
      </w:r>
      <w:r w:rsidR="00F07610">
        <w:rPr>
          <w:rFonts w:ascii="Times New Roman" w:hAnsi="Times New Roman" w:cs="Times New Roman"/>
        </w:rPr>
        <w:t xml:space="preserve"> </w:t>
      </w:r>
      <w:r w:rsidR="00001D5F">
        <w:rPr>
          <w:rFonts w:ascii="Times New Roman" w:hAnsi="Times New Roman" w:cs="Times New Roman"/>
        </w:rPr>
        <w:t>We m</w:t>
      </w:r>
      <w:r w:rsidR="00F07610">
        <w:rPr>
          <w:rFonts w:ascii="Times New Roman" w:hAnsi="Times New Roman" w:cs="Times New Roman"/>
        </w:rPr>
        <w:t>ultipl</w:t>
      </w:r>
      <w:r w:rsidR="00001D5F">
        <w:rPr>
          <w:rFonts w:ascii="Times New Roman" w:hAnsi="Times New Roman" w:cs="Times New Roman"/>
        </w:rPr>
        <w:t>ie</w:t>
      </w:r>
      <w:r w:rsidR="00953A5D">
        <w:rPr>
          <w:rFonts w:ascii="Times New Roman" w:hAnsi="Times New Roman" w:cs="Times New Roman"/>
        </w:rPr>
        <w:t>d</w:t>
      </w:r>
      <w:r w:rsidR="00F07610">
        <w:rPr>
          <w:rFonts w:ascii="Times New Roman" w:hAnsi="Times New Roman" w:cs="Times New Roman"/>
        </w:rPr>
        <w:t xml:space="preserve"> </w:t>
      </w:r>
      <w:r w:rsidR="00001D5F">
        <w:rPr>
          <w:rFonts w:ascii="Times New Roman" w:hAnsi="Times New Roman" w:cs="Times New Roman"/>
        </w:rPr>
        <w:t xml:space="preserve">by </w:t>
      </w:r>
      <w:r w:rsidR="00F07610">
        <w:rPr>
          <w:rFonts w:ascii="Times New Roman" w:hAnsi="Times New Roman" w:cs="Times New Roman"/>
        </w:rPr>
        <w:t xml:space="preserve">the fraction of area </w:t>
      </w:r>
      <w:r w:rsidR="00001D5F">
        <w:rPr>
          <w:rFonts w:ascii="Times New Roman" w:hAnsi="Times New Roman" w:cs="Times New Roman"/>
        </w:rPr>
        <w:t xml:space="preserve">not </w:t>
      </w:r>
      <w:r w:rsidR="00F07610">
        <w:rPr>
          <w:rFonts w:ascii="Times New Roman" w:hAnsi="Times New Roman" w:cs="Times New Roman"/>
        </w:rPr>
        <w:t>covered by sea ice (</w:t>
      </w:r>
      <m:oMath>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ice</m:t>
            </m:r>
          </m:sub>
        </m:sSub>
      </m:oMath>
      <w:r w:rsidR="00F07610">
        <w:rPr>
          <w:rFonts w:ascii="Times New Roman" w:hAnsi="Times New Roman" w:cs="Times New Roman"/>
        </w:rPr>
        <w:t xml:space="preserve">) </w:t>
      </w:r>
      <w:r w:rsidR="00001D5F">
        <w:rPr>
          <w:rFonts w:ascii="Times New Roman" w:hAnsi="Times New Roman" w:cs="Times New Roman"/>
        </w:rPr>
        <w:t>to</w:t>
      </w:r>
      <w:r w:rsidR="00F07610">
        <w:rPr>
          <w:rFonts w:ascii="Times New Roman" w:hAnsi="Times New Roman" w:cs="Times New Roman"/>
        </w:rPr>
        <w:t xml:space="preserve"> obtain the net air</w:t>
      </w:r>
      <w:r w:rsidR="003567FE">
        <w:rPr>
          <w:rFonts w:ascii="Times New Roman" w:hAnsi="Times New Roman" w:cs="Times New Roman"/>
        </w:rPr>
        <w:t>–</w:t>
      </w:r>
      <w:r w:rsidR="00F07610">
        <w:rPr>
          <w:rFonts w:ascii="Times New Roman" w:hAnsi="Times New Roman" w:cs="Times New Roman"/>
        </w:rPr>
        <w:t>sea oxygen exchange (</w:t>
      </w:r>
      <w:r w:rsidR="00F07610" w:rsidRPr="00F07610">
        <w:rPr>
          <w:rFonts w:ascii="Times New Roman" w:hAnsi="Times New Roman" w:cs="Times New Roman"/>
          <w:i/>
          <w:iCs/>
        </w:rPr>
        <w:t>F</w:t>
      </w:r>
      <w:r w:rsidR="00F07610" w:rsidRPr="00F07610">
        <w:rPr>
          <w:rFonts w:ascii="Times New Roman" w:hAnsi="Times New Roman" w:cs="Times New Roman"/>
          <w:i/>
          <w:iCs/>
          <w:vertAlign w:val="subscript"/>
        </w:rPr>
        <w:t>A</w:t>
      </w:r>
      <w:r w:rsidR="003567FE">
        <w:rPr>
          <w:rFonts w:ascii="Times New Roman" w:hAnsi="Times New Roman" w:cs="Times New Roman"/>
          <w:i/>
          <w:iCs/>
          <w:vertAlign w:val="subscript"/>
        </w:rPr>
        <w:t>–</w:t>
      </w:r>
      <w:r w:rsidR="00F07610" w:rsidRPr="00F07610">
        <w:rPr>
          <w:rFonts w:ascii="Times New Roman" w:hAnsi="Times New Roman" w:cs="Times New Roman"/>
          <w:i/>
          <w:iCs/>
          <w:vertAlign w:val="subscript"/>
        </w:rPr>
        <w:t>S</w:t>
      </w:r>
      <w:r w:rsidR="00F07610">
        <w:rPr>
          <w:rFonts w:ascii="Times New Roman" w:hAnsi="Times New Roman" w:cs="Times New Roman"/>
        </w:rPr>
        <w:t>)</w:t>
      </w:r>
      <w:r w:rsidR="00001D5F">
        <w:rPr>
          <w:rFonts w:ascii="Times New Roman" w:hAnsi="Times New Roman" w:cs="Times New Roman"/>
        </w:rPr>
        <w:t>:</w:t>
      </w:r>
    </w:p>
    <w:p w14:paraId="057D7753" w14:textId="77777777" w:rsidR="00B416B8" w:rsidRPr="0034592F" w:rsidRDefault="00B416B8" w:rsidP="00F07610">
      <w:pPr>
        <w:spacing w:line="480" w:lineRule="auto"/>
        <w:jc w:val="both"/>
        <w:rPr>
          <w:rFonts w:ascii="Times New Roman" w:hAnsi="Times New Roman" w:cs="Times New Roman"/>
        </w:rPr>
      </w:pPr>
    </w:p>
    <w:tbl>
      <w:tblPr>
        <w:tblStyle w:val="ab"/>
        <w:tblW w:w="9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80"/>
      </w:tblGrid>
      <w:tr w:rsidR="00F07610" w:rsidRPr="0034592F" w14:paraId="33A8035D" w14:textId="77777777" w:rsidTr="00C6505D">
        <w:trPr>
          <w:trHeight w:val="481"/>
        </w:trPr>
        <w:tc>
          <w:tcPr>
            <w:tcW w:w="8364" w:type="dxa"/>
            <w:vAlign w:val="center"/>
          </w:tcPr>
          <w:p w14:paraId="52FCC426" w14:textId="17F72B8C" w:rsidR="00F07610" w:rsidRPr="0034592F" w:rsidRDefault="00000000" w:rsidP="00F07610">
            <w:pPr>
              <w:spacing w:line="480" w:lineRule="auto"/>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net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ice</m:t>
                        </m:r>
                      </m:sub>
                    </m:sSub>
                  </m:e>
                </m:d>
                <m:r>
                  <w:rPr>
                    <w:rFonts w:ascii="Cambria Math" w:hAnsi="Cambria Math" w:cs="Times New Roman"/>
                  </w:rPr>
                  <m:t>.</m:t>
                </m:r>
              </m:oMath>
            </m:oMathPara>
          </w:p>
        </w:tc>
        <w:tc>
          <w:tcPr>
            <w:tcW w:w="680" w:type="dxa"/>
            <w:vAlign w:val="center"/>
          </w:tcPr>
          <w:p w14:paraId="45FDC62A" w14:textId="21835BE2" w:rsidR="00F07610" w:rsidRPr="0034592F" w:rsidRDefault="00F07610" w:rsidP="00C6505D">
            <w:pPr>
              <w:spacing w:line="480" w:lineRule="auto"/>
              <w:jc w:val="center"/>
              <w:rPr>
                <w:rFonts w:ascii="Times New Roman" w:hAnsi="Times New Roman" w:cs="Times New Roman"/>
              </w:rPr>
            </w:pPr>
            <w:r w:rsidRPr="0034592F">
              <w:rPr>
                <w:rFonts w:ascii="Times New Roman" w:hAnsi="Times New Roman" w:cs="Times New Roman"/>
              </w:rPr>
              <w:t>(</w:t>
            </w:r>
            <w:r>
              <w:rPr>
                <w:rFonts w:ascii="Times New Roman" w:hAnsi="Times New Roman" w:cs="Times New Roman"/>
              </w:rPr>
              <w:t>14</w:t>
            </w:r>
            <w:r w:rsidRPr="0034592F">
              <w:rPr>
                <w:rFonts w:ascii="Times New Roman" w:hAnsi="Times New Roman" w:cs="Times New Roman"/>
              </w:rPr>
              <w:t>)</w:t>
            </w:r>
          </w:p>
        </w:tc>
      </w:tr>
    </w:tbl>
    <w:p w14:paraId="3D4E1140" w14:textId="77777777" w:rsidR="00F07610" w:rsidRDefault="00F07610" w:rsidP="00B8767A">
      <w:pPr>
        <w:spacing w:line="480" w:lineRule="auto"/>
        <w:jc w:val="both"/>
        <w:rPr>
          <w:rFonts w:ascii="Times New Roman" w:hAnsi="Times New Roman" w:cs="Times New Roman"/>
        </w:rPr>
      </w:pPr>
    </w:p>
    <w:p w14:paraId="110751E1" w14:textId="58E133ED" w:rsidR="005F6F87" w:rsidRDefault="005F6F87" w:rsidP="00C31254">
      <w:pPr>
        <w:spacing w:line="480" w:lineRule="auto"/>
        <w:jc w:val="both"/>
        <w:rPr>
          <w:rFonts w:ascii="Times New Roman" w:hAnsi="Times New Roman" w:cs="Times New Roman"/>
        </w:rPr>
      </w:pPr>
      <w:r w:rsidRPr="005F6F87">
        <w:rPr>
          <w:rFonts w:ascii="Times New Roman" w:hAnsi="Times New Roman" w:cs="Times New Roman"/>
        </w:rPr>
        <w:lastRenderedPageBreak/>
        <w:t xml:space="preserve">Using </w:t>
      </w:r>
      <w:r w:rsidR="00001D5F">
        <w:rPr>
          <w:rFonts w:ascii="Times New Roman" w:hAnsi="Times New Roman" w:cs="Times New Roman"/>
        </w:rPr>
        <w:t xml:space="preserve">the </w:t>
      </w:r>
      <w:r w:rsidRPr="005F6F87">
        <w:rPr>
          <w:rFonts w:ascii="Times New Roman" w:hAnsi="Times New Roman" w:cs="Times New Roman"/>
        </w:rPr>
        <w:t>sea surface temperature and salinity obtained from each profile, we calculate</w:t>
      </w:r>
      <w:r w:rsidR="00001D5F">
        <w:rPr>
          <w:rFonts w:ascii="Times New Roman" w:hAnsi="Times New Roman" w:cs="Times New Roman"/>
        </w:rPr>
        <w:t>d</w:t>
      </w:r>
      <w:r w:rsidRPr="005F6F87">
        <w:rPr>
          <w:rFonts w:ascii="Times New Roman" w:hAnsi="Times New Roman" w:cs="Times New Roman"/>
        </w:rPr>
        <w:t xml:space="preserve"> the saturation oxygen concentration </w:t>
      </w:r>
      <w:r w:rsidR="00F51C90">
        <w:rPr>
          <w:rFonts w:ascii="Times New Roman" w:hAnsi="Times New Roman" w:cs="Times New Roman"/>
        </w:rPr>
        <w:t xml:space="preserve">at </w:t>
      </w:r>
      <w:r w:rsidR="00953A5D">
        <w:rPr>
          <w:rFonts w:ascii="Times New Roman" w:hAnsi="Times New Roman" w:cs="Times New Roman"/>
        </w:rPr>
        <w:t xml:space="preserve">the </w:t>
      </w:r>
      <w:r w:rsidR="00F51C90">
        <w:rPr>
          <w:rFonts w:ascii="Times New Roman" w:hAnsi="Times New Roman" w:cs="Times New Roman"/>
        </w:rPr>
        <w:t>sea surface</w:t>
      </w:r>
      <w:r w:rsidR="00217DE3">
        <w:rPr>
          <w:rFonts w:ascii="Times New Roman" w:hAnsi="Times New Roman" w:cs="Times New Roman"/>
        </w:rPr>
        <w:t xml:space="preserve"> (</w:t>
      </w:r>
      <m:oMath>
        <m:sSubSup>
          <m:sSubSupPr>
            <m:ctrlPr>
              <w:rPr>
                <w:rFonts w:ascii="Cambria Math" w:eastAsiaTheme="minorEastAsia" w:hAnsi="Cambria Math" w:cs="Times New Roman"/>
                <w:i/>
              </w:rPr>
            </m:ctrlPr>
          </m:sSubSup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up>
            <m:r>
              <w:rPr>
                <w:rFonts w:ascii="Cambria Math" w:hAnsi="Cambria Math" w:cs="Times New Roman"/>
              </w:rPr>
              <m:t>sat</m:t>
            </m:r>
          </m:sup>
        </m:sSubSup>
      </m:oMath>
      <w:r w:rsidR="00217DE3">
        <w:rPr>
          <w:rFonts w:ascii="Times New Roman" w:hAnsi="Times New Roman" w:cs="Times New Roman" w:hint="eastAsia"/>
        </w:rPr>
        <w:t>)</w:t>
      </w:r>
      <w:r w:rsidR="00F51C90">
        <w:rPr>
          <w:rFonts w:ascii="Times New Roman" w:hAnsi="Times New Roman" w:cs="Times New Roman"/>
        </w:rPr>
        <w:t xml:space="preserve"> </w:t>
      </w:r>
      <w:r w:rsidRPr="005F6F87">
        <w:rPr>
          <w:rFonts w:ascii="Times New Roman" w:hAnsi="Times New Roman" w:cs="Times New Roman"/>
        </w:rPr>
        <w:t>and compute</w:t>
      </w:r>
      <w:r w:rsidR="00001D5F">
        <w:rPr>
          <w:rFonts w:ascii="Times New Roman" w:hAnsi="Times New Roman" w:cs="Times New Roman"/>
        </w:rPr>
        <w:t>d</w:t>
      </w:r>
      <w:r w:rsidRPr="005F6F87">
        <w:rPr>
          <w:rFonts w:ascii="Times New Roman" w:hAnsi="Times New Roman" w:cs="Times New Roman"/>
        </w:rPr>
        <w:t xml:space="preserve"> the difference </w:t>
      </w:r>
      <w:r w:rsidR="00001D5F">
        <w:rPr>
          <w:rFonts w:ascii="Times New Roman" w:hAnsi="Times New Roman" w:cs="Times New Roman"/>
        </w:rPr>
        <w:t>between that value and</w:t>
      </w:r>
      <w:r w:rsidRPr="005F6F87">
        <w:rPr>
          <w:rFonts w:ascii="Times New Roman" w:hAnsi="Times New Roman" w:cs="Times New Roman"/>
        </w:rPr>
        <w:t xml:space="preserve"> the sea surface dissolved oxygen concentration</w:t>
      </w:r>
      <w:r w:rsidR="00F51C90">
        <w:rPr>
          <w:rFonts w:ascii="Times New Roman" w:hAnsi="Times New Roman" w:cs="Times New Roman"/>
        </w:rPr>
        <w:t xml:space="preserve"> (</w:t>
      </w:r>
      <m:oMath>
        <m:sSub>
          <m:sSubPr>
            <m:ctrlPr>
              <w:rPr>
                <w:rFonts w:ascii="Cambria Math" w:eastAsiaTheme="minorEastAsia" w:hAnsi="Cambria Math" w:cs="Times New Roman"/>
                <w:i/>
              </w:rPr>
            </m:ctrlPr>
          </m:sSubPr>
          <m:e>
            <m:sSub>
              <m:sSubPr>
                <m:ctrlPr>
                  <w:rPr>
                    <w:rFonts w:ascii="Cambria Math" w:hAnsi="Cambria Math" w:cs="Times New Roman"/>
                    <w:iCs/>
                  </w:rPr>
                </m:ctrlPr>
              </m:sSubPr>
              <m:e>
                <m:r>
                  <m:rPr>
                    <m:sty m:val="p"/>
                  </m:rPr>
                  <w:rPr>
                    <w:rFonts w:ascii="Cambria Math" w:hAnsi="Cambria Math" w:cs="Times New Roman"/>
                  </w:rPr>
                  <m:t>[O</m:t>
                </m:r>
              </m:e>
              <m:sub>
                <m:r>
                  <m:rPr>
                    <m:sty m:val="p"/>
                  </m:rPr>
                  <w:rPr>
                    <w:rFonts w:ascii="Cambria Math" w:hAnsi="Cambria Math" w:cs="Times New Roman"/>
                  </w:rPr>
                  <m:t>2</m:t>
                </m:r>
              </m:sub>
            </m:sSub>
            <m:r>
              <w:rPr>
                <w:rFonts w:ascii="Cambria Math" w:hAnsi="Cambria Math" w:cs="Times New Roman"/>
              </w:rPr>
              <m:t>]</m:t>
            </m:r>
          </m:e>
          <m:sub>
            <m:r>
              <w:rPr>
                <w:rFonts w:ascii="Cambria Math" w:hAnsi="Cambria Math" w:cs="Times New Roman"/>
              </w:rPr>
              <m:t>s</m:t>
            </m:r>
          </m:sub>
        </m:sSub>
      </m:oMath>
      <w:r w:rsidR="00F51C90">
        <w:rPr>
          <w:rFonts w:ascii="Times New Roman" w:hAnsi="Times New Roman" w:cs="Times New Roman"/>
        </w:rPr>
        <w:t>)</w:t>
      </w:r>
      <w:r w:rsidRPr="005F6F87">
        <w:rPr>
          <w:rFonts w:ascii="Times New Roman" w:hAnsi="Times New Roman" w:cs="Times New Roman"/>
        </w:rPr>
        <w:t>. We interpolate</w:t>
      </w:r>
      <w:r w:rsidR="00001D5F">
        <w:rPr>
          <w:rFonts w:ascii="Times New Roman" w:hAnsi="Times New Roman" w:cs="Times New Roman"/>
        </w:rPr>
        <w:t>d</w:t>
      </w:r>
      <w:r w:rsidRPr="005F6F87">
        <w:rPr>
          <w:rFonts w:ascii="Times New Roman" w:hAnsi="Times New Roman" w:cs="Times New Roman"/>
        </w:rPr>
        <w:t xml:space="preserve"> </w:t>
      </w:r>
      <w:r w:rsidR="00F51C90" w:rsidRPr="005F6F87">
        <w:rPr>
          <w:rFonts w:ascii="Times New Roman" w:hAnsi="Times New Roman" w:cs="Times New Roman"/>
        </w:rPr>
        <w:t xml:space="preserve">daily </w:t>
      </w:r>
      <w:r w:rsidR="00F51C90">
        <w:rPr>
          <w:rFonts w:ascii="Times New Roman" w:hAnsi="Times New Roman" w:cs="Times New Roman"/>
        </w:rPr>
        <w:t xml:space="preserve">wind speed data from </w:t>
      </w:r>
      <w:r w:rsidR="00F51C90" w:rsidRPr="005F6F87">
        <w:rPr>
          <w:rFonts w:ascii="Times New Roman" w:hAnsi="Times New Roman" w:cs="Times New Roman"/>
        </w:rPr>
        <w:t xml:space="preserve">satellite-based products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{"citationID":"a2ovj7alnds","properties":{"formattedCitation":"(Tomita et al. 2019; Mears et al. 2019)","plainCitation":"(Tomita et al. 2019; Mears et al. 2019)","noteIndex":0},"citationItems":[{"id":559,"uris":["http://zotero.org/users/7846282/items/KJSHJRWP"],"itemData":{"id":559,"type":"article-journal","abstract":"Accurate observational estimation of the ocean surface heat, momentum, and freshwater fluxes is crucial for studies of the global climate system. Estimating surface flux using satellite remote sensing techniques is one possible answer to this challenge. In this paper, we introduce J-OFURO3, a third-generation data set developed by the Japanese Ocean Flux Data Sets with Use of Remote-Sensing Observations (J-OFURO) research project, which represents a significant improvement from older data sets as the result of research and development conducted from several perspectives. J-OFURO3 offers data sets for surface heat, momentum, freshwater fluxes, and related parameters over the global oceans (except regions of sea ice) from 1988 to 2013. The surface flux data, based on a 0.25° grid system, have a higher spatial resolution and are more accurate than the previous efforts. This has been achieved through the adopting of the state-of-the-art algorithms that estimate the near-surface air specific humidity and the improvement of techniques using observations from multi-satellite sensors. Comparisons with in situ observations using a systematic system developed along with the J-OFURO3 data set confirmed these improvements in accuracy, as did comparisons with other data sets. J-OFURO3 data are of good quality, facilitating a clearer understanding of more fine-scale ocean–atmosphere features (such as ocean fronts, mesoscale eddies, and geographic features) and their effects on surface fluxes. The information contained in this long-term (26 year) data set is demonstrably beneficial to understanding climate change and its relationship to oceans and the atmosphere.","container-title":"Journal of Oceanography","DOI":"10.1007/s10872-018-0493-x","ISSN":"0916-8370, 1573-868X","issue":"2","journalAbbreviation":"J Oceanogr","language":"en","page":"171-194","source":"DOI.org (Crossref)","title":"An introduction to J-OFURO3, a third-generation Japanese ocean flux data set using remote-sensing observations","volume":"75","author":[{"family":"Tomita","given":"Hiroyuki"},{"family":"Hihara","given":"Tsutomu"},{"family":"Kako","given":"Shin’ichiro"},{"family":"Kubota","given":"Masahisa"},{</w:instrText>
      </w:r>
      <w:r w:rsidR="008C7308">
        <w:rPr>
          <w:rFonts w:ascii="Times New Roman" w:hAnsi="Times New Roman" w:cs="Times New Roman" w:hint="eastAsia"/>
        </w:rPr>
        <w:instrText>"family":"Kutsuwada","given":"Kunio"}],"issued":{"date-parts":[["2019",4]]}}},{"id":2597,"uris":["http://zotero.org/users/7846282/items/DJXRKSS7"],"itemData":{"id":2597,"type":"article-journal","abstract":"The Cross</w:instrText>
      </w:r>
      <w:r w:rsidR="008C7308">
        <w:rPr>
          <w:rFonts w:ascii="Times New Roman" w:hAnsi="Times New Roman" w:cs="Times New Roman" w:hint="eastAsia"/>
        </w:rPr>
        <w:instrText>‐</w:instrText>
      </w:r>
      <w:r w:rsidR="008C7308">
        <w:rPr>
          <w:rFonts w:ascii="Times New Roman" w:hAnsi="Times New Roman" w:cs="Times New Roman" w:hint="eastAsia"/>
        </w:rPr>
        <w:instrText>Calibrated Multiplatform (CCMP) ocean surface wind data set was originally developed by Atlas and coworkers to blend cross</w:instrText>
      </w:r>
      <w:r w:rsidR="008C7308">
        <w:rPr>
          <w:rFonts w:ascii="Times New Roman" w:hAnsi="Times New Roman" w:cs="Times New Roman" w:hint="eastAsia"/>
        </w:rPr>
        <w:instrText>‐</w:instrText>
      </w:r>
      <w:r w:rsidR="008C7308">
        <w:rPr>
          <w:rFonts w:ascii="Times New Roman" w:hAnsi="Times New Roman" w:cs="Times New Roman" w:hint="eastAsia"/>
        </w:rPr>
        <w:instrText>calibrated satellite winds, in situ data, and wind analyses from numerical weather prediction. CCMP uses a variational analysis method to smoothly blend these data sources into a gap</w:instrText>
      </w:r>
      <w:r w:rsidR="008C7308">
        <w:rPr>
          <w:rFonts w:ascii="Times New Roman" w:hAnsi="Times New Roman" w:cs="Times New Roman" w:hint="eastAsia"/>
        </w:rPr>
        <w:instrText>‐</w:instrText>
      </w:r>
      <w:r w:rsidR="008C7308">
        <w:rPr>
          <w:rFonts w:ascii="Times New Roman" w:hAnsi="Times New Roman" w:cs="Times New Roman" w:hint="eastAsia"/>
        </w:rPr>
        <w:instrText>free gridded wind estimate every 6 hr. CCMP version 2.0 is currently produced by Remote Sensing Systems using consistently cross</w:instrText>
      </w:r>
      <w:r w:rsidR="008C7308">
        <w:rPr>
          <w:rFonts w:ascii="Times New Roman" w:hAnsi="Times New Roman" w:cs="Times New Roman" w:hint="eastAsia"/>
        </w:rPr>
        <w:instrText>‐</w:instrText>
      </w:r>
      <w:r w:rsidR="008C7308">
        <w:rPr>
          <w:rFonts w:ascii="Times New Roman" w:hAnsi="Times New Roman" w:cs="Times New Roman" w:hint="eastAsia"/>
        </w:rPr>
        <w:instrText>calibrated satellite winds, in situ data from moored buoys, and background winds from the ERA</w:instrText>
      </w:r>
      <w:r w:rsidR="008C7308">
        <w:rPr>
          <w:rFonts w:ascii="Times New Roman" w:hAnsi="Times New Roman" w:cs="Times New Roman" w:hint="eastAsia"/>
        </w:rPr>
        <w:instrText>‐</w:instrText>
      </w:r>
      <w:r w:rsidR="008C7308">
        <w:rPr>
          <w:rFonts w:ascii="Times New Roman" w:hAnsi="Times New Roman" w:cs="Times New Roman" w:hint="eastAsia"/>
        </w:rPr>
        <w:instrText xml:space="preserve">Interim reanalysis. </w:instrText>
      </w:r>
      <w:r w:rsidR="008C7308">
        <w:rPr>
          <w:rFonts w:ascii="Times New Roman" w:hAnsi="Times New Roman" w:cs="Times New Roman"/>
        </w:rPr>
        <w:instrText>The reanalysis ﬁelds are only available after a delay of several months, making it impossible to produce CCMP 2.0 in near real time. Measurements from in situ sources such as moored buoys are also often delayed. To overcome these obstacles and produce a n</w:instrText>
      </w:r>
      <w:r w:rsidR="008C7308">
        <w:rPr>
          <w:rFonts w:ascii="Times New Roman" w:hAnsi="Times New Roman" w:cs="Times New Roman" w:hint="eastAsia"/>
        </w:rPr>
        <w:instrText>ear</w:instrText>
      </w:r>
      <w:r w:rsidR="008C7308">
        <w:rPr>
          <w:rFonts w:ascii="Times New Roman" w:hAnsi="Times New Roman" w:cs="Times New Roman" w:hint="eastAsia"/>
        </w:rPr>
        <w:instrText>‐</w:instrText>
      </w:r>
      <w:r w:rsidR="008C7308">
        <w:rPr>
          <w:rFonts w:ascii="Times New Roman" w:hAnsi="Times New Roman" w:cs="Times New Roman" w:hint="eastAsia"/>
        </w:rPr>
        <w:instrText>real</w:instrText>
      </w:r>
      <w:r w:rsidR="008C7308">
        <w:rPr>
          <w:rFonts w:ascii="Times New Roman" w:hAnsi="Times New Roman" w:cs="Times New Roman" w:hint="eastAsia"/>
        </w:rPr>
        <w:instrText>‐</w:instrText>
      </w:r>
      <w:r w:rsidR="008C7308">
        <w:rPr>
          <w:rFonts w:ascii="Times New Roman" w:hAnsi="Times New Roman" w:cs="Times New Roman" w:hint="eastAsia"/>
        </w:rPr>
        <w:instrText>time (NRT) version of CCMP (CCMP</w:instrText>
      </w:r>
      <w:r w:rsidR="008C7308">
        <w:rPr>
          <w:rFonts w:ascii="Times New Roman" w:hAnsi="Times New Roman" w:cs="Times New Roman" w:hint="eastAsia"/>
        </w:rPr>
        <w:instrText>‐</w:instrText>
      </w:r>
      <w:r w:rsidR="008C7308">
        <w:rPr>
          <w:rFonts w:ascii="Times New Roman" w:hAnsi="Times New Roman" w:cs="Times New Roman" w:hint="eastAsia"/>
        </w:rPr>
        <w:instrText>NRT), two changes are made to the input data sets: The background winds are now the operational 0.25</w:instrText>
      </w:r>
      <w:r w:rsidR="008C7308">
        <w:rPr>
          <w:rFonts w:ascii="Times New Roman" w:hAnsi="Times New Roman" w:cs="Times New Roman" w:hint="eastAsia"/>
        </w:rPr>
        <w:instrText>‐</w:instrText>
      </w:r>
      <w:r w:rsidR="008C7308">
        <w:rPr>
          <w:rFonts w:ascii="Times New Roman" w:hAnsi="Times New Roman" w:cs="Times New Roman" w:hint="eastAsia"/>
        </w:rPr>
        <w:instrText>degree NCEP analysis winds, and no in situ data are used. This allows CCMP</w:instrText>
      </w:r>
      <w:r w:rsidR="008C7308">
        <w:rPr>
          <w:rFonts w:ascii="Times New Roman" w:hAnsi="Times New Roman" w:cs="Times New Roman" w:hint="eastAsia"/>
        </w:rPr>
        <w:instrText>‐</w:instrText>
      </w:r>
      <w:r w:rsidR="008C7308">
        <w:rPr>
          <w:rFonts w:ascii="Times New Roman" w:hAnsi="Times New Roman" w:cs="Times New Roman" w:hint="eastAsia"/>
        </w:rPr>
        <w:instrText>NRT to be routinely processed with a latency of less than 48 hr. An intercomparison of the CCMP</w:instrText>
      </w:r>
      <w:r w:rsidR="008C7308">
        <w:rPr>
          <w:rFonts w:ascii="Times New Roman" w:hAnsi="Times New Roman" w:cs="Times New Roman" w:hint="eastAsia"/>
        </w:rPr>
        <w:instrText>‐</w:instrText>
      </w:r>
      <w:r w:rsidR="008C7308">
        <w:rPr>
          <w:rFonts w:ascii="Times New Roman" w:hAnsi="Times New Roman" w:cs="Times New Roman" w:hint="eastAsia"/>
        </w:rPr>
        <w:instrText>NRT results with CCMP 2.0, and independent measurements from moored buoys shows that CCMP</w:instrText>
      </w:r>
      <w:r w:rsidR="008C7308">
        <w:rPr>
          <w:rFonts w:ascii="Times New Roman" w:hAnsi="Times New Roman" w:cs="Times New Roman" w:hint="eastAsia"/>
        </w:rPr>
        <w:instrText>‐</w:instrText>
      </w:r>
      <w:r w:rsidR="008C7308">
        <w:rPr>
          <w:rFonts w:ascii="Times New Roman" w:hAnsi="Times New Roman" w:cs="Times New Roman" w:hint="eastAsia"/>
        </w:rPr>
        <w:instrText>NRT provides a modest improvement over the background wind from NCEP in regions where satellite data are a</w:instrText>
      </w:r>
      <w:r w:rsidR="008C7308">
        <w:rPr>
          <w:rFonts w:ascii="Times New Roman" w:hAnsi="Times New Roman" w:cs="Times New Roman"/>
        </w:rPr>
        <w:instrText>vailable. Analysis shows that the inclusion of in situ measurement in CCMP improves the agreement with these measurements, artiﬁcially reducing estimates of the error. Plain Language Summary Satellites that orbit the Earth estimate winds over the ocean by</w:instrText>
      </w:r>
      <w:r w:rsidR="008C7308">
        <w:rPr>
          <w:rFonts w:ascii="Times New Roman" w:hAnsi="Times New Roman" w:cs="Times New Roman" w:hint="eastAsia"/>
        </w:rPr>
        <w:instrText xml:space="preserve"> evaluating the roughness the ocean surface. These satellites make their measurements at different time of the day, and there are spatial gaps between the satellite measurements. These characteristics make the data hard to use. The Cross</w:instrText>
      </w:r>
      <w:r w:rsidR="008C7308">
        <w:rPr>
          <w:rFonts w:ascii="Times New Roman" w:hAnsi="Times New Roman" w:cs="Times New Roman" w:hint="eastAsia"/>
        </w:rPr>
        <w:instrText>‐</w:instrText>
      </w:r>
      <w:r w:rsidR="008C7308">
        <w:rPr>
          <w:rFonts w:ascii="Times New Roman" w:hAnsi="Times New Roman" w:cs="Times New Roman" w:hint="eastAsia"/>
        </w:rPr>
        <w:instrText>Calibrated Multip</w:instrText>
      </w:r>
      <w:r w:rsidR="008C7308">
        <w:rPr>
          <w:rFonts w:ascii="Times New Roman" w:hAnsi="Times New Roman" w:cs="Times New Roman"/>
        </w:rPr>
        <w:instrText>latform (CCMP) vector wind analysis uses a mathematical technique that combines satellite measurements, in situ measurements, and a background wind ﬁeld into complete maps of ocean winds every 6 hr. This paper describes a new version of CCMP that can be c</w:instrText>
      </w:r>
      <w:r w:rsidR="008C7308">
        <w:rPr>
          <w:rFonts w:ascii="Times New Roman" w:hAnsi="Times New Roman" w:cs="Times New Roman" w:hint="eastAsia"/>
        </w:rPr>
        <w:instrText>onstructed only a few days after the satellite measurement are made, opening up near</w:instrText>
      </w:r>
      <w:r w:rsidR="008C7308">
        <w:rPr>
          <w:rFonts w:ascii="Times New Roman" w:hAnsi="Times New Roman" w:cs="Times New Roman" w:hint="eastAsia"/>
        </w:rPr>
        <w:instrText>‐</w:instrText>
      </w:r>
      <w:r w:rsidR="008C7308">
        <w:rPr>
          <w:rFonts w:ascii="Times New Roman" w:hAnsi="Times New Roman" w:cs="Times New Roman" w:hint="eastAsia"/>
        </w:rPr>
        <w:instrText>real</w:instrText>
      </w:r>
      <w:r w:rsidR="008C7308">
        <w:rPr>
          <w:rFonts w:ascii="Times New Roman" w:hAnsi="Times New Roman" w:cs="Times New Roman" w:hint="eastAsia"/>
        </w:rPr>
        <w:instrText>‐</w:instrText>
      </w:r>
      <w:r w:rsidR="008C7308">
        <w:rPr>
          <w:rFonts w:ascii="Times New Roman" w:hAnsi="Times New Roman" w:cs="Times New Roman" w:hint="eastAsia"/>
        </w:rPr>
        <w:instrText>time applications for these data.","container-title":"Journal of Geophysical Research: Oceans","DOI":"10.1029/2019JC015367","ISSN":"2169-9275, 2169-9291","issue":"10","journalAbbreviation":"JGR Oceans","language":"en","page":"6997-7010","source":"DOI.org (Crossref)","title":"A Near</w:instrText>
      </w:r>
      <w:r w:rsidR="008C7308">
        <w:rPr>
          <w:rFonts w:ascii="Times New Roman" w:hAnsi="Times New Roman" w:cs="Times New Roman" w:hint="eastAsia"/>
        </w:rPr>
        <w:instrText>‐</w:instrText>
      </w:r>
      <w:r w:rsidR="008C7308">
        <w:rPr>
          <w:rFonts w:ascii="Times New Roman" w:hAnsi="Times New Roman" w:cs="Times New Roman" w:hint="eastAsia"/>
        </w:rPr>
        <w:instrText>Real</w:instrText>
      </w:r>
      <w:r w:rsidR="008C7308">
        <w:rPr>
          <w:rFonts w:ascii="Times New Roman" w:hAnsi="Times New Roman" w:cs="Times New Roman" w:hint="eastAsia"/>
        </w:rPr>
        <w:instrText>‐</w:instrText>
      </w:r>
      <w:r w:rsidR="008C7308">
        <w:rPr>
          <w:rFonts w:ascii="Times New Roman" w:hAnsi="Times New Roman" w:cs="Times New Roman" w:hint="eastAsia"/>
        </w:rPr>
        <w:instrText>Time Version of the Cross</w:instrText>
      </w:r>
      <w:r w:rsidR="008C7308">
        <w:rPr>
          <w:rFonts w:ascii="Times New Roman" w:hAnsi="Times New Roman" w:cs="Times New Roman" w:hint="eastAsia"/>
        </w:rPr>
        <w:instrText>‐</w:instrText>
      </w:r>
      <w:r w:rsidR="008C7308">
        <w:rPr>
          <w:rFonts w:ascii="Times New Roman" w:hAnsi="Times New Roman" w:cs="Times New Roman" w:hint="eastAsia"/>
        </w:rPr>
        <w:instrText>Calibrated Multiplatform (CCMP) Ocean Surface Wind Velocity Data Set","volume":"124","author":[{"family":"</w:instrText>
      </w:r>
      <w:r w:rsidR="008C7308">
        <w:rPr>
          <w:rFonts w:ascii="Times New Roman" w:hAnsi="Times New Roman" w:cs="Times New Roman"/>
        </w:rPr>
        <w:instrText xml:space="preserve">Mears","given":"Carl A."},{"family":"Scott","given":"Joel"},{"family":"Wentz","given":"Frank J."},{"family":"Ricciardulli","given":"Lucrezia"},{"family":"Leidner","given":"S. Mark"},{"family":"Hoffman","given":"Ross"},{"family":"Atlas","given":"Robert"}],"issued":{"date-parts":[["2019",10]]}}}],"schema":"https://github.com/citation-style-language/schema/raw/master/csl-citation.json"}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(Tomita et al. 2019; Mears et al. 2019)</w:t>
      </w:r>
      <w:r w:rsidR="008C7308">
        <w:rPr>
          <w:rFonts w:ascii="Times New Roman" w:hAnsi="Times New Roman" w:cs="Times New Roman"/>
        </w:rPr>
        <w:fldChar w:fldCharType="end"/>
      </w:r>
      <w:r w:rsidR="00F51C90" w:rsidRPr="005F6F87">
        <w:rPr>
          <w:rFonts w:ascii="Times New Roman" w:hAnsi="Times New Roman" w:cs="Times New Roman"/>
        </w:rPr>
        <w:t xml:space="preserve"> and atmospheric reanalysis products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{"citationID":"a23kh85ed07","properties":{"formattedCitation":"(Kobayashi et al. 2015; Gelaro et al. 2017; Hersbach et al. 2020)","plainCitation":"(Kobayashi et al. 2015; Gelaro et al. 2017; Hersbach et al. 2020)","noteIndex":0},"citationItems":[{"id":230,"uris":["http://zotero.org/users/7846282/items/L6CXJMM8"],"itemData":{"id":230,"type":"article-journal","abstract":"The Japan Meteorological Agency (JMA) conducted the second Japanese global atmospheric reanalysis, called the Japanese 55-year Reanalysis or JRA-55. It covers the period from 1958, when regular radiosonde observations began on a global basis. JRA-55 is the first comprehensive reanalysis that has covered the last half-century since the European Centre for Medium-Range Weather Forecasts 45-year Reanalysis (ERA-40), and is the first one to apply four-dimensional variational analysis to this period. The main objectives of JRA-55 were to address issues found in previous reanalyses and to produce a comprehensive atmospheric dataset suitable for studying multidecadal variability and climate change. This paper describes the observations, data assimilation system, and forecast model used to produce JRA-55 as well as the basic characteristics of the JRA-55 product.","container-title":"Journal of the Meteorological Society of Japan. Ser. II","DOI":"10.2151/jmsj.2015-001","ISSN":"0026-1165, 2186-9057","issue":"1","journalAbbreviation":"Journal of the Meteorological Society of Japan","language":"en","page":"5-48","source":"DOI.org (Crossref)","title":"The JRA-55 Reanalysis: General Specifications and Basic Characteristics","title-short":"The JRA-55 Reanalysis","volume":"93","author":[{"family":"Kobayashi","given":"Shinya"},{"family":"Ota","given":"Yukinari"},{"family":"Harada","given":"Yayoi"},{"family":"Ebita","given":"Ayataka"},{"family":"Moriya","given":"Masami"},{"family":"Onoda","given":"Hirokatsu"},{"family":"Onogi","given":"Kazutoshi"},{"family":"Kamahori","given":"Hirotaka"},{"family":"Kobayashi","given":"Chiaki"},{"family":"Endo","given":"Hirokazu"},{"family":"Miyaoka","given":"Kengo"},{"family":"Takahashi","given":"Kiyotoshi"}],"issued":{"date-parts":[["2015"]]}}},{"id":2602,"uris":["http://zotero.org/users/7846282/items/UQEXK32V"],"itemData":{"id":2602,"type":"article-journal","abstract":"Abstract The Modern-Era Retrospective Analysis for Research and Applications, version 2 (MERRA-2), is the latest atmospheric reanalysis of the modern satellite era produced by NASA’s Global Modeling and Assimilation Office (GMAO). MERRA-2 assimilates observation types not available to its predecessor, MERRA, and includes updates to the Goddard Earth Observing System (GEOS) model and analysis scheme so as to provide a viable ongoing climate analysis beyond MERRA’s terminus. While addressing known limitations of MERRA, MERRA-2 is also intended to be a development milestone for a future integrated Earth system analysis (IESA) currently under development at GMAO. This paper provides an overview of the MERRA-2 system and various performance metrics. Among the advances in MERRA-2 relevant to IESA are the assimilation of aerosol observations, several improvements to the representation of the stratosphere including ozone, and improved representations of cryospheric processes. Other improvements in the quality of MERRA-2 compared with MERRA include the reduction of some spurious trends and jumps related to changes in the observing system and reduced biases and imbalances in aspects of the water cycle. Remaining deficiencies are also identified. Production of MERRA-2 began in June 2014 in four processing streams and converged to a single near-real-time stream in mid-2015. MERRA-2 products are accessible online through the NASA Goddard Earth Sciences Data Information Services Center (GES DISC).","container-title":"Journal of Climate","DOI":"10.1175/JCLI-D-16-0758.1","ISSN":"0894-8755, 1520-0442","issue":"14","language":"EN","note":"publisher: American Meteorological Society\nsection: Journal of Climate","page":"5419-5454","source":"journals.ametsoc.org","title":"The Modern-Era Retrospective Analysis for Research and Applications, Version 2 (MERRA-2)","volume":"30","author":[{"family":"Gelaro","given":"Ronald"},{"family":"McCarty","given":"Will"},{"family":"Suárez","given":"Max J."},{"family":"Todling","given":"Ricardo"},{"family":"Molod","given":"Andrea"},{"family":"Takacs","given":"Lawrence"},{"family":"Randles","given":"Cynthia A."},{"family":"Darmenov","given":"Anton"},{"family":"Bosilovich","given":"Michael G."},{"family":"Reichle","given":"Rolf"},{"family":"Wargan","given":"Krzysztof"},{"family":"Coy","given":"Lawrence"},{"family":"Cullather","given":"Richard"},{"family":"Draper","given":"Clara"},{"family":"Akella","given":"Santha"},{"family":"Buchard","given":"Virginie"},{"family":"Conaty","given":"Austin"},{"family":"Silva","given":"Arlindo M.","dropping-particle":"da"},{"family":"Gu","given":"Wei"},{"family":"Kim","given":"Gi-Kong"},{"family":"Koster","given":"Randal"},{"family":"Lucchesi","given":"Robert"},{"family":"Merkova","given":"Dagmar"},{"family":"Nielsen","given":"Jon Eric"},{"family":"Partyka","given":"Gary"},{"family":"Pawson","given":"Steven"},{"family":"Putman","given":"William"},{"family":"Rienecker","given":"Michele"},{"family":"Schubert","given":"Siegfried D."},{"family":"Sienkiewicz","given":"Meta"},{"family":"Zhao","given":"Bin"}],"issued":{"date-parts":[["2017",7,15]]}}},{"id":2599,"uris":["http://zotero.org/users/7846282/items/C9JKHQV8"],"itemData":{"id":2599,"type":"article-journal","abstract":"Within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reanalyses.","container-title":"Quarterly Journal of the Royal Meteorological Society","DOI":"10.1002/qj.3803","ISSN":"1477-870X","issue":"730","language":"en","license":"© 2020 The Authors. Quarterly Journal of the Royal Meteorological Society published by John Wiley &amp; Sons Ltd on behalf of the Royal Meteorological Society.","note":"_eprint: https://onlinelibrary.wiley.com/doi/pdf/10.1002/qj.3803","page":"1999-2049","source":"Wiley Online Library","title":"The ERA5 global reanalysis","volume":"146","author":[{"family":"Hersbach","given":"Hans"},{"family":"Bell","given":"Bill"},{"family":"Berrisford","given":"Paul"},{"family":"Hirahara","given":"Shoji"},{"family":"Horányi","given":"András"},{"family":"Muñoz-Sabater","given":"Joaquín"},{"family":"Nicolas","given":"Julien"},{"family":"Peubey","given":"Carole"},{"family":"Radu","given":"Raluca"},{"family":"Schepers","given":"Dinand"},{"family":"Simmons","given":"Adrian"},{"family":"Soci","given":"Cornel"},{"family":"Abdalla","given":"Saleh"},{"family":"Abellan","given":"Xavier"},{"family":"Balsamo","given":"Gianpaolo"},{"family":"Bechtold","given":"Peter"},{"family":"Biavati","given":"Gionata"},{"family":"Bidlot","given":"Jean"},{"family":"Bonavita","given":"Massimo"},{"family":"De Chiara","given":"Giovanna"},{"family":"Dahlgren","given":"Per"},{"family":"Dee","given":"Dick"},{"family":"Diamantakis","given":"Michail"},{"family":"Dragani","given":"Rossana"},{"family":"Flemming","given":"Johannes"},{"family":"Forbes","given":"Richard"},{"family":"Fuentes","given":"Manuel"},{"family":"Geer","given":"Alan"},{"family":"Haimberger","given":"Leo"},{"family":"Healy","given":"Sean"},{"family":"Hogan","given":"Robin J."},{"family":"Hólm","given":"Elías"},{"family":"Janisková","given":"Marta"},{"family":"Keeley","given":"Sarah"},{"family":"Laloyaux","given":"Patrick"},{"family":"Lopez","given":"Philippe"},{"family":"Lupu","given":"Cristina"},{"family":"Radnoti","given":"Gabor"},{"family":"Rosnay","given":"Patricia","non-dropping-particle":"de"},{"family":"Rozum","given":"Iryna"},{"family":"Vamborg","given":"Freja"},{"family":"Villaume","given":"Sebastien"},{"family":"Thépaut","given":"Jean-Noël"}],"issued":{"date-parts":[["2020"]]}}}],"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(Kobayashi et al. 2015; Gelaro et al. 2017; Hersbach et al. 2020)</w:t>
      </w:r>
      <w:r w:rsidR="008C7308">
        <w:rPr>
          <w:rFonts w:ascii="Times New Roman" w:hAnsi="Times New Roman" w:cs="Times New Roman"/>
        </w:rPr>
        <w:fldChar w:fldCharType="end"/>
      </w:r>
      <w:r w:rsidR="00602E5F">
        <w:rPr>
          <w:rFonts w:ascii="Times New Roman" w:hAnsi="Times New Roman" w:cs="Times New Roman"/>
        </w:rPr>
        <w:t xml:space="preserve"> to get values at the location</w:t>
      </w:r>
      <w:r w:rsidR="00DC07F8">
        <w:rPr>
          <w:rFonts w:ascii="Times New Roman" w:hAnsi="Times New Roman" w:cs="Times New Roman"/>
        </w:rPr>
        <w:t>s</w:t>
      </w:r>
      <w:r w:rsidR="00602E5F">
        <w:rPr>
          <w:rFonts w:ascii="Times New Roman" w:hAnsi="Times New Roman" w:cs="Times New Roman"/>
        </w:rPr>
        <w:t xml:space="preserve"> of individual ship/float profiles</w:t>
      </w:r>
      <w:r w:rsidR="00F51C90">
        <w:rPr>
          <w:rFonts w:ascii="Times New Roman" w:hAnsi="Times New Roman" w:cs="Times New Roman"/>
        </w:rPr>
        <w:t>. With the interpolated wind speed, we</w:t>
      </w:r>
      <w:r w:rsidRPr="005F6F87">
        <w:rPr>
          <w:rFonts w:ascii="Times New Roman" w:hAnsi="Times New Roman" w:cs="Times New Roman"/>
        </w:rPr>
        <w:t xml:space="preserve"> calculate</w:t>
      </w:r>
      <w:r w:rsidR="00E32EA8">
        <w:rPr>
          <w:rFonts w:ascii="Times New Roman" w:hAnsi="Times New Roman" w:cs="Times New Roman"/>
        </w:rPr>
        <w:t>d</w:t>
      </w:r>
      <w:r w:rsidRPr="005F6F87">
        <w:rPr>
          <w:rFonts w:ascii="Times New Roman" w:hAnsi="Times New Roman" w:cs="Times New Roman"/>
        </w:rPr>
        <w:t xml:space="preserve"> the three components of flux. For sea ice concentration</w:t>
      </w:r>
      <w:r w:rsidR="00DC07F8">
        <w:rPr>
          <w:rFonts w:ascii="Times New Roman" w:hAnsi="Times New Roman" w:cs="Times New Roman"/>
        </w:rPr>
        <w:t>s</w:t>
      </w:r>
      <w:r w:rsidRPr="005F6F87">
        <w:rPr>
          <w:rFonts w:ascii="Times New Roman" w:hAnsi="Times New Roman" w:cs="Times New Roman"/>
        </w:rPr>
        <w:t xml:space="preserve">, we </w:t>
      </w:r>
      <w:r w:rsidR="00F51C90">
        <w:rPr>
          <w:rFonts w:ascii="Times New Roman" w:hAnsi="Times New Roman" w:cs="Times New Roman"/>
        </w:rPr>
        <w:t>use</w:t>
      </w:r>
      <w:r w:rsidR="00E32EA8">
        <w:rPr>
          <w:rFonts w:ascii="Times New Roman" w:hAnsi="Times New Roman" w:cs="Times New Roman"/>
        </w:rPr>
        <w:t>d</w:t>
      </w:r>
      <w:r w:rsidRPr="005F6F87">
        <w:rPr>
          <w:rFonts w:ascii="Times New Roman" w:hAnsi="Times New Roman" w:cs="Times New Roman"/>
        </w:rPr>
        <w:t xml:space="preserve"> </w:t>
      </w:r>
      <w:r w:rsidR="00C85599">
        <w:rPr>
          <w:rFonts w:ascii="Times New Roman" w:hAnsi="Times New Roman" w:cs="Times New Roman"/>
        </w:rPr>
        <w:t xml:space="preserve">a </w:t>
      </w:r>
      <w:r w:rsidRPr="005F6F87">
        <w:rPr>
          <w:rFonts w:ascii="Times New Roman" w:hAnsi="Times New Roman" w:cs="Times New Roman"/>
        </w:rPr>
        <w:t>satellite-</w:t>
      </w:r>
      <w:r w:rsidR="003F66D5">
        <w:rPr>
          <w:rFonts w:ascii="Times New Roman" w:hAnsi="Times New Roman" w:cs="Times New Roman"/>
        </w:rPr>
        <w:t>derived</w:t>
      </w:r>
      <w:r w:rsidRPr="005F6F87">
        <w:rPr>
          <w:rFonts w:ascii="Times New Roman" w:hAnsi="Times New Roman" w:cs="Times New Roman"/>
        </w:rPr>
        <w:t xml:space="preserve"> product</w:t>
      </w:r>
      <w:r w:rsidR="00F51C90">
        <w:rPr>
          <w:rFonts w:ascii="Times New Roman" w:hAnsi="Times New Roman" w:cs="Times New Roman"/>
        </w:rPr>
        <w:t xml:space="preserve">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{"citationID":"aic3u2junl","properties":{"formattedCitation":"(DiGirolamo et al. 2022)","plainCitation":"(DiGirolamo et al. 2022)","noteIndex":0},"citationItems":[{"id":2606,"uris":["http://zotero.org/users/7846282/items/DWGEXWWM"],"itemData":{"id":2606,"type":"dataset","DOI":"10.5067/MPYG15WAA4WX","language":"en","publisher":"NASA National Snow and Ice Data Center Distributed Active Archive Center","source":"DOI.org (Datacite)","title":"Sea Ice Concentrations from Nimbus-7 SMMR and DMSP SSM/I-SSMIS Passive Microwave Data","URL":"https://nsidc.org/data/nsidc-0051/versions/2","author":[{"family":"DiGirolamo","given":"N.E."},{"family":"Parkinson","given":"C.L."},{"family":"Cavalieri","given":"D.J."},{"family":"Gloersen","given":"P."},{"family":"Zwally","given":"H.J."}],"accessed":{"date-parts":[["2023",8,3]]},"issued":{"date-parts":[["2022"]]}}}],"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(DiGirolamo et al. 2022)</w:t>
      </w:r>
      <w:r w:rsidR="008C7308">
        <w:rPr>
          <w:rFonts w:ascii="Times New Roman" w:hAnsi="Times New Roman" w:cs="Times New Roman"/>
        </w:rPr>
        <w:fldChar w:fldCharType="end"/>
      </w:r>
      <w:r w:rsidRPr="005F6F87">
        <w:rPr>
          <w:rFonts w:ascii="Times New Roman" w:hAnsi="Times New Roman" w:cs="Times New Roman"/>
        </w:rPr>
        <w:t xml:space="preserve">. </w:t>
      </w:r>
      <w:r w:rsidR="00E32EA8">
        <w:rPr>
          <w:rFonts w:ascii="Times New Roman" w:hAnsi="Times New Roman" w:cs="Times New Roman"/>
        </w:rPr>
        <w:t>T</w:t>
      </w:r>
      <w:r w:rsidR="00F65FDF">
        <w:rPr>
          <w:rFonts w:ascii="Times New Roman" w:hAnsi="Times New Roman" w:cs="Times New Roman"/>
        </w:rPr>
        <w:t>he flux values obtained from individual profiles</w:t>
      </w:r>
      <w:r w:rsidR="00E32EA8">
        <w:rPr>
          <w:rFonts w:ascii="Times New Roman" w:hAnsi="Times New Roman" w:cs="Times New Roman"/>
        </w:rPr>
        <w:t xml:space="preserve"> were mapped</w:t>
      </w:r>
      <w:r w:rsidR="00F65FDF">
        <w:rPr>
          <w:rFonts w:ascii="Times New Roman" w:hAnsi="Times New Roman" w:cs="Times New Roman"/>
        </w:rPr>
        <w:t>,</w:t>
      </w:r>
      <w:r w:rsidRPr="005F6F87">
        <w:rPr>
          <w:rFonts w:ascii="Times New Roman" w:hAnsi="Times New Roman" w:cs="Times New Roman"/>
        </w:rPr>
        <w:t xml:space="preserve"> </w:t>
      </w:r>
      <w:r w:rsidR="00E32EA8">
        <w:rPr>
          <w:rFonts w:ascii="Times New Roman" w:hAnsi="Times New Roman" w:cs="Times New Roman"/>
        </w:rPr>
        <w:t xml:space="preserve">and </w:t>
      </w:r>
      <w:r w:rsidRPr="005F6F87">
        <w:rPr>
          <w:rFonts w:ascii="Times New Roman" w:hAnsi="Times New Roman" w:cs="Times New Roman"/>
        </w:rPr>
        <w:t>the globally integrated air</w:t>
      </w:r>
      <w:r w:rsidR="003567FE">
        <w:rPr>
          <w:rFonts w:ascii="Times New Roman" w:hAnsi="Times New Roman" w:cs="Times New Roman"/>
        </w:rPr>
        <w:t>–</w:t>
      </w:r>
      <w:r w:rsidRPr="005F6F87">
        <w:rPr>
          <w:rFonts w:ascii="Times New Roman" w:hAnsi="Times New Roman" w:cs="Times New Roman"/>
        </w:rPr>
        <w:t xml:space="preserve">sea exchange </w:t>
      </w:r>
      <w:r w:rsidR="00E32EA8">
        <w:rPr>
          <w:rFonts w:ascii="Times New Roman" w:hAnsi="Times New Roman" w:cs="Times New Roman"/>
        </w:rPr>
        <w:t>was</w:t>
      </w:r>
      <w:r w:rsidRPr="005F6F87">
        <w:rPr>
          <w:rFonts w:ascii="Times New Roman" w:hAnsi="Times New Roman" w:cs="Times New Roman"/>
        </w:rPr>
        <w:t xml:space="preserve"> estimated to be </w:t>
      </w:r>
      <w:r w:rsidR="00EF1C66" w:rsidRPr="00EF1C66">
        <w:rPr>
          <w:rFonts w:ascii="Times New Roman" w:hAnsi="Times New Roman" w:cs="Times New Roman"/>
        </w:rPr>
        <w:t>−</w:t>
      </w:r>
      <w:r w:rsidRPr="005F6F87">
        <w:rPr>
          <w:rFonts w:ascii="Times New Roman" w:hAnsi="Times New Roman" w:cs="Times New Roman"/>
        </w:rPr>
        <w:t xml:space="preserve">44.84 ± 32.49 </w:t>
      </w:r>
      <w:proofErr w:type="spellStart"/>
      <w:r w:rsidRPr="005F6F87">
        <w:rPr>
          <w:rFonts w:ascii="Times New Roman" w:hAnsi="Times New Roman" w:cs="Times New Roman"/>
        </w:rPr>
        <w:t>Tmol</w:t>
      </w:r>
      <w:proofErr w:type="spellEnd"/>
      <w:r w:rsidRPr="005F6F87">
        <w:rPr>
          <w:rFonts w:ascii="Times New Roman" w:hAnsi="Times New Roman" w:cs="Times New Roman"/>
        </w:rPr>
        <w:t xml:space="preserve"> O</w:t>
      </w:r>
      <w:r w:rsidRPr="00157621">
        <w:rPr>
          <w:rFonts w:ascii="Times New Roman" w:hAnsi="Times New Roman" w:cs="Times New Roman"/>
          <w:vertAlign w:val="subscript"/>
        </w:rPr>
        <w:t>2</w:t>
      </w:r>
      <w:r w:rsidRPr="005F6F87">
        <w:rPr>
          <w:rFonts w:ascii="Times New Roman" w:hAnsi="Times New Roman" w:cs="Times New Roman"/>
        </w:rPr>
        <w:t xml:space="preserve"> y</w:t>
      </w:r>
      <w:r w:rsidR="00FB6431" w:rsidRPr="00FB6431">
        <w:rPr>
          <w:rFonts w:ascii="Times New Roman" w:hAnsi="Times New Roman" w:cs="Times New Roman"/>
          <w:vertAlign w:val="superscript"/>
        </w:rPr>
        <w:t>−</w:t>
      </w:r>
      <w:r w:rsidR="00FB6431" w:rsidRPr="00157621">
        <w:rPr>
          <w:rFonts w:ascii="Times New Roman" w:hAnsi="Times New Roman" w:cs="Times New Roman"/>
          <w:vertAlign w:val="superscript"/>
        </w:rPr>
        <w:t>1</w:t>
      </w:r>
      <w:r w:rsidR="00DC07F8">
        <w:rPr>
          <w:rFonts w:ascii="Times New Roman" w:hAnsi="Times New Roman" w:cs="Times New Roman"/>
        </w:rPr>
        <w:t xml:space="preserve"> (mean </w:t>
      </w:r>
      <w:r w:rsidR="00DC07F8" w:rsidRPr="00DC07F8">
        <w:rPr>
          <w:rFonts w:ascii="Times New Roman" w:hAnsi="Times New Roman" w:cs="Times New Roman"/>
        </w:rPr>
        <w:t>±</w:t>
      </w:r>
      <w:r w:rsidR="00DC07F8">
        <w:rPr>
          <w:rFonts w:ascii="Times New Roman" w:hAnsi="Times New Roman" w:cs="Times New Roman"/>
        </w:rPr>
        <w:t xml:space="preserve"> SD)</w:t>
      </w:r>
      <w:r w:rsidRPr="005F6F87">
        <w:rPr>
          <w:rFonts w:ascii="Times New Roman" w:hAnsi="Times New Roman" w:cs="Times New Roman"/>
        </w:rPr>
        <w:t xml:space="preserve">. The </w:t>
      </w:r>
      <w:r w:rsidR="00F51C90">
        <w:rPr>
          <w:rFonts w:ascii="Times New Roman" w:hAnsi="Times New Roman" w:cs="Times New Roman"/>
        </w:rPr>
        <w:t>spread of</w:t>
      </w:r>
      <w:r w:rsidRPr="005F6F87">
        <w:rPr>
          <w:rFonts w:ascii="Times New Roman" w:hAnsi="Times New Roman" w:cs="Times New Roman"/>
        </w:rPr>
        <w:t xml:space="preserve"> the results reflects the differences among the five wind products used. </w:t>
      </w:r>
      <w:bookmarkStart w:id="5" w:name="_Hlk146313685"/>
      <w:r w:rsidR="00E32EA8">
        <w:rPr>
          <w:rFonts w:ascii="Times New Roman" w:hAnsi="Times New Roman" w:cs="Times New Roman"/>
        </w:rPr>
        <w:t>Our</w:t>
      </w:r>
      <w:r w:rsidR="004F5BA8">
        <w:rPr>
          <w:rFonts w:ascii="Times New Roman" w:hAnsi="Times New Roman" w:cs="Times New Roman"/>
        </w:rPr>
        <w:t xml:space="preserve"> result</w:t>
      </w:r>
      <w:r w:rsidR="0053773A">
        <w:rPr>
          <w:rFonts w:ascii="Times New Roman" w:hAnsi="Times New Roman" w:cs="Times New Roman"/>
        </w:rPr>
        <w:t>,</w:t>
      </w:r>
      <w:r w:rsidR="004F5BA8">
        <w:rPr>
          <w:rFonts w:ascii="Times New Roman" w:hAnsi="Times New Roman" w:cs="Times New Roman"/>
        </w:rPr>
        <w:t xml:space="preserve"> </w:t>
      </w:r>
      <w:r w:rsidRPr="005F6F87">
        <w:rPr>
          <w:rFonts w:ascii="Times New Roman" w:hAnsi="Times New Roman" w:cs="Times New Roman"/>
        </w:rPr>
        <w:t>that the ocean has been outgassing in recent years</w:t>
      </w:r>
      <w:r w:rsidR="0053773A">
        <w:rPr>
          <w:rFonts w:ascii="Times New Roman" w:hAnsi="Times New Roman" w:cs="Times New Roman"/>
        </w:rPr>
        <w:t>,</w:t>
      </w:r>
      <w:r w:rsidRPr="005F6F87">
        <w:rPr>
          <w:rFonts w:ascii="Times New Roman" w:hAnsi="Times New Roman" w:cs="Times New Roman"/>
        </w:rPr>
        <w:t xml:space="preserve"> is consistent with several </w:t>
      </w:r>
      <w:r w:rsidR="00B4061F">
        <w:rPr>
          <w:rFonts w:ascii="Times New Roman" w:hAnsi="Times New Roman" w:cs="Times New Roman"/>
        </w:rPr>
        <w:t>other studies confirming</w:t>
      </w:r>
      <w:r w:rsidRPr="005F6F87">
        <w:rPr>
          <w:rFonts w:ascii="Times New Roman" w:hAnsi="Times New Roman" w:cs="Times New Roman"/>
        </w:rPr>
        <w:t xml:space="preserve"> ocean deoxygenation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{"citationID":"a29uvn2o52f","properties":{"formattedCitation":"(Schmidtko et al. 2017; Helm et al. 2011; Ito et al. 2017)","plainCitation":"(Schmidtko et al. 2017; Helm et al. 2011; Ito et al. 2017)","noteIndex":0},"citationItems":[{"id":2529,"uris":["http://zotero.org/users/7846282/items/2IMHWG2V"],"itemData":{"id":2529,"type":"article-journal","abstract":"The oxygen content of the global ocean has decreased by more than two per cent over the past five decades, with large variations found in different ocean basins and at different ocean depths.","container-title":"Nature","DOI":"10.1038/nature21399","ISSN":"1476-4687","issue":"7641","language":"en","license":"2017 Macmillan Publishers Limited, part of Springer Nature. All rights reserved.","note":"number: 7641\npublisher: Nature Publishing Group","page":"335-339","source":"www.nature.com","title":"Decline in global oceanic oxygen content during the past five decades","volume":"542","author":[{"family":"Schmidtko","given":"Sunke"},{"family":"Stramma","given":"Lothar"},{"family":"Visbeck","given":"Martin"}],"issued":{"date-parts":[["2017",2]]}}},{"id":277,"uris":["http://zotero.org/users/7846282/items/YM2IDM9K"],"itemData":{"id":277,"type":"article-journal","container-title":"Geophysical Research Letters","DOI":"10.1029/2011GL049513","ISSN":"00948276","issue":"23","journalAbbreviation":"Geophys. Res. Lett.","language":"en","page":"n/a-n/a","source":"DOI.org (Crossref)","title":"Observed decreases in oxygen content of the global ocean: GLOBAL DECREASES IN OCEAN OXYGEN LEVELS","title-short":"Observed decreases in oxygen content of the global ocean","volume":"38","author":[{"family":"Helm","given":"Kieran P."},{"family":"Bindoff","given":"Nathaniel L."},{"family":"Church","given":"John A."}],"issued":{"date-parts":[["2011",12]]}}},{"id":625,"uris":["http://zotero.org/users/7846282/items/N3ZYUVIV"],"itemData":{"id":625,"type":"article-journal","abstract":"Historic observations of dissolved oxygen (O2) in the ocean are analyzed to quantify multidecadal trends and variability from 1958 to 2015. Additional quality control is applied, and the resultant oxygen anomaly ﬁeld is used to quantify upper ocean O2 trends at global and hemispheric scales. A widespread negative O2 trend is beginning to emerge from the envelope of interannual variability. Ocean reanalysis data are used to evaluate relationships with changes in ocean heat content (OHC) and oxygen solubility (O2,sat). Global O2 decline is evident after the 1980s, accompanied by an increase in global OHC. The global upper ocean O2 inventory (0–1000 m) changed at the rate of </w:instrText>
      </w:r>
      <w:r w:rsidR="008C7308">
        <w:rPr>
          <w:rFonts w:ascii="Times New Roman" w:hAnsi="Times New Roman" w:cs="Times New Roman" w:hint="eastAsia"/>
        </w:rPr>
        <w:instrText>−</w:instrText>
      </w:r>
      <w:r w:rsidR="008C7308">
        <w:rPr>
          <w:rFonts w:ascii="Times New Roman" w:hAnsi="Times New Roman" w:cs="Times New Roman"/>
        </w:rPr>
        <w:instrText xml:space="preserve">243 ± 124 T mol O2 per decade. Further, the O2 inventory is negatively correlated with the OHC (r = </w:instrText>
      </w:r>
      <w:r w:rsidR="008C7308">
        <w:rPr>
          <w:rFonts w:ascii="Times New Roman" w:hAnsi="Times New Roman" w:cs="Times New Roman" w:hint="eastAsia"/>
        </w:rPr>
        <w:instrText>−</w:instrText>
      </w:r>
      <w:r w:rsidR="008C7308">
        <w:rPr>
          <w:rFonts w:ascii="Times New Roman" w:hAnsi="Times New Roman" w:cs="Times New Roman"/>
        </w:rPr>
        <w:instrText xml:space="preserve">0.86; 0–1000 m) and the regression coeﬃcient of O2 to OHC is approximately </w:instrText>
      </w:r>
      <w:r w:rsidR="008C7308">
        <w:rPr>
          <w:rFonts w:ascii="Times New Roman" w:hAnsi="Times New Roman" w:cs="Times New Roman" w:hint="eastAsia"/>
        </w:rPr>
        <w:instrText>−</w:instrText>
      </w:r>
      <w:r w:rsidR="008C7308">
        <w:rPr>
          <w:rFonts w:ascii="Times New Roman" w:hAnsi="Times New Roman" w:cs="Times New Roman"/>
        </w:rPr>
        <w:instrText>8.2 ± 0.66 nmol O2 J</w:instrText>
      </w:r>
      <w:r w:rsidR="008C7308">
        <w:rPr>
          <w:rFonts w:ascii="Times New Roman" w:hAnsi="Times New Roman" w:cs="Times New Roman" w:hint="eastAsia"/>
        </w:rPr>
        <w:instrText>−</w:instrText>
      </w:r>
      <w:r w:rsidR="008C7308">
        <w:rPr>
          <w:rFonts w:ascii="Times New Roman" w:hAnsi="Times New Roman" w:cs="Times New Roman"/>
        </w:rPr>
        <w:instrText xml:space="preserve">1, on the same order of magnitude as the simulated O2-heat relationship typically found in ocean climate models. Variability and trends in the observed upper ocean O2 concentration are dominated by the apparent oxygen utilization component with relatively small contributions from O2,sat. This indicates that changing ocean circulation, mixing, and/or biochemical processes, rather than the direct thermally induced solubility eﬀects, are the primary drivers for the observed O2 changes. The spatial patterns of the multidecadal trend include regions of enhanced ocean deoxygenation including the subpolar North Paciﬁc, eastern boundary upwelling systems, and tropical oxygen minimum zones. Further studies are warranted to understand and attribute the global O2 trends and their regional expressions.","container-title":"Geophysical Research Letters","DOI":"10.1002/2017GL073613","ISSN":"0094-8276, 1944-8007","issue":"9","journalAbbreviation":"Geophys. Res. Lett.","language":"en","page":"4214-4223","source":"DOI.org (Crossref)","title":"Upper ocean O &lt;sub&gt;2&lt;/sub&gt; trends: 1958–2015","title-short":"Upper ocean O &lt;sub&gt;2&lt;/sub&gt; trends","volume":"44","author":[{"family":"Ito","given":"Takamitsu"},{"family":"Minobe","given":"Shoshiro"},{"family":"Long","given":"Matthew C."},{"family":"Deutsch","given":"Curtis"}],"issued":{"date-parts":[["2017",5,16]]}}}],"schema":"https://github.com/citation-style-language/schema/raw/master/csl-citation.json"}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(Schmidtko et al. 2017; Helm et al. 2011; Ito et al. 2017)</w:t>
      </w:r>
      <w:r w:rsidR="008C7308">
        <w:rPr>
          <w:rFonts w:ascii="Times New Roman" w:hAnsi="Times New Roman" w:cs="Times New Roman"/>
        </w:rPr>
        <w:fldChar w:fldCharType="end"/>
      </w:r>
      <w:r w:rsidRPr="005F6F87">
        <w:rPr>
          <w:rFonts w:ascii="Times New Roman" w:hAnsi="Times New Roman" w:cs="Times New Roman"/>
        </w:rPr>
        <w:t xml:space="preserve">. </w:t>
      </w:r>
      <w:bookmarkEnd w:id="5"/>
      <w:r w:rsidRPr="005F6F87">
        <w:rPr>
          <w:rFonts w:ascii="Times New Roman" w:hAnsi="Times New Roman" w:cs="Times New Roman"/>
        </w:rPr>
        <w:t xml:space="preserve">Furthermore, in the context of studies estimating the global carbon uptake in terrestrial and </w:t>
      </w:r>
      <w:r w:rsidR="00B84084">
        <w:rPr>
          <w:rFonts w:ascii="Times New Roman" w:hAnsi="Times New Roman" w:cs="Times New Roman"/>
        </w:rPr>
        <w:t>ocean</w:t>
      </w:r>
      <w:r w:rsidRPr="005F6F87">
        <w:rPr>
          <w:rFonts w:ascii="Times New Roman" w:hAnsi="Times New Roman" w:cs="Times New Roman"/>
        </w:rPr>
        <w:t xml:space="preserve"> regions based on observations of atmospheric oxygen and nitrogen, </w:t>
      </w:r>
      <w:r w:rsidR="00E32EA8">
        <w:rPr>
          <w:rFonts w:ascii="Times New Roman" w:hAnsi="Times New Roman" w:cs="Times New Roman"/>
        </w:rPr>
        <w:t>an</w:t>
      </w:r>
      <w:r w:rsidRPr="005F6F87">
        <w:rPr>
          <w:rFonts w:ascii="Times New Roman" w:hAnsi="Times New Roman" w:cs="Times New Roman"/>
        </w:rPr>
        <w:t xml:space="preserve"> increase in ocean outgassing due to ocean heat content is required, and its magnitude has been </w:t>
      </w:r>
      <w:r w:rsidR="008043D6">
        <w:rPr>
          <w:rFonts w:ascii="Times New Roman" w:hAnsi="Times New Roman" w:cs="Times New Roman"/>
        </w:rPr>
        <w:t>inferred</w:t>
      </w:r>
      <w:r w:rsidR="00E32EA8">
        <w:rPr>
          <w:rFonts w:ascii="Times New Roman" w:hAnsi="Times New Roman" w:cs="Times New Roman"/>
        </w:rPr>
        <w:t xml:space="preserve"> at</w:t>
      </w:r>
      <w:r w:rsidRPr="005F6F87">
        <w:rPr>
          <w:rFonts w:ascii="Times New Roman" w:hAnsi="Times New Roman" w:cs="Times New Roman"/>
        </w:rPr>
        <w:t xml:space="preserve"> </w:t>
      </w:r>
      <w:r w:rsidR="005E05B0" w:rsidRPr="00EF1C66">
        <w:rPr>
          <w:rFonts w:ascii="Times New Roman" w:hAnsi="Times New Roman" w:cs="Times New Roman"/>
        </w:rPr>
        <w:t>−</w:t>
      </w:r>
      <w:r w:rsidRPr="005F6F87">
        <w:rPr>
          <w:rFonts w:ascii="Times New Roman" w:hAnsi="Times New Roman" w:cs="Times New Roman"/>
        </w:rPr>
        <w:t xml:space="preserve">53.9 ± 8.1 </w:t>
      </w:r>
      <w:proofErr w:type="spellStart"/>
      <w:r w:rsidRPr="005F6F87">
        <w:rPr>
          <w:rFonts w:ascii="Times New Roman" w:hAnsi="Times New Roman" w:cs="Times New Roman"/>
        </w:rPr>
        <w:t>Tmol</w:t>
      </w:r>
      <w:proofErr w:type="spellEnd"/>
      <w:r w:rsidRPr="005F6F87">
        <w:rPr>
          <w:rFonts w:ascii="Times New Roman" w:hAnsi="Times New Roman" w:cs="Times New Roman"/>
        </w:rPr>
        <w:t xml:space="preserve"> O</w:t>
      </w:r>
      <w:r w:rsidRPr="00157621">
        <w:rPr>
          <w:rFonts w:ascii="Times New Roman" w:hAnsi="Times New Roman" w:cs="Times New Roman"/>
          <w:vertAlign w:val="subscript"/>
        </w:rPr>
        <w:t>2</w:t>
      </w:r>
      <w:r w:rsidRPr="005F6F87">
        <w:rPr>
          <w:rFonts w:ascii="Times New Roman" w:hAnsi="Times New Roman" w:cs="Times New Roman"/>
        </w:rPr>
        <w:t xml:space="preserve"> y</w:t>
      </w:r>
      <w:r w:rsidR="00FB6431" w:rsidRPr="00FB6431">
        <w:rPr>
          <w:rFonts w:ascii="Times New Roman" w:hAnsi="Times New Roman" w:cs="Times New Roman"/>
          <w:vertAlign w:val="superscript"/>
        </w:rPr>
        <w:t>−</w:t>
      </w:r>
      <w:r w:rsidRPr="00157621">
        <w:rPr>
          <w:rFonts w:ascii="Times New Roman" w:hAnsi="Times New Roman" w:cs="Times New Roman"/>
          <w:vertAlign w:val="superscript"/>
        </w:rPr>
        <w:t>1</w:t>
      </w:r>
      <w:r w:rsidRPr="005F6F87">
        <w:rPr>
          <w:rFonts w:ascii="Times New Roman" w:hAnsi="Times New Roman" w:cs="Times New Roman"/>
        </w:rPr>
        <w:t xml:space="preserve"> since 1990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{"citationID":"a1elr16vqrm","properties":{"formattedCitation":"(Plattner et al. 2002; Manning and Keeling 2006; Keeling and Manning 2014; Tohjima et al. 2019; Li et al. 2021)","plainCitation":"(Plattner et al. 2002; Manning and Keeling 2006; Keeling and Manning 2014; Tohjima et al. 2019; Li et al. 2021)","noteIndex":0},"citationItems":[{"id":1999,"uris":["http://zotero.org/users/7846282/items/GKBVH9IR"],"itemData":{"id":1999,"type":"article-journal","abstract":"Carbon budgets inferred from measurements of the atmospheric oxygen to nitrogen ratio (O2/N2) are revised considering sea-to-air fluxes of O2 and N2 in response to global warming and volcanic eruptions. Observational estimates of changes in ocean heat content are combined with a model-derived relationship between changes in atmospheric O2/N2 due to oceanic outgassing and heat fluxes to estimate ocean O2 outgassing. The inferred terrestrial carbon sink for the 1990s is reduced by a factor of two compared with the most recent estimate by the Intergovernmental Panel on Climate Change (IPCC). This also improves the agreement between calculated ocean carbon uptake rates and estimates from global carbon cycle models, which indicate a higher ocean carbon uptake during the 1990s than the 1980s. The simulated decrease in oceanic O2 concentrations is in qualitative agreement with observed trends in oceanic O2 concentrations.","container-title":"Global Biogeochemical Cycles","DOI":"10.1029/2001GB001746","ISSN":"1944-9224","issue":"4","language":"en","note":"_eprint: https://onlinelibrary.wiley.com/doi/pdf/10.1029/2001GB001746","page":"43-1-43-12","source":"Wiley Online Library","title":"Revision of the global carbon budget due to changing air-sea oxygen fluxes","volume":"16","author":[{"family":"Plattner","given":"Gian-Kasper"},{"family":"Joos","given":"Fortunat"},{"family":"Stocker","given":"Thomas F."}],"issued":{"date-parts":[["2002"]]}}},{"id":2526,"uris":["http://zotero.org/users/7846282/items/KWL5ZRI3"],"itemData":{"id":2526,"type":"article-journal","abstract":"Measurements of atmospheric O2/N2 ratio and CO2 concentration are presented over the period 1989–2003 from the Scripps Institution of Oceanography global flask sampling network.Aformal framework is described for making optimal use of these data to estimate global oceanic and land biotic carbon sinks. For the 10-yr period from 1990 to 2000, the oceanic and land biotic sinks are estimated to be 1.9 ± 0.6 and 1.2 ± 0.8 Pg C yr-1, respectively, while for the 10-yr period from 1993 to 2003, the sinks are estimated to be 2.2 ± 0.6 and 0.5 ± 0.7 Pg C yr-1, respectively. These estimates, which are also compared with earlier results, make allowance for oceanic O2 and N2 outgassing based on observed changes in ocean heat content and estimates of the relative outgassing per unit warming. For example, for the 1993–2003 period we estimate outgassing of 0.45 × 1014 mol O2 yr-1 and 0.20 × 1014 mol N2 yr-1, which results in a correction of 0.5 Pg C yr-1 on the oceanic and land biotic carbon sinks. The basis for this oceanic outgassing correction is reviewed in the context of recent model estimates. The main contributions to the uncertainty in the global sinks averages are from the estimates for oceanic outgassing and the estimates for fossil fuel combustion. The oceanic sink of 2.2 Pg C yr-1 for 1993–2003 is consistent, within the uncertainties, with the integrated accumulation of anthropogenic CO2 in the ocean since 1800 as recently estimated from oceanic observations, assuming the oceanic sink varied over time as predicted by a box-diffusion model.","DOI":"10.1111/j.1600-0889.2006.00175.x","ISSN":"1600-0889","issue":"2","language":"en-US","note":"number: 2\npublisher: Stockholm University Press","page":"95","source":"b.tellusjournals.se","title":"Global oceanic and land biotic carbon sinks from the Scripps atmospheric oxygen flask sampling network","volume":"58","author":[{"family":"Manning","given":"Andrew C."},{"family":"Keeling","given":"Ralph F."}],"issued":{"date-parts":[["2006",1,1]]}}},{"id":2577,"uris":["http://zotero.org/users/7846282/items/LGLRCLD7"],"itemData":{"id":2577,"type":"chapter","abstract":"A very close coupling exists between changes in atmospheric O2 and CO2 concentrations, owing to the chemistry of photosynthesis, respiration, and combustion. The coupling is not perfect, however, because CO2 variations are partially buffered by reactions involving the inorganic carbon system in seawater, which has no effect on O2. Measurements over the past two decades document variations in O2 on a range of space and time scales, including a long-term decrease driven mostly by fossil fuel burning and seasonal cycles driven by exchanges with the land biosphere and the oceans. In this chapter, these and other features seen in the measurements are described, also discussing variations in the tracer ‘atmospheric potential oxygen,’ which is a linear combination of O2 and CO2 designed to be insensitive to exchanges from the land biosphere and thereby sensitive mostly to oceanic processes. Challenges associated with measuring variations in O2 are addressed, and various applications of the observations are discussed, including quantifying the magnitude of the global land and ocean carbon sinks and testing ocean biogeochemical models. An updated budget for global carbon sinks based on O2 measurements from the Scripps O2 program is presented for the decades of the 1990s and 2000s.","container-title":"Treatise on Geochemistry (Second Edition)","event-place":"Oxford","ISBN":"978-0-08-098300-4","language":"en","note":"DOI: 10.1016/B978-0-08-095975-7.00420-4","page":"385-404","publisher":"Elsevier","publisher-place":"Oxford","source":"ScienceDirect","title":"5.15 - Studies of Recent Changes in Atmospheric O2 Content","URL":"https://www.sciencedirect.com/science/article/pii/B9780080959757004204","author":[{"family":"Keeling","given":"R. F."},{"family":"Manning","given":"A. C."}],"editor":[{"family":"Holland","given":"Heinrich D."},{"family":"Turekian","given":"Karl K."}],"accessed":{"date-parts":[["2023",8,3]]},"issued":{"date-parts":[["2014",1,1]]}}},{"id":1992,"uris":["http://zotero.org/users/7846282/items/CHNY2BUK"],"itemData":{"id":1992,"type":"article-journal","abstract":"&lt;p&gt;&lt;strong class=\"journal-contentHeaderColor\"&gt;Abstract.&lt;/strong&gt; Time series of the atmospheric &lt;span class=\"inline-formula\"&gt;O&lt;sub&gt;2&lt;/sub&gt;∕N&lt;sub&gt;2&lt;/sub&gt;&lt;/span&gt; ratio and &lt;span class=\"inline-formula\"&gt;CO&lt;sub&gt;2&lt;/sub&gt;&lt;/span&gt; mole fraction of flask samples obtained from the National Institute for Environmental Studies' (NIES's) flask sampling network are presented. The network includes two ground sites, Hateruma island (HAT; 24.05&lt;span class=\"inline-formula\"&gt;&lt;sup&gt;</w:instrText>
      </w:r>
      <w:r w:rsidR="008C7308">
        <w:rPr>
          <w:rFonts w:ascii="Cambria Math" w:hAnsi="Cambria Math" w:cs="Cambria Math"/>
        </w:rPr>
        <w:instrText>∘</w:instrText>
      </w:r>
      <w:r w:rsidR="008C7308">
        <w:rPr>
          <w:rFonts w:ascii="Times New Roman" w:hAnsi="Times New Roman" w:cs="Times New Roman"/>
        </w:rPr>
        <w:instrText>&lt;/sup&gt;&lt;/span&gt;&amp;thinsp;N, 123.81&lt;span class=\"inline-formula\"&gt;&lt;sup&gt;</w:instrText>
      </w:r>
      <w:r w:rsidR="008C7308">
        <w:rPr>
          <w:rFonts w:ascii="Cambria Math" w:hAnsi="Cambria Math" w:cs="Cambria Math"/>
        </w:rPr>
        <w:instrText>∘</w:instrText>
      </w:r>
      <w:r w:rsidR="008C7308">
        <w:rPr>
          <w:rFonts w:ascii="Times New Roman" w:hAnsi="Times New Roman" w:cs="Times New Roman"/>
        </w:rPr>
        <w:instrText>&lt;/sup&gt;&lt;/span&gt;&amp;thinsp;E) and Cape Ochiishi (COI; 43.17&lt;span class=\"inline-formula\"&gt;&lt;sup&gt;</w:instrText>
      </w:r>
      <w:r w:rsidR="008C7308">
        <w:rPr>
          <w:rFonts w:ascii="Cambria Math" w:hAnsi="Cambria Math" w:cs="Cambria Math"/>
        </w:rPr>
        <w:instrText>∘</w:instrText>
      </w:r>
      <w:r w:rsidR="008C7308">
        <w:rPr>
          <w:rFonts w:ascii="Times New Roman" w:hAnsi="Times New Roman" w:cs="Times New Roman"/>
        </w:rPr>
        <w:instrText>&lt;/sup&gt;&lt;/span&gt;&amp;thinsp;N, 145.50&lt;span class=\"inline-formula\"&gt;&lt;sup&gt;</w:instrText>
      </w:r>
      <w:r w:rsidR="008C7308">
        <w:rPr>
          <w:rFonts w:ascii="Cambria Math" w:hAnsi="Cambria Math" w:cs="Cambria Math"/>
        </w:rPr>
        <w:instrText>∘</w:instrText>
      </w:r>
      <w:r w:rsidR="008C7308">
        <w:rPr>
          <w:rFonts w:ascii="Times New Roman" w:hAnsi="Times New Roman" w:cs="Times New Roman"/>
        </w:rPr>
        <w:instrText>&lt;/sup&gt;&lt;/span&gt;&amp;thinsp;E), and cargo ships regularly sailing in the western Pacific. Based on temporal changes in fossil-fuel-derived &lt;span class=\"inline-formula\"&gt;CO&lt;sub&gt;2&lt;/sub&gt;&lt;/span&gt; emissions, global atmospheric &lt;span class=\"inline-formula\"&gt;CO&lt;sub&gt;2&lt;/sub&gt;&lt;/span&gt; burden and atmospheric potential oxygen (APO), which were calculated from the observed &lt;span class=\"inline-formula\"&gt;O&lt;sub&gt;2&lt;/sub&gt;∕N&lt;sub&gt;2&lt;/sub&gt;&lt;/span&gt; ratio and &lt;span class=\"inline-formula\"&gt;CO&lt;sub&gt;2&lt;/sub&gt;&lt;/span&gt; mole fraction according to APO&amp;thinsp;&lt;span class=\"inline-formula\"&gt;=&lt;/span&gt;&amp;thinsp;&lt;span class=\"inline-formula\"&gt;O&lt;sub&gt;2&lt;/sub&gt;&lt;/span&gt;&lt;span class=\"inline-formula\"&gt;&lt;math xmlns=\"http://www.w3.org/1998/Math/MathML\" id=\"M15\" display=\"inline\" overflow=\"scroll\" dspmath=\"mathml\"&gt;&lt;mrow&gt;&lt;mo&gt;+&lt;/mo&gt;&lt;mn mathvariant=\"normal\"&gt;1.1&lt;/mn&gt;&lt;mo&gt;×&lt;/mo&gt;&lt;mrow class=\"chem\"&gt;&lt;msub&gt;&lt;mi mathvariant=\"normal\"&gt;CO&lt;/mi&gt;&lt;mn mathvariant=\"normal\"&gt;2&lt;/mn&gt;&lt;/msub&gt;&lt;/mrow&gt;&lt;/mrow&gt;&lt;/math&gt;&lt;span&gt;&lt;svg:svg xmlns:svg=\"http://www.w3.org/2000/svg\" width=\"57pt\" height=\"13pt\" class=\"svg-formula\" dspmath=\"mathimg\" md5hash=\"7be87d62df0cbbade03bb5839be96a0c\"&gt;&lt;svg:image xmlns:xlink=\"http://www.w3.org/1999/xlink\" xlink:href=\"acp-19-9269-2019-ie00001.svg\" width=\"57pt\" height=\"13pt\" src=\"acp-19-9269-2019-ie00001.png\"/&gt;&lt;/svg:svg&gt;&lt;/span&gt;&lt;/span&gt;, we estimated the global carbon sinks of the ocean and land biosphere for a period of more than 15 years. In this carbon budget calculation, we adopted a correction for the time-varying ocean &lt;span class=\"inline-formula\"&gt;O&lt;sub&gt;2&lt;/sub&gt;&lt;/span&gt; outgassing effect with an average of 0.54&amp;thinsp;PgC&amp;thinsp;yr&lt;span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1&lt;/sup&gt;&lt;/span&gt; for 2000–2016. The outgassing effect, attributed mainly to global ocean warming, was evaluated under the assumption that the net ocean gas flux is proportional to the change in the ocean heat content for the 0–2000&amp;thinsp;m layer. The resulting oceanic and land biotic carbon sinks were &lt;span class=\"inline-formula\"&gt;2.6±0.7&lt;/span&gt; and &lt;span class=\"inline-formula\"&gt;1.5±0.9&lt;/span&gt;&amp;thinsp;PgC&amp;thinsp;yr&lt;span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1&lt;/sup&gt;&lt;/span&gt;, respectively, for a 17-year period (2000–2016) and &lt;span class=\"inline-formula\"&gt;2.4±0.7&lt;/span&gt; and &lt;span class=\"inline-formula\"&gt;1.9±0.9&lt;/span&gt;&amp;thinsp;PgC&amp;thinsp;yr&lt;span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1&lt;/sup&gt;&lt;/span&gt;, respectively, for a 14-year period (2003–2016). Despite the independent approaches, the sink values of this study agreed with those estimated by the Global Carbon Project (GCP) within a difference of about &lt;span class=\"inline-formula\"&gt;±0.4&lt;/span&gt;&amp;thinsp;PgC&amp;thinsp;yr&lt;span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1&lt;/sup&gt;&lt;/span&gt;. We examined the carbon sinks for an interval of 5 years to assess the temporal trends. The pentad (5-year) ocean sinks showed an increasing trend at a rate of &lt;span class=\"inline-formula\"&gt;0.08±0.02&lt;/span&gt;&amp;thinsp;PgC&amp;thinsp;yr&lt;span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2&lt;/sup&gt;&lt;/span&gt; during 2001–2014, while the pentad land sinks showed an increasing trend at a rate of &lt;span class=\"inline-formula\"&gt;0.23±0.04&lt;/span&gt;&amp;thinsp;PgC&amp;thinsp;yr&lt;span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2&lt;/sup&gt;&lt;/span&gt; for 2001–2009 and a decreasing trend at a rate of &lt;span class=\"inline-formula\"&gt;&lt;math xmlns=\"http://www.w3.org/1998/Math/MathML\" id=\"M30\" display=\"inline\" overflow=\"scroll\" dspmath=\"mathml\"&gt;&lt;mrow&gt;&lt;mo&gt;-&lt;/mo&gt;&lt;mn mathvariant=\"normal\"&gt;0.22&lt;/mn&gt;&lt;mo&gt;±&lt;/mo&gt;&lt;mn mathvariant=\"normal\"&gt;0.04&lt;/mn&gt;&lt;/mrow&gt;&lt;/math&gt;&lt;span&gt;&lt;svg:svg xmlns:svg=\"http://www.w3.org/2000/svg\" width=\"64pt\" height=\"10pt\" class=\"svg-formula\" dspmath=\"mathimg\" md5hash=\"c42cb5b2d9cb1b4333b5b9f2d8609869\"&gt;&lt;svg:image xmlns:xlink=\"http://www.w3.org/1999/xlink\" xlink:href=\"acp-19-9269-2019-ie00002.svg\" width=\"64pt\" height=\"10pt\" src=\"acp-19-9269-2019-ie00002.png\"/&gt;&lt;/svg:svg&gt;&lt;/span&gt;&lt;/span&gt;&amp;thinsp;PgC&amp;thinsp;yr&lt;span class=\"inline-formula\"&gt;&lt;sup&gt;</w:instrText>
      </w:r>
      <w:r w:rsidR="008C7308">
        <w:rPr>
          <w:rFonts w:ascii="Times New Roman" w:hAnsi="Times New Roman" w:cs="Times New Roman" w:hint="eastAsia"/>
        </w:rPr>
        <w:instrText>−</w:instrText>
      </w:r>
      <w:r w:rsidR="008C7308">
        <w:rPr>
          <w:rFonts w:ascii="Times New Roman" w:hAnsi="Times New Roman" w:cs="Times New Roman"/>
        </w:rPr>
        <w:instrText xml:space="preserve">2&lt;/sup&gt;&lt;/span&gt; during 2009–2014. Although there is good agreement in the trends of the pentad sinks between this study and that of GCP, the increasing rate of the pentad ocean sinks of this study was about 2 times larger than that of GCP.&lt;/p&gt;","container-title":"Atmospheric Chemistry and Physics","DOI":"10.5194/acp-19-9269-2019","ISSN":"1680-7316","issue":"14","language":"English","note":"publisher: Copernicus GmbH","page":"9269-9285","source":"acp.copernicus.org","title":"Global carbon budgets estimated from atmospheric O&lt;sub&gt;2&lt;/sub&gt;∕N&lt;sub&gt;2&lt;/sub&gt; and CO&lt;sub&gt;2&lt;/sub&gt; observations in the western Pacific region over a 15-year period","volume":"19","author":[{"family":"Tohjima","given":"Yasunori"},{"family":"Mukai","given":"Hitoshi"},{"family":"Machida","given":"Toshinobu"},{"family":"Hoshina","given":"Yu"},{"family":"Nakaoka","given":"Shin-Ichiro"}],"issued":{"date-parts":[["2019",7,19]]}}},{"id":1888,"uris":["http://zotero.org/users/7846282/items/EBEK6JAN"],"itemData":{"id":1888,"type":"article-journal","abstract":"Robust assessments of global carbon uptake are important for understanding Earth's carbon cycle and its response to human impacts. Here, based on the most recent oxygen budget, we presented an alternative estimate of ocean and land carbon sinks over the past few decades and future projections under climate change. For the period from 1990 to 2015, the ocean and land carbon sinks were </w:instrText>
      </w:r>
      <w:r w:rsidR="008C7308">
        <w:rPr>
          <w:rFonts w:ascii="Cambria Math" w:hAnsi="Cambria Math" w:cs="Cambria Math"/>
        </w:rPr>
        <w:instrText>∼</w:instrText>
      </w:r>
      <w:r w:rsidR="008C7308">
        <w:rPr>
          <w:rFonts w:ascii="Times New Roman" w:hAnsi="Times New Roman" w:cs="Times New Roman"/>
        </w:rPr>
        <w:instrText xml:space="preserve">2.16 ± 0.73 and 1.37 ± 0.91 GtC/yr, respectively, which are in good agreement with the results from the Global Carbon Project (GCP). Our estimated temporal evolution of oceanic carbon uptake, however, presents a stronger decadal variation than the quasi-monotonous increase estimated by the GCP. Future projections of carbon sinks show significant discrepancies under different scenarios. At the end of this century, the ocean and land sinks will be 2.96 and 0.75 GtC/yr, respectively, under RCP4.5 (representative concentration pathways), while these values will be much larger under RCP8.5 at </w:instrText>
      </w:r>
      <w:r w:rsidR="008C7308">
        <w:rPr>
          <w:rFonts w:ascii="Cambria Math" w:hAnsi="Cambria Math" w:cs="Cambria Math"/>
        </w:rPr>
        <w:instrText>∼</w:instrText>
      </w:r>
      <w:r w:rsidR="008C7308">
        <w:rPr>
          <w:rFonts w:ascii="Times New Roman" w:hAnsi="Times New Roman" w:cs="Times New Roman"/>
        </w:rPr>
        <w:instrText xml:space="preserve">5.70 and 3.69 GtC/yr, highlighting the vital role of the human-induced influence on the carbon cycle.","container-title":"Earth's Future","DOI":"10.1029/2021EF002124","ISSN":"2328-4277","issue":"7","language":"en","note":"_eprint: https://onlinelibrary.wiley.com/doi/pdf/10.1029/2021EF002124","page":"e2021EF002124","source":"Wiley Online Library","title":"Estimation of Oceanic and Land Carbon Sinks Based on the Most Recent Oxygen Budget","volume":"9","author":[{"family":"Li","given":"Changyu"},{"family":"Huang","given":"Jianping"},{"family":"Ding","given":"Lei"},{"family":"Liu","given":"Xiaoyue"},{"family":"Han","given":"Dongliang"},{"family":"Huang","given":"Jiping"}],"issued":{"date-parts":[["2021"]]}}}],"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(Plattner et al. 2002; Manning and Keeling 2006; Keeling and Manning 2014; Tohjima et al. 2019; Li et al. 2021)</w:t>
      </w:r>
      <w:r w:rsidR="008C7308">
        <w:rPr>
          <w:rFonts w:ascii="Times New Roman" w:hAnsi="Times New Roman" w:cs="Times New Roman"/>
        </w:rPr>
        <w:fldChar w:fldCharType="end"/>
      </w:r>
      <w:r w:rsidRPr="005F6F87">
        <w:rPr>
          <w:rFonts w:ascii="Times New Roman" w:hAnsi="Times New Roman" w:cs="Times New Roman"/>
        </w:rPr>
        <w:t>.</w:t>
      </w:r>
    </w:p>
    <w:p w14:paraId="5EDA6C49" w14:textId="77777777" w:rsidR="00475942" w:rsidRDefault="00475942" w:rsidP="00C31254">
      <w:pPr>
        <w:spacing w:line="480" w:lineRule="auto"/>
        <w:jc w:val="both"/>
        <w:rPr>
          <w:rFonts w:ascii="Times New Roman" w:hAnsi="Times New Roman" w:cs="Times New Roman"/>
        </w:rPr>
      </w:pPr>
    </w:p>
    <w:p w14:paraId="64F08140" w14:textId="08BFB5B6" w:rsidR="00923370" w:rsidRDefault="00E32EA8" w:rsidP="00923370">
      <w:pPr>
        <w:spacing w:line="480" w:lineRule="auto"/>
        <w:jc w:val="both"/>
        <w:rPr>
          <w:rFonts w:ascii="Times New Roman" w:hAnsi="Times New Roman" w:cs="Times New Roman"/>
        </w:rPr>
      </w:pPr>
      <w:r>
        <w:rPr>
          <w:rFonts w:ascii="Times New Roman" w:hAnsi="Times New Roman" w:cs="Times New Roman"/>
        </w:rPr>
        <w:t>R</w:t>
      </w:r>
      <w:r w:rsidR="00157621" w:rsidRPr="00157621">
        <w:rPr>
          <w:rFonts w:ascii="Times New Roman" w:hAnsi="Times New Roman" w:cs="Times New Roman"/>
        </w:rPr>
        <w:t xml:space="preserve">ecent observational studies </w:t>
      </w:r>
      <w:r>
        <w:rPr>
          <w:rFonts w:ascii="Times New Roman" w:hAnsi="Times New Roman" w:cs="Times New Roman"/>
        </w:rPr>
        <w:t>have</w:t>
      </w:r>
      <w:r w:rsidR="00157621" w:rsidRPr="00157621">
        <w:rPr>
          <w:rFonts w:ascii="Times New Roman" w:hAnsi="Times New Roman" w:cs="Times New Roman"/>
        </w:rPr>
        <w:t xml:space="preserve"> suggested consider</w:t>
      </w:r>
      <w:r>
        <w:rPr>
          <w:rFonts w:ascii="Times New Roman" w:hAnsi="Times New Roman" w:cs="Times New Roman"/>
        </w:rPr>
        <w:t>ing</w:t>
      </w:r>
      <w:r w:rsidR="00157621" w:rsidRPr="00157621">
        <w:rPr>
          <w:rFonts w:ascii="Times New Roman" w:hAnsi="Times New Roman" w:cs="Times New Roman"/>
        </w:rPr>
        <w:t xml:space="preserve"> the skin effect when calculating the air</w:t>
      </w:r>
      <w:r w:rsidR="003567FE">
        <w:rPr>
          <w:rFonts w:ascii="Times New Roman" w:hAnsi="Times New Roman" w:cs="Times New Roman"/>
        </w:rPr>
        <w:t>–</w:t>
      </w:r>
      <w:r w:rsidR="00157621" w:rsidRPr="00157621">
        <w:rPr>
          <w:rFonts w:ascii="Times New Roman" w:hAnsi="Times New Roman" w:cs="Times New Roman"/>
        </w:rPr>
        <w:t xml:space="preserve">sea diffusion fluxes of </w:t>
      </w:r>
      <w:r w:rsidR="006426D3">
        <w:rPr>
          <w:rFonts w:ascii="Times New Roman" w:hAnsi="Times New Roman" w:cs="Times New Roman"/>
        </w:rPr>
        <w:t>CO</w:t>
      </w:r>
      <w:r w:rsidR="006426D3" w:rsidRPr="006426D3">
        <w:rPr>
          <w:rFonts w:ascii="Times New Roman" w:hAnsi="Times New Roman" w:cs="Times New Roman"/>
          <w:vertAlign w:val="subscript"/>
        </w:rPr>
        <w:t>2</w:t>
      </w:r>
      <w:r w:rsidR="00157621" w:rsidRPr="00157621">
        <w:rPr>
          <w:rFonts w:ascii="Times New Roman" w:hAnsi="Times New Roman" w:cs="Times New Roman"/>
        </w:rPr>
        <w:t xml:space="preserve"> and oxygen </w:t>
      </w:r>
      <w:r w:rsidR="008C7308">
        <w:rPr>
          <w:rFonts w:ascii="Times New Roman" w:hAnsi="Times New Roman" w:cs="Times New Roman"/>
        </w:rPr>
        <w:fldChar w:fldCharType="begin"/>
      </w:r>
      <w:r w:rsidR="008C7308">
        <w:rPr>
          <w:rFonts w:ascii="Times New Roman" w:hAnsi="Times New Roman" w:cs="Times New Roman"/>
        </w:rPr>
        <w:instrText xml:space="preserve"> ADDIN ZOTERO_ITEM CSL_CITATION {"citationID":"aou0k2v295","properties":{"formattedCitation":"(Watson et al. 2020; Yang et al. 2022)","plainCitation":"(Watson et al. 2020; Yang et al. 2022)","noteIndex":0},"citationItems":[{"id":351,"uris":["http://zotero.org/users/7846282/items/G4DJUIR2"],"itemData":{"id":351,"type":"article-journal","abstract":"The ocean is a sink for ~25% of the atmospheric CO2 emitted by human activities, an amount in excess of 2 petagrams of carbon per year (PgC yr</w:instrText>
      </w:r>
      <w:r w:rsidR="008C7308">
        <w:rPr>
          <w:rFonts w:ascii="Times New Roman" w:hAnsi="Times New Roman" w:cs="Times New Roman" w:hint="eastAsia"/>
        </w:rPr>
        <w:instrText>−</w:instrText>
      </w:r>
      <w:r w:rsidR="008C7308">
        <w:rPr>
          <w:rFonts w:ascii="Times New Roman" w:hAnsi="Times New Roman" w:cs="Times New Roman"/>
        </w:rPr>
        <w:instrText>1). Time-resolved estimates of global ocean-atmosphere CO2 flux provide an important constraint on the global carbon budget. However, previous estimates of this flux, derived from surface ocean CO2 concentrations, have not corrected the data for temperature gradients between the surface and sampling at a few meters depth, or for the effect of the cool ocean surface skin. Here we calculate a time history of ocean-atmosphere CO2 fluxes from 1992 to 2018, corrected for these effects. These increase the calculated net flux into the oceans by 0.8–0.9  PgC yr</w:instrText>
      </w:r>
      <w:r w:rsidR="008C7308">
        <w:rPr>
          <w:rFonts w:ascii="Times New Roman" w:hAnsi="Times New Roman" w:cs="Times New Roman" w:hint="eastAsia"/>
        </w:rPr>
        <w:instrText>−</w:instrText>
      </w:r>
      <w:r w:rsidR="008C7308">
        <w:rPr>
          <w:rFonts w:ascii="Times New Roman" w:hAnsi="Times New Roman" w:cs="Times New Roman"/>
        </w:rPr>
        <w:instrText xml:space="preserve">1, at times doubling uncorrected values. We estimate uncertainties using multiple interpolation methods, finding convergent results for fluxes globally after 2000, or over the Northern Hemisphere throughout the period. Our corrections reconcile surface uptake with independent estimates of the increase in ocean CO2 inventory, and suggest most ocean models underestimate uptake.","container-title":"Nature Communications","DOI":"10.1038/s41467-020-18203-3","ISSN":"2041-1723","issue":"1","journalAbbreviation":"Nat Commun","language":"en","license":"2020 The Author(s)","note":"Bandiera_abtest: a\nCc_license_type: cc_by\nCg_type: Nature Research Journals\nnumber: 1\nPrimary_atype: Research\npublisher: Nature Publishing Group\nSubject_term: Carbon cycle;Climate change;Marine chemistry\nSubject_term_id: carbon-cycle;climate-change;marine-chemistry","page":"4422","source":"www.nature.com","title":"Revised estimates of ocean-atmosphere CO 2 flux are consistent with ocean carbon inventory","volume":"11","author":[{"family":"Watson","given":"Andrew J."},{"family":"Schuster","given":"Ute"},{"family":"Shutler","given":"Jamie D."},{"family":"Holding","given":"Thomas"},{"family":"Ashton","given":"Ian G. C."},{"family":"Landschützer","given":"Peter"},{"family":"Woolf","given":"David K."},{"family":"Goddijn-Murphy","given":"Lonneke"}],"issued":{"date-parts":[["2020",9,4]]}}},{"id":2010,"uris":["http://zotero.org/users/7846282/items/24NC6ZMV"],"itemData":{"id":2010,"type":"article-journal","abstract":"We evaluated the influence of skin temperature correction on the calculations of air-sea O2 flux and annual net community production (ANCP). The skin temperature correction term (ΔT) was derived from the fifth generation European Center for Medium-Range Weather Forecasts Reanalysis, which has large spatial and temporal variations that are consistent with independent measurements on three ocean moorings from areas with very different air-sea heat flux and ΔT. The result revealed that ΔT is dominated by the cool skin effect (which leads to the increase in air-to-sea O2 flux and decrease in ANCP), except for the equatorial region or summertime when the warm layer effect is significant. Using data from three Argo profiling floats in the subarctic, subtropical, and tropical Pacific as examples, the calculations indicated that the correction could lead to </w:instrText>
      </w:r>
      <w:r w:rsidR="008C7308">
        <w:rPr>
          <w:rFonts w:ascii="Times New Roman" w:hAnsi="Times New Roman" w:cs="Times New Roman" w:hint="eastAsia"/>
        </w:rPr>
        <w:instrText>−</w:instrText>
      </w:r>
      <w:r w:rsidR="008C7308">
        <w:rPr>
          <w:rFonts w:ascii="Times New Roman" w:hAnsi="Times New Roman" w:cs="Times New Roman"/>
        </w:rPr>
        <w:instrText xml:space="preserve">1%–+36% difference in annual air-to-sea O2 flux and </w:instrText>
      </w:r>
      <w:r w:rsidR="008C7308">
        <w:rPr>
          <w:rFonts w:ascii="Times New Roman" w:hAnsi="Times New Roman" w:cs="Times New Roman" w:hint="eastAsia"/>
        </w:rPr>
        <w:instrText>−</w:instrText>
      </w:r>
      <w:r w:rsidR="008C7308">
        <w:rPr>
          <w:rFonts w:ascii="Times New Roman" w:hAnsi="Times New Roman" w:cs="Times New Roman"/>
        </w:rPr>
        <w:instrText xml:space="preserve">33%–+5% difference in ANCP.","container-title":"Geophysical Research Letters","DOI":"10.1029/2021GL096103","ISSN":"1944-8007","issue":"3","language":"en","note":"_eprint: https://onlinelibrary.wiley.com/doi/pdf/10.1029/2021GL096103","page":"e2021GL096103","source":"Wiley Online Library","title":"Skin Temperature Correction for Calculations of Air-Sea Oxygen Flux and Annual Net Community Production","volume":"49","author":[{"family":"Yang","given":"Bo"},{"family":"Emerson","given":"Steven R."},{"family":"Cronin","given":"Meghan F."}],"issued":{"date-parts":[["2022"]]}}}],"schema":"https://github.com/citation-style-language/schema/raw/master/csl-citation.json"} </w:instrText>
      </w:r>
      <w:r w:rsidR="008C7308">
        <w:rPr>
          <w:rFonts w:ascii="Times New Roman" w:hAnsi="Times New Roman" w:cs="Times New Roman"/>
        </w:rPr>
        <w:fldChar w:fldCharType="separate"/>
      </w:r>
      <w:r w:rsidR="008977BA">
        <w:rPr>
          <w:rFonts w:ascii="Times New Roman" w:hAnsi="Times New Roman" w:cs="Times New Roman"/>
        </w:rPr>
        <w:t>(Watson et al. 2020; Yang et al. 2022)</w:t>
      </w:r>
      <w:r w:rsidR="008C7308">
        <w:rPr>
          <w:rFonts w:ascii="Times New Roman" w:hAnsi="Times New Roman" w:cs="Times New Roman"/>
        </w:rPr>
        <w:fldChar w:fldCharType="end"/>
      </w:r>
      <w:r w:rsidR="00157621" w:rsidRPr="00157621">
        <w:rPr>
          <w:rFonts w:ascii="Times New Roman" w:hAnsi="Times New Roman" w:cs="Times New Roman"/>
        </w:rPr>
        <w:t xml:space="preserve">. Generally, by using </w:t>
      </w:r>
      <w:r>
        <w:rPr>
          <w:rFonts w:ascii="Times New Roman" w:hAnsi="Times New Roman" w:cs="Times New Roman"/>
        </w:rPr>
        <w:t xml:space="preserve">a </w:t>
      </w:r>
      <w:r w:rsidR="00157621" w:rsidRPr="00157621">
        <w:rPr>
          <w:rFonts w:ascii="Times New Roman" w:hAnsi="Times New Roman" w:cs="Times New Roman"/>
        </w:rPr>
        <w:t xml:space="preserve">slightly cooler skin </w:t>
      </w:r>
      <w:r w:rsidR="00095B92">
        <w:rPr>
          <w:rFonts w:ascii="Times New Roman" w:hAnsi="Times New Roman" w:cs="Times New Roman"/>
        </w:rPr>
        <w:t>layer</w:t>
      </w:r>
      <w:r w:rsidR="00157621" w:rsidRPr="00157621">
        <w:rPr>
          <w:rFonts w:ascii="Times New Roman" w:hAnsi="Times New Roman" w:cs="Times New Roman"/>
        </w:rPr>
        <w:t xml:space="preserve"> temperature</w:t>
      </w:r>
      <w:r w:rsidR="00157621">
        <w:rPr>
          <w:rFonts w:ascii="Times New Roman" w:hAnsi="Times New Roman" w:cs="Times New Roman"/>
        </w:rPr>
        <w:t xml:space="preserve"> (temperature at the air</w:t>
      </w:r>
      <w:r w:rsidR="003567FE">
        <w:rPr>
          <w:rFonts w:ascii="Times New Roman" w:hAnsi="Times New Roman" w:cs="Times New Roman"/>
        </w:rPr>
        <w:t>–</w:t>
      </w:r>
      <w:r w:rsidR="00157621">
        <w:rPr>
          <w:rFonts w:ascii="Times New Roman" w:hAnsi="Times New Roman" w:cs="Times New Roman"/>
        </w:rPr>
        <w:t>sea interface)</w:t>
      </w:r>
      <w:r w:rsidR="00157621" w:rsidRPr="00157621">
        <w:rPr>
          <w:rFonts w:ascii="Times New Roman" w:hAnsi="Times New Roman" w:cs="Times New Roman"/>
        </w:rPr>
        <w:t xml:space="preserve"> instead of the bulk </w:t>
      </w:r>
      <w:r w:rsidR="00157621">
        <w:rPr>
          <w:rFonts w:ascii="Times New Roman" w:hAnsi="Times New Roman" w:cs="Times New Roman"/>
        </w:rPr>
        <w:t>sea surface temperature (temperature at 1</w:t>
      </w:r>
      <w:r>
        <w:rPr>
          <w:rFonts w:ascii="Times New Roman" w:hAnsi="Times New Roman" w:cs="Times New Roman"/>
        </w:rPr>
        <w:softHyphen/>
      </w:r>
      <w:r w:rsidR="00157621">
        <w:rPr>
          <w:rFonts w:ascii="Times New Roman" w:hAnsi="Times New Roman" w:cs="Times New Roman"/>
        </w:rPr>
        <w:t>5</w:t>
      </w:r>
      <w:r>
        <w:rPr>
          <w:rFonts w:ascii="Times New Roman" w:hAnsi="Times New Roman" w:cs="Times New Roman"/>
        </w:rPr>
        <w:t>-</w:t>
      </w:r>
      <w:r w:rsidR="00157621">
        <w:rPr>
          <w:rFonts w:ascii="Times New Roman" w:hAnsi="Times New Roman" w:cs="Times New Roman"/>
        </w:rPr>
        <w:t>m depth)</w:t>
      </w:r>
      <w:r w:rsidR="00157621" w:rsidRPr="00157621">
        <w:rPr>
          <w:rFonts w:ascii="Times New Roman" w:hAnsi="Times New Roman" w:cs="Times New Roman"/>
        </w:rPr>
        <w:t xml:space="preserve"> to </w:t>
      </w:r>
      <w:r>
        <w:rPr>
          <w:rFonts w:ascii="Times New Roman" w:hAnsi="Times New Roman" w:cs="Times New Roman"/>
        </w:rPr>
        <w:t>estimate</w:t>
      </w:r>
      <w:r w:rsidR="00157621" w:rsidRPr="00157621">
        <w:rPr>
          <w:rFonts w:ascii="Times New Roman" w:hAnsi="Times New Roman" w:cs="Times New Roman"/>
        </w:rPr>
        <w:t xml:space="preserve"> the saturation concentration in diffusion flux calculations, the gas solubility increases, leading to a shift in the result</w:t>
      </w:r>
      <w:r w:rsidR="00D33CC4">
        <w:rPr>
          <w:rFonts w:ascii="Times New Roman" w:hAnsi="Times New Roman" w:cs="Times New Roman"/>
        </w:rPr>
        <w:t>ant flux</w:t>
      </w:r>
      <w:r w:rsidR="00157621" w:rsidRPr="00157621">
        <w:rPr>
          <w:rFonts w:ascii="Times New Roman" w:hAnsi="Times New Roman" w:cs="Times New Roman"/>
        </w:rPr>
        <w:t xml:space="preserve"> towards </w:t>
      </w:r>
      <w:r w:rsidR="00D33CC4">
        <w:rPr>
          <w:rFonts w:ascii="Times New Roman" w:hAnsi="Times New Roman" w:cs="Times New Roman"/>
        </w:rPr>
        <w:t xml:space="preserve">more </w:t>
      </w:r>
      <w:r w:rsidR="00157621" w:rsidRPr="00157621">
        <w:rPr>
          <w:rFonts w:ascii="Times New Roman" w:hAnsi="Times New Roman" w:cs="Times New Roman"/>
        </w:rPr>
        <w:t xml:space="preserve">absorption. In this study, </w:t>
      </w:r>
      <w:r w:rsidR="00923370">
        <w:rPr>
          <w:rFonts w:ascii="Times New Roman" w:hAnsi="Times New Roman" w:cs="Times New Roman"/>
        </w:rPr>
        <w:t xml:space="preserve">we attempted to </w:t>
      </w:r>
      <w:r w:rsidR="0053773A">
        <w:rPr>
          <w:rFonts w:ascii="Times New Roman" w:hAnsi="Times New Roman" w:cs="Times New Roman"/>
        </w:rPr>
        <w:t>apply</w:t>
      </w:r>
      <w:r w:rsidR="00923370">
        <w:rPr>
          <w:rFonts w:ascii="Times New Roman" w:hAnsi="Times New Roman" w:cs="Times New Roman"/>
        </w:rPr>
        <w:t xml:space="preserve"> the skin layer </w:t>
      </w:r>
      <w:r w:rsidR="00923370">
        <w:rPr>
          <w:rFonts w:ascii="Times New Roman" w:hAnsi="Times New Roman" w:cs="Times New Roman"/>
        </w:rPr>
        <w:lastRenderedPageBreak/>
        <w:t xml:space="preserve">correction </w:t>
      </w:r>
      <w:r w:rsidR="00157621" w:rsidRPr="00157621">
        <w:rPr>
          <w:rFonts w:ascii="Times New Roman" w:hAnsi="Times New Roman" w:cs="Times New Roman"/>
        </w:rPr>
        <w:t xml:space="preserve">following the approach of </w:t>
      </w:r>
      <w:r w:rsidR="006801D9">
        <w:rPr>
          <w:rFonts w:ascii="Times New Roman" w:hAnsi="Times New Roman" w:cs="Times New Roman"/>
        </w:rPr>
        <w:fldChar w:fldCharType="begin"/>
      </w:r>
      <w:r w:rsidR="00447A4E">
        <w:rPr>
          <w:rFonts w:ascii="Times New Roman" w:hAnsi="Times New Roman" w:cs="Times New Roman"/>
        </w:rPr>
        <w:instrText xml:space="preserve"> ADDIN ZOTERO_ITEM CSL_CITATION {"citationID":"a2qc9ked67f","properties":{"formattedCitation":"(Yang et al. 2022)","plainCitation":"(Yang et al. 2022)","dontUpdate":true,"noteIndex":0},"citationItems":[{"id":2010,"uris":["http://zotero.org/users/7846282/items/24NC6ZMV"],"itemData":{"id":2010,"type":"article-journal","abstract":"We evaluated the influence of skin temperature correction on the calculations of air-sea O2 flux and annual net community production (ANCP). The skin temperature correction term (ΔT) was derived from the fifth generation European Center for Medium-Range Weather Forecasts Reanalysis, which has large spatial and temporal variations that are consistent with independent measurements on three ocean moorings from areas with very different air-sea heat flux and ΔT. The result revealed that ΔT is dominated by the cool skin effect (which leads to the increase in air-to-sea O2 flux and decrease in ANCP), except for the equatorial region or summertime when the warm layer effect is significant. Using data from three Argo profiling floats in the subarctic, subtropical, and tropical Pacific as examples, the calculations indicated that the correction could lead to </w:instrText>
      </w:r>
      <w:r w:rsidR="00447A4E">
        <w:rPr>
          <w:rFonts w:ascii="Times New Roman" w:hAnsi="Times New Roman" w:cs="Times New Roman" w:hint="eastAsia"/>
        </w:rPr>
        <w:instrText>−</w:instrText>
      </w:r>
      <w:r w:rsidR="00447A4E">
        <w:rPr>
          <w:rFonts w:ascii="Times New Roman" w:hAnsi="Times New Roman" w:cs="Times New Roman"/>
        </w:rPr>
        <w:instrText xml:space="preserve">1%–+36% difference in annual air-to-sea O2 flux and </w:instrText>
      </w:r>
      <w:r w:rsidR="00447A4E">
        <w:rPr>
          <w:rFonts w:ascii="Times New Roman" w:hAnsi="Times New Roman" w:cs="Times New Roman" w:hint="eastAsia"/>
        </w:rPr>
        <w:instrText>−</w:instrText>
      </w:r>
      <w:r w:rsidR="00447A4E">
        <w:rPr>
          <w:rFonts w:ascii="Times New Roman" w:hAnsi="Times New Roman" w:cs="Times New Roman"/>
        </w:rPr>
        <w:instrText xml:space="preserve">33%–+5% difference in ANCP.","container-title":"Geophysical Research Letters","DOI":"10.1029/2021GL096103","ISSN":"1944-8007","issue":"3","language":"en","note":"_eprint: https://onlinelibrary.wiley.com/doi/pdf/10.1029/2021GL096103","page":"e2021GL096103","source":"Wiley Online Library","title":"Skin Temperature Correction for Calculations of Air-Sea Oxygen Flux and Annual Net Community Production","volume":"49","author":[{"family":"Yang","given":"Bo"},{"family":"Emerson","given":"Steven R."},{"family":"Cronin","given":"Meghan F."}],"issued":{"date-parts":[["2022"]]}}}],"schema":"https://github.com/citation-style-language/schema/raw/master/csl-citation.json"} </w:instrText>
      </w:r>
      <w:r w:rsidR="006801D9">
        <w:rPr>
          <w:rFonts w:ascii="Times New Roman" w:hAnsi="Times New Roman" w:cs="Times New Roman"/>
        </w:rPr>
        <w:fldChar w:fldCharType="separate"/>
      </w:r>
      <w:r w:rsidR="006801D9" w:rsidRPr="006801D9">
        <w:rPr>
          <w:rFonts w:ascii="Times New Roman" w:hAnsi="Times New Roman" w:cs="Times New Roman"/>
        </w:rPr>
        <w:t xml:space="preserve">Yang et al. </w:t>
      </w:r>
      <w:r w:rsidR="006801D9">
        <w:rPr>
          <w:rFonts w:ascii="Times New Roman" w:hAnsi="Times New Roman" w:cs="Times New Roman"/>
        </w:rPr>
        <w:t>(</w:t>
      </w:r>
      <w:r w:rsidR="006801D9" w:rsidRPr="006801D9">
        <w:rPr>
          <w:rFonts w:ascii="Times New Roman" w:hAnsi="Times New Roman" w:cs="Times New Roman"/>
        </w:rPr>
        <w:t>2022)</w:t>
      </w:r>
      <w:r w:rsidR="006801D9">
        <w:rPr>
          <w:rFonts w:ascii="Times New Roman" w:hAnsi="Times New Roman" w:cs="Times New Roman"/>
        </w:rPr>
        <w:fldChar w:fldCharType="end"/>
      </w:r>
      <w:r w:rsidR="00923370">
        <w:rPr>
          <w:rFonts w:ascii="Times New Roman" w:hAnsi="Times New Roman" w:cs="Times New Roman"/>
        </w:rPr>
        <w:t>,</w:t>
      </w:r>
      <w:r w:rsidR="00157621" w:rsidRPr="00157621">
        <w:rPr>
          <w:rFonts w:ascii="Times New Roman" w:hAnsi="Times New Roman" w:cs="Times New Roman"/>
        </w:rPr>
        <w:t xml:space="preserve"> resulting in a globally integrated </w:t>
      </w:r>
      <w:r w:rsidR="00E92089">
        <w:rPr>
          <w:rFonts w:ascii="Times New Roman" w:hAnsi="Times New Roman" w:cs="Times New Roman"/>
        </w:rPr>
        <w:t>air</w:t>
      </w:r>
      <w:r w:rsidR="003567FE">
        <w:rPr>
          <w:rFonts w:ascii="Times New Roman" w:hAnsi="Times New Roman" w:cs="Times New Roman"/>
        </w:rPr>
        <w:t>–</w:t>
      </w:r>
      <w:r w:rsidR="00E92089">
        <w:rPr>
          <w:rFonts w:ascii="Times New Roman" w:hAnsi="Times New Roman" w:cs="Times New Roman"/>
        </w:rPr>
        <w:t xml:space="preserve">sea </w:t>
      </w:r>
      <w:r w:rsidR="00157621" w:rsidRPr="00157621">
        <w:rPr>
          <w:rFonts w:ascii="Times New Roman" w:hAnsi="Times New Roman" w:cs="Times New Roman"/>
        </w:rPr>
        <w:t xml:space="preserve">oxygen exchange of 204.6 ± 47.3 </w:t>
      </w:r>
      <w:proofErr w:type="spellStart"/>
      <w:r w:rsidR="00157621" w:rsidRPr="00157621">
        <w:rPr>
          <w:rFonts w:ascii="Times New Roman" w:hAnsi="Times New Roman" w:cs="Times New Roman"/>
        </w:rPr>
        <w:t>Tmol</w:t>
      </w:r>
      <w:proofErr w:type="spellEnd"/>
      <w:r w:rsidR="00157621" w:rsidRPr="00157621">
        <w:rPr>
          <w:rFonts w:ascii="Times New Roman" w:hAnsi="Times New Roman" w:cs="Times New Roman"/>
        </w:rPr>
        <w:t xml:space="preserve"> O</w:t>
      </w:r>
      <w:r w:rsidR="00157621" w:rsidRPr="00923370">
        <w:rPr>
          <w:rFonts w:ascii="Times New Roman" w:hAnsi="Times New Roman" w:cs="Times New Roman"/>
          <w:vertAlign w:val="subscript"/>
        </w:rPr>
        <w:t>2</w:t>
      </w:r>
      <w:r w:rsidR="00157621" w:rsidRPr="00157621">
        <w:rPr>
          <w:rFonts w:ascii="Times New Roman" w:hAnsi="Times New Roman" w:cs="Times New Roman"/>
        </w:rPr>
        <w:t xml:space="preserve"> y</w:t>
      </w:r>
      <w:r w:rsidR="00E92089" w:rsidRPr="00FB6431">
        <w:rPr>
          <w:rFonts w:ascii="Times New Roman" w:hAnsi="Times New Roman" w:cs="Times New Roman"/>
          <w:vertAlign w:val="superscript"/>
        </w:rPr>
        <w:t>−</w:t>
      </w:r>
      <w:r w:rsidR="00E92089" w:rsidRPr="00157621">
        <w:rPr>
          <w:rFonts w:ascii="Times New Roman" w:hAnsi="Times New Roman" w:cs="Times New Roman"/>
          <w:vertAlign w:val="superscript"/>
        </w:rPr>
        <w:t>1</w:t>
      </w:r>
      <w:r w:rsidR="00157621" w:rsidRPr="00157621">
        <w:rPr>
          <w:rFonts w:ascii="Times New Roman" w:hAnsi="Times New Roman" w:cs="Times New Roman"/>
        </w:rPr>
        <w:t xml:space="preserve">. </w:t>
      </w:r>
      <w:r w:rsidR="00923370">
        <w:rPr>
          <w:rFonts w:ascii="Times New Roman" w:hAnsi="Times New Roman" w:cs="Times New Roman"/>
        </w:rPr>
        <w:t>T</w:t>
      </w:r>
      <w:r w:rsidR="00157621" w:rsidRPr="00157621">
        <w:rPr>
          <w:rFonts w:ascii="Times New Roman" w:hAnsi="Times New Roman" w:cs="Times New Roman"/>
        </w:rPr>
        <w:t xml:space="preserve">his result contradicts the observational evidence of oceanic oxygen outgassing mentioned </w:t>
      </w:r>
      <w:r w:rsidR="00E92089">
        <w:rPr>
          <w:rFonts w:ascii="Times New Roman" w:hAnsi="Times New Roman" w:cs="Times New Roman"/>
        </w:rPr>
        <w:t>above</w:t>
      </w:r>
      <w:r w:rsidR="00157621" w:rsidRPr="00157621">
        <w:rPr>
          <w:rFonts w:ascii="Times New Roman" w:hAnsi="Times New Roman" w:cs="Times New Roman"/>
        </w:rPr>
        <w:t xml:space="preserve">, suggesting that the skin </w:t>
      </w:r>
      <w:r w:rsidR="00923370">
        <w:rPr>
          <w:rFonts w:ascii="Times New Roman" w:hAnsi="Times New Roman" w:cs="Times New Roman"/>
        </w:rPr>
        <w:t xml:space="preserve">layer </w:t>
      </w:r>
      <w:r w:rsidR="00157621" w:rsidRPr="00157621">
        <w:rPr>
          <w:rFonts w:ascii="Times New Roman" w:hAnsi="Times New Roman" w:cs="Times New Roman"/>
        </w:rPr>
        <w:t>correction</w:t>
      </w:r>
      <w:r w:rsidR="00923370">
        <w:rPr>
          <w:rFonts w:ascii="Times New Roman" w:hAnsi="Times New Roman" w:cs="Times New Roman"/>
        </w:rPr>
        <w:t xml:space="preserve">, at least </w:t>
      </w:r>
      <w:r w:rsidR="00157621" w:rsidRPr="00157621">
        <w:rPr>
          <w:rFonts w:ascii="Times New Roman" w:hAnsi="Times New Roman" w:cs="Times New Roman"/>
        </w:rPr>
        <w:t>for oxygen</w:t>
      </w:r>
      <w:r w:rsidR="00923370">
        <w:rPr>
          <w:rFonts w:ascii="Times New Roman" w:hAnsi="Times New Roman" w:cs="Times New Roman"/>
        </w:rPr>
        <w:t>,</w:t>
      </w:r>
      <w:r w:rsidR="00157621" w:rsidRPr="00157621">
        <w:rPr>
          <w:rFonts w:ascii="Times New Roman" w:hAnsi="Times New Roman" w:cs="Times New Roman"/>
        </w:rPr>
        <w:t xml:space="preserve"> m</w:t>
      </w:r>
      <w:r w:rsidR="00923370">
        <w:rPr>
          <w:rFonts w:ascii="Times New Roman" w:hAnsi="Times New Roman" w:cs="Times New Roman"/>
        </w:rPr>
        <w:t>ight</w:t>
      </w:r>
      <w:r w:rsidR="00157621" w:rsidRPr="00157621">
        <w:rPr>
          <w:rFonts w:ascii="Times New Roman" w:hAnsi="Times New Roman" w:cs="Times New Roman"/>
        </w:rPr>
        <w:t xml:space="preserve"> be an over-correction. Therefore, in this study, we decided not to use </w:t>
      </w:r>
      <w:bookmarkStart w:id="6" w:name="_Hlk146313779"/>
      <w:r w:rsidR="00157621" w:rsidRPr="00157621">
        <w:rPr>
          <w:rFonts w:ascii="Times New Roman" w:hAnsi="Times New Roman" w:cs="Times New Roman"/>
        </w:rPr>
        <w:t xml:space="preserve">the skin </w:t>
      </w:r>
      <w:r w:rsidR="00923370">
        <w:rPr>
          <w:rFonts w:ascii="Times New Roman" w:hAnsi="Times New Roman" w:cs="Times New Roman"/>
        </w:rPr>
        <w:t>layer</w:t>
      </w:r>
      <w:r w:rsidR="00157621" w:rsidRPr="00157621">
        <w:rPr>
          <w:rFonts w:ascii="Times New Roman" w:hAnsi="Times New Roman" w:cs="Times New Roman"/>
        </w:rPr>
        <w:t xml:space="preserve"> correction.</w:t>
      </w:r>
      <w:bookmarkEnd w:id="6"/>
      <w:r w:rsidR="00157621" w:rsidRPr="00157621">
        <w:rPr>
          <w:rFonts w:ascii="Times New Roman" w:hAnsi="Times New Roman" w:cs="Times New Roman"/>
        </w:rPr>
        <w:t xml:space="preserve"> </w:t>
      </w:r>
      <w:r w:rsidR="0081530B">
        <w:rPr>
          <w:rFonts w:ascii="Times New Roman" w:hAnsi="Times New Roman" w:cs="Times New Roman"/>
        </w:rPr>
        <w:t>However, f</w:t>
      </w:r>
      <w:r w:rsidR="00923370" w:rsidRPr="00923370">
        <w:rPr>
          <w:rFonts w:ascii="Times New Roman" w:hAnsi="Times New Roman" w:cs="Times New Roman"/>
        </w:rPr>
        <w:t xml:space="preserve">urther research is needed to provide direct observational constraints on gas fluxes when including the correction for skin </w:t>
      </w:r>
      <w:r w:rsidR="00DE6379">
        <w:rPr>
          <w:rFonts w:ascii="Times New Roman" w:hAnsi="Times New Roman" w:cs="Times New Roman"/>
        </w:rPr>
        <w:t xml:space="preserve">layer </w:t>
      </w:r>
      <w:r w:rsidR="00923370" w:rsidRPr="00923370">
        <w:rPr>
          <w:rFonts w:ascii="Times New Roman" w:hAnsi="Times New Roman" w:cs="Times New Roman"/>
        </w:rPr>
        <w:t>temperature</w:t>
      </w:r>
      <w:r w:rsidR="00923370">
        <w:rPr>
          <w:rFonts w:ascii="Times New Roman" w:hAnsi="Times New Roman" w:cs="Times New Roman"/>
        </w:rPr>
        <w:t xml:space="preserve"> under various wind conditions</w:t>
      </w:r>
      <w:r w:rsidR="00923370" w:rsidRPr="00923370">
        <w:rPr>
          <w:rFonts w:ascii="Times New Roman" w:hAnsi="Times New Roman" w:cs="Times New Roman"/>
        </w:rPr>
        <w:t>.</w:t>
      </w:r>
    </w:p>
    <w:p w14:paraId="5FD28D09" w14:textId="08A43604" w:rsidR="00550DA7" w:rsidRPr="00A961B2" w:rsidRDefault="00550DA7">
      <w:pPr>
        <w:rPr>
          <w:rFonts w:ascii="Times New Roman" w:hAnsi="Times New Roman" w:cs="Times New Roman"/>
        </w:rPr>
      </w:pPr>
      <w:r w:rsidRPr="00A961B2">
        <w:rPr>
          <w:rFonts w:ascii="Times New Roman" w:hAnsi="Times New Roman" w:cs="Times New Roman"/>
        </w:rPr>
        <w:br w:type="page"/>
      </w:r>
    </w:p>
    <w:p w14:paraId="3ECFBD15" w14:textId="77777777" w:rsidR="004E1C4D" w:rsidRDefault="004E1C4D" w:rsidP="00EB36DE">
      <w:pPr>
        <w:spacing w:line="480" w:lineRule="auto"/>
        <w:jc w:val="both"/>
        <w:rPr>
          <w:rFonts w:ascii="Times New Roman" w:hAnsi="Times New Roman" w:cs="Times New Roman"/>
          <w:b/>
          <w:bCs/>
          <w:color w:val="000000" w:themeColor="text1"/>
        </w:rPr>
      </w:pPr>
    </w:p>
    <w:p w14:paraId="0241B736" w14:textId="77777777" w:rsidR="004E1C4D" w:rsidRDefault="004E1C4D" w:rsidP="00EB36DE">
      <w:pPr>
        <w:spacing w:line="480" w:lineRule="auto"/>
        <w:jc w:val="both"/>
        <w:rPr>
          <w:rFonts w:ascii="Times New Roman" w:hAnsi="Times New Roman" w:cs="Times New Roman"/>
          <w:b/>
          <w:bCs/>
          <w:color w:val="000000" w:themeColor="text1"/>
        </w:rPr>
      </w:pPr>
    </w:p>
    <w:p w14:paraId="582692E7" w14:textId="77777777" w:rsidR="004E1C4D" w:rsidRDefault="004E1C4D" w:rsidP="00EB36DE">
      <w:pPr>
        <w:spacing w:line="480" w:lineRule="auto"/>
        <w:jc w:val="both"/>
        <w:rPr>
          <w:rFonts w:ascii="Times New Roman" w:hAnsi="Times New Roman" w:cs="Times New Roman"/>
          <w:b/>
          <w:bCs/>
          <w:color w:val="000000" w:themeColor="text1"/>
        </w:rPr>
      </w:pPr>
    </w:p>
    <w:p w14:paraId="2E404E60" w14:textId="5A6F59D3" w:rsidR="000D53FF" w:rsidRDefault="00EF4946" w:rsidP="00EF4946">
      <w:pPr>
        <w:spacing w:line="480" w:lineRule="auto"/>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w:drawing>
          <wp:inline distT="0" distB="0" distL="0" distR="0" wp14:anchorId="7CD5E59D" wp14:editId="25C4E097">
            <wp:extent cx="4572000" cy="3632200"/>
            <wp:effectExtent l="0" t="0" r="0" b="0"/>
            <wp:docPr id="20030644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64458" name="図 200306445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3632200"/>
                    </a:xfrm>
                    <a:prstGeom prst="rect">
                      <a:avLst/>
                    </a:prstGeom>
                  </pic:spPr>
                </pic:pic>
              </a:graphicData>
            </a:graphic>
          </wp:inline>
        </w:drawing>
      </w:r>
    </w:p>
    <w:p w14:paraId="3D1996F9" w14:textId="10F9DB0B" w:rsidR="00B02FDF" w:rsidRDefault="00546644" w:rsidP="00546644">
      <w:pPr>
        <w:jc w:val="both"/>
        <w:rPr>
          <w:rFonts w:ascii="Times New Roman" w:hAnsi="Times New Roman" w:cs="Times New Roman"/>
          <w:color w:val="000000" w:themeColor="text1"/>
        </w:rPr>
      </w:pPr>
      <w:bookmarkStart w:id="7" w:name="_Hlk146313888"/>
      <w:r w:rsidRPr="00A961B2">
        <w:rPr>
          <w:rFonts w:ascii="Times New Roman" w:hAnsi="Times New Roman" w:cs="Times New Roman"/>
          <w:b/>
          <w:bCs/>
          <w:color w:val="000000" w:themeColor="text1"/>
        </w:rPr>
        <w:t xml:space="preserve">Fig. 1 | </w:t>
      </w:r>
      <w:r w:rsidR="00B02FDF">
        <w:rPr>
          <w:rFonts w:ascii="Times New Roman" w:hAnsi="Times New Roman" w:cs="Times New Roman"/>
          <w:b/>
          <w:bCs/>
          <w:color w:val="000000" w:themeColor="text1"/>
        </w:rPr>
        <w:t xml:space="preserve">Parameters </w:t>
      </w:r>
      <w:bookmarkEnd w:id="7"/>
      <w:r w:rsidR="00B02FDF">
        <w:rPr>
          <w:rFonts w:ascii="Times New Roman" w:hAnsi="Times New Roman" w:cs="Times New Roman"/>
          <w:b/>
          <w:bCs/>
          <w:color w:val="000000" w:themeColor="text1"/>
        </w:rPr>
        <w:t xml:space="preserve">for calculation of oxygen flux </w:t>
      </w:r>
      <w:r w:rsidR="00EE4DCE">
        <w:rPr>
          <w:rFonts w:ascii="Times New Roman" w:hAnsi="Times New Roman" w:cs="Times New Roman"/>
          <w:b/>
          <w:bCs/>
          <w:color w:val="000000" w:themeColor="text1"/>
        </w:rPr>
        <w:t>due to</w:t>
      </w:r>
      <w:r w:rsidR="00B02FDF">
        <w:rPr>
          <w:rFonts w:ascii="Times New Roman" w:hAnsi="Times New Roman" w:cs="Times New Roman"/>
          <w:b/>
          <w:bCs/>
          <w:color w:val="000000" w:themeColor="text1"/>
        </w:rPr>
        <w:t xml:space="preserve"> vertical diffusion. a</w:t>
      </w:r>
      <w:r w:rsidR="00DC07F8">
        <w:rPr>
          <w:rFonts w:ascii="Times New Roman" w:hAnsi="Times New Roman" w:cs="Times New Roman"/>
          <w:b/>
          <w:bCs/>
          <w:color w:val="000000" w:themeColor="text1"/>
        </w:rPr>
        <w:t>,</w:t>
      </w:r>
      <w:r w:rsidR="00B02FDF">
        <w:rPr>
          <w:rFonts w:ascii="Times New Roman" w:hAnsi="Times New Roman" w:cs="Times New Roman"/>
          <w:b/>
          <w:bCs/>
          <w:color w:val="000000" w:themeColor="text1"/>
        </w:rPr>
        <w:t xml:space="preserve"> b</w:t>
      </w:r>
      <w:r w:rsidR="00B02FDF" w:rsidRPr="00B02FDF">
        <w:rPr>
          <w:rFonts w:ascii="Times New Roman" w:hAnsi="Times New Roman" w:cs="Times New Roman"/>
          <w:color w:val="000000" w:themeColor="text1"/>
        </w:rPr>
        <w:t>,</w:t>
      </w:r>
      <w:r w:rsidR="00B02FDF">
        <w:rPr>
          <w:rFonts w:ascii="Times New Roman" w:hAnsi="Times New Roman" w:cs="Times New Roman"/>
          <w:b/>
          <w:bCs/>
          <w:color w:val="000000" w:themeColor="text1"/>
        </w:rPr>
        <w:t xml:space="preserve"> </w:t>
      </w:r>
      <w:r w:rsidR="00B02FDF">
        <w:rPr>
          <w:rFonts w:ascii="Times New Roman" w:hAnsi="Times New Roman" w:cs="Times New Roman"/>
          <w:color w:val="000000" w:themeColor="text1"/>
        </w:rPr>
        <w:t>Background vertical diffusivity from Argo-based global three-dimensional vertical diffusivity product</w:t>
      </w:r>
      <w:r w:rsidR="00D31DF6">
        <w:rPr>
          <w:rFonts w:ascii="Times New Roman" w:hAnsi="Times New Roman" w:cs="Times New Roman"/>
          <w:color w:val="000000" w:themeColor="text1"/>
        </w:rPr>
        <w:t>s</w:t>
      </w:r>
      <w:r w:rsidR="00B02FDF">
        <w:rPr>
          <w:rFonts w:ascii="Times New Roman" w:hAnsi="Times New Roman" w:cs="Times New Roman"/>
          <w:color w:val="000000" w:themeColor="text1"/>
        </w:rPr>
        <w:t xml:space="preserve"> using fine</w:t>
      </w:r>
      <w:r w:rsidR="00E32EA8">
        <w:rPr>
          <w:rFonts w:ascii="Times New Roman" w:hAnsi="Times New Roman" w:cs="Times New Roman"/>
          <w:color w:val="000000" w:themeColor="text1"/>
        </w:rPr>
        <w:t>-</w:t>
      </w:r>
      <w:r w:rsidR="00B02FDF">
        <w:rPr>
          <w:rFonts w:ascii="Times New Roman" w:hAnsi="Times New Roman" w:cs="Times New Roman"/>
          <w:color w:val="000000" w:themeColor="text1"/>
        </w:rPr>
        <w:t xml:space="preserve">scale parameterization </w:t>
      </w:r>
      <w:r w:rsidR="00447A4E">
        <w:rPr>
          <w:rFonts w:ascii="Times New Roman" w:hAnsi="Times New Roman" w:cs="Times New Roman"/>
          <w:color w:val="000000" w:themeColor="text1"/>
        </w:rPr>
        <w:fldChar w:fldCharType="begin"/>
      </w:r>
      <w:r w:rsidR="00447A4E">
        <w:rPr>
          <w:rFonts w:ascii="Times New Roman" w:hAnsi="Times New Roman" w:cs="Times New Roman"/>
          <w:color w:val="000000" w:themeColor="text1"/>
        </w:rPr>
        <w:instrText xml:space="preserve"> ADDIN ZOTERO_ITEM CSL_CITATION {"citationID":"a2cn27ct6hi","properties":{"formattedCitation":"(Whalen et al. 2018)","plainCitation":"(Whalen et al. 2018)","noteIndex":0},"citationItems":[{"id":2007,"uris":["http://zotero.org/users/7846282/items/QX7NGZFH"],"itemData":{"id":2007,"type":"article-journal","abstract":"Oceanic mesoscale structures such as eddies and fronts can alter the propagation, breaking and subsequent turbulent mixing of wind-generated internal waves. However, it has been difficult to ascertain whether these processes affect the global-scale patterns, timing and magnitude of turbulent mixing, thereby powering the global oceanic overturning circulation and driving the transport of heat and dissolved gases. Here we present global evidence demonstrating that mesoscale features can significantly enhance turbulent mixing due to wind-generated internal waves. Using internal wave-driven mixing estimates calculated from Argo profiling floats between 30° and 45° N, we find that both the amplitude of the seasonal cycle of turbulent mixing and the response to increases in the wind energy flux are larger to a depth of at least 2,000 m in the presence of a strong and temporally uniform field of mesoscale eddy kinetic energy. Mixing is especially strong within energetic anticyclonic mesoscale features compared to cyclonic features, indicating that local modification of wind-driven internal waves is probably one mechanism contributing to the elevated mixing observed in energetic mesoscale environments.","container-title":"Nature Geoscience","DOI":"10.1038/s41561-018-0213-6","ISSN":"1752-0908","issue":"11","journalAbbreviation":"Nature Geosci","language":"en","license":"2018 The Author(s)","note":"number: 11\npublisher: Nature Publishing Group","page":"842-847","source":"www.nature.com","title":"Large-scale impacts of the mesoscale environment on mixing from wind-driven internal waves","volume":"11","author":[{"family":"Whalen","given":"C. B."},{"family":"MacKinnon","given":"J. A."},{"family":"Talley","given":"L. D."}],"issued":{"date-parts":[["2018",11]]}}}],"schema":"https://github.com/citation-style-language/schema/raw/master/csl-citation.json"} </w:instrText>
      </w:r>
      <w:r w:rsidR="00447A4E">
        <w:rPr>
          <w:rFonts w:ascii="Times New Roman" w:hAnsi="Times New Roman" w:cs="Times New Roman"/>
          <w:color w:val="000000" w:themeColor="text1"/>
        </w:rPr>
        <w:fldChar w:fldCharType="separate"/>
      </w:r>
      <w:r w:rsidR="008977BA">
        <w:rPr>
          <w:rFonts w:ascii="Times New Roman" w:hAnsi="Times New Roman" w:cs="Times New Roman"/>
          <w:color w:val="000000"/>
        </w:rPr>
        <w:t>(Whalen et al. 2018)</w:t>
      </w:r>
      <w:r w:rsidR="00447A4E">
        <w:rPr>
          <w:rFonts w:ascii="Times New Roman" w:hAnsi="Times New Roman" w:cs="Times New Roman"/>
          <w:color w:val="000000" w:themeColor="text1"/>
        </w:rPr>
        <w:fldChar w:fldCharType="end"/>
      </w:r>
      <w:r w:rsidR="00B02FDF">
        <w:rPr>
          <w:rFonts w:ascii="Times New Roman" w:hAnsi="Times New Roman" w:cs="Times New Roman"/>
          <w:color w:val="000000" w:themeColor="text1"/>
        </w:rPr>
        <w:t xml:space="preserve"> and an inverse calculation for salinity on </w:t>
      </w:r>
      <w:proofErr w:type="spellStart"/>
      <w:r w:rsidR="00B02FDF">
        <w:rPr>
          <w:rFonts w:ascii="Times New Roman" w:hAnsi="Times New Roman" w:cs="Times New Roman"/>
          <w:color w:val="000000" w:themeColor="text1"/>
        </w:rPr>
        <w:t>isopycnal</w:t>
      </w:r>
      <w:proofErr w:type="spellEnd"/>
      <w:r w:rsidR="00B02FDF">
        <w:rPr>
          <w:rFonts w:ascii="Times New Roman" w:hAnsi="Times New Roman" w:cs="Times New Roman"/>
          <w:color w:val="000000" w:themeColor="text1"/>
        </w:rPr>
        <w:t xml:space="preserve"> surface</w:t>
      </w:r>
      <w:r w:rsidR="00E32EA8">
        <w:rPr>
          <w:rFonts w:ascii="Times New Roman" w:hAnsi="Times New Roman" w:cs="Times New Roman"/>
          <w:color w:val="000000" w:themeColor="text1"/>
        </w:rPr>
        <w:t>s</w:t>
      </w:r>
      <w:r w:rsidR="002E79F6">
        <w:rPr>
          <w:rFonts w:ascii="Times New Roman" w:hAnsi="Times New Roman" w:cs="Times New Roman"/>
          <w:color w:val="000000" w:themeColor="text1"/>
        </w:rPr>
        <w:t xml:space="preserve"> </w:t>
      </w:r>
      <w:r w:rsidR="00447A4E">
        <w:rPr>
          <w:rFonts w:ascii="Times New Roman" w:hAnsi="Times New Roman" w:cs="Times New Roman"/>
          <w:color w:val="000000" w:themeColor="text1"/>
        </w:rPr>
        <w:fldChar w:fldCharType="begin"/>
      </w:r>
      <w:r w:rsidR="002E79F6">
        <w:rPr>
          <w:rFonts w:ascii="Times New Roman" w:hAnsi="Times New Roman" w:cs="Times New Roman"/>
          <w:color w:val="000000" w:themeColor="text1"/>
        </w:rPr>
        <w:instrText xml:space="preserve"> ADDIN ZOTERO_ITEM CSL_CITATION {"citationID":"a10jqm90a00","properties":{"formattedCitation":"(Kouketsu 2021)","plainCitation":"(Kouketsu 2021)","noteIndex":0},"citationItems":[{"id":2014,"uris":["http://zotero.org/users/7846282/items/ULJKBS4X"],"itemData":{"id":2014,"type":"article-journal","abstract":"Distributions of diapycnal, isopycnal, and thickness diffusivity coefficients were estimated using long-term (2001–2015) mean salinity distributions on neutral density (γ) surfaces in seven oceanic basins (except the equatorial region). Diffusivity amplitudes and spatial differences were consistent with distributions previously estimated by various parameterizations of fine-scale structures. This result suggests that these parameterizations are consistent with water mass modifications shown by salinity distributions. Although the estimated diapycnal diffusivity coefficients were the lowest among those used by general circulation models to reproduce tracer distributions, they were closer to directly observed values. Because diapycnal diffusivity was generally small, meridional transports in the upper layers (above about 1600 dbar) associated with diapycnal mixing were relatively small. This result may indicate that diapycnal mixing in coastal regions has relatively large effects on meridional transport, along with water mass formation and mixing and wind forcing at the sea surface. The major water mass transports in subtropical gyres estimated in this study were consistent with previous estimates and corresponded to subduction rates determined using mixed layer thickness budgets and transient tracer inventories. These results, based on recent observation network data, show that understanding of water mass formation and modifications can be improved by taking into account diffusive effects, but more detailed assessments of estimation errors are needed to clarify the role of mixing in water mass modification.","container-title":"Journal of Oceanography","DOI":"10.1007/s10872-021-00595-5","ISSN":"1573-868X","issue":"4","journalAbbreviation":"J Oceanogr","language":"en","page":"615-630","source":"Springer Link","title":"Inverse estimation of diffusivity coefficients from salinity distributions on isopycnal surfaces using Argo float array data","volume":"77","author":[{"family":"Kouketsu","given":"Shinya"}],"issued":{"date-parts":[["2021",8,1]]}}}],"schema":"https://github.com/citation-style-language/schema/raw/master/csl-citation.json"} </w:instrText>
      </w:r>
      <w:r w:rsidR="00447A4E">
        <w:rPr>
          <w:rFonts w:ascii="Times New Roman" w:hAnsi="Times New Roman" w:cs="Times New Roman"/>
          <w:color w:val="000000" w:themeColor="text1"/>
        </w:rPr>
        <w:fldChar w:fldCharType="separate"/>
      </w:r>
      <w:r w:rsidR="008977BA">
        <w:rPr>
          <w:rFonts w:ascii="Times New Roman" w:hAnsi="Times New Roman" w:cs="Times New Roman"/>
          <w:color w:val="000000"/>
        </w:rPr>
        <w:t>(</w:t>
      </w:r>
      <w:proofErr w:type="spellStart"/>
      <w:r w:rsidR="008977BA">
        <w:rPr>
          <w:rFonts w:ascii="Times New Roman" w:hAnsi="Times New Roman" w:cs="Times New Roman"/>
          <w:color w:val="000000"/>
        </w:rPr>
        <w:t>Kouketsu</w:t>
      </w:r>
      <w:proofErr w:type="spellEnd"/>
      <w:r w:rsidR="008977BA">
        <w:rPr>
          <w:rFonts w:ascii="Times New Roman" w:hAnsi="Times New Roman" w:cs="Times New Roman"/>
          <w:color w:val="000000"/>
        </w:rPr>
        <w:t xml:space="preserve"> 2021)</w:t>
      </w:r>
      <w:r w:rsidR="00447A4E">
        <w:rPr>
          <w:rFonts w:ascii="Times New Roman" w:hAnsi="Times New Roman" w:cs="Times New Roman"/>
          <w:color w:val="000000" w:themeColor="text1"/>
        </w:rPr>
        <w:fldChar w:fldCharType="end"/>
      </w:r>
      <w:r w:rsidR="00B02FDF">
        <w:rPr>
          <w:rFonts w:ascii="Times New Roman" w:hAnsi="Times New Roman" w:cs="Times New Roman"/>
          <w:color w:val="000000" w:themeColor="text1"/>
        </w:rPr>
        <w:t xml:space="preserve">. The background diffusivity was computed as </w:t>
      </w:r>
      <w:r w:rsidR="00E32EA8">
        <w:rPr>
          <w:rFonts w:ascii="Times New Roman" w:hAnsi="Times New Roman" w:cs="Times New Roman"/>
          <w:color w:val="000000" w:themeColor="text1"/>
        </w:rPr>
        <w:t xml:space="preserve">the </w:t>
      </w:r>
      <w:r w:rsidR="000038DC">
        <w:rPr>
          <w:rFonts w:ascii="Times New Roman" w:hAnsi="Times New Roman" w:cs="Times New Roman"/>
          <w:color w:val="000000" w:themeColor="text1"/>
        </w:rPr>
        <w:t>diffusivity value averaged vertically f</w:t>
      </w:r>
      <w:r w:rsidR="00E32EA8">
        <w:rPr>
          <w:rFonts w:ascii="Times New Roman" w:hAnsi="Times New Roman" w:cs="Times New Roman"/>
          <w:color w:val="000000" w:themeColor="text1"/>
        </w:rPr>
        <w:t>r</w:t>
      </w:r>
      <w:r w:rsidR="000038DC">
        <w:rPr>
          <w:rFonts w:ascii="Times New Roman" w:hAnsi="Times New Roman" w:cs="Times New Roman"/>
          <w:color w:val="000000" w:themeColor="text1"/>
        </w:rPr>
        <w:t xml:space="preserve">om the depth of </w:t>
      </w:r>
      <w:r w:rsidR="000038DC" w:rsidRPr="00BB3072">
        <w:rPr>
          <w:rFonts w:ascii="Times New Roman" w:hAnsi="Times New Roman" w:cs="Times New Roman"/>
          <w:i/>
          <w:iCs/>
          <w:color w:val="000000" w:themeColor="text1"/>
        </w:rPr>
        <w:t>H</w:t>
      </w:r>
      <w:r w:rsidR="003567FE">
        <w:rPr>
          <w:rFonts w:ascii="Times New Roman" w:hAnsi="Times New Roman" w:cs="Times New Roman"/>
          <w:iCs/>
          <w:color w:val="000000" w:themeColor="text1"/>
        </w:rPr>
        <w:t xml:space="preserve"> </w:t>
      </w:r>
      <w:r w:rsidR="000038DC">
        <w:rPr>
          <w:rFonts w:ascii="Times New Roman" w:hAnsi="Times New Roman" w:cs="Times New Roman"/>
          <w:color w:val="000000" w:themeColor="text1"/>
        </w:rPr>
        <w:t>+</w:t>
      </w:r>
      <w:r w:rsidR="003567FE">
        <w:rPr>
          <w:rFonts w:ascii="Times New Roman" w:hAnsi="Times New Roman" w:cs="Times New Roman"/>
          <w:color w:val="000000" w:themeColor="text1"/>
        </w:rPr>
        <w:t xml:space="preserve"> </w:t>
      </w:r>
      <w:r w:rsidR="000038DC">
        <w:rPr>
          <w:rFonts w:ascii="Times New Roman" w:hAnsi="Times New Roman" w:cs="Times New Roman"/>
          <w:color w:val="000000" w:themeColor="text1"/>
        </w:rPr>
        <w:t xml:space="preserve">100 m to </w:t>
      </w:r>
      <w:r w:rsidR="000038DC" w:rsidRPr="00BB3072">
        <w:rPr>
          <w:rFonts w:ascii="Times New Roman" w:hAnsi="Times New Roman" w:cs="Times New Roman"/>
          <w:i/>
          <w:iCs/>
          <w:color w:val="000000" w:themeColor="text1"/>
        </w:rPr>
        <w:t>H</w:t>
      </w:r>
      <w:r w:rsidR="003567FE">
        <w:rPr>
          <w:rFonts w:ascii="Times New Roman" w:hAnsi="Times New Roman" w:cs="Times New Roman"/>
          <w:iCs/>
          <w:color w:val="000000" w:themeColor="text1"/>
        </w:rPr>
        <w:t xml:space="preserve"> </w:t>
      </w:r>
      <w:r w:rsidR="000038DC">
        <w:rPr>
          <w:rFonts w:ascii="Times New Roman" w:hAnsi="Times New Roman" w:cs="Times New Roman"/>
          <w:color w:val="000000" w:themeColor="text1"/>
        </w:rPr>
        <w:t>+</w:t>
      </w:r>
      <w:r w:rsidR="003567FE">
        <w:rPr>
          <w:rFonts w:ascii="Times New Roman" w:hAnsi="Times New Roman" w:cs="Times New Roman"/>
          <w:color w:val="000000" w:themeColor="text1"/>
        </w:rPr>
        <w:t xml:space="preserve"> </w:t>
      </w:r>
      <w:r w:rsidR="000038DC">
        <w:rPr>
          <w:rFonts w:ascii="Times New Roman" w:hAnsi="Times New Roman" w:cs="Times New Roman"/>
          <w:color w:val="000000" w:themeColor="text1"/>
        </w:rPr>
        <w:t>7</w:t>
      </w:r>
      <w:r w:rsidR="00BB3072">
        <w:rPr>
          <w:rFonts w:ascii="Times New Roman" w:hAnsi="Times New Roman" w:cs="Times New Roman"/>
          <w:color w:val="000000" w:themeColor="text1"/>
        </w:rPr>
        <w:t>5</w:t>
      </w:r>
      <w:r w:rsidR="000038DC">
        <w:rPr>
          <w:rFonts w:ascii="Times New Roman" w:hAnsi="Times New Roman" w:cs="Times New Roman"/>
          <w:color w:val="000000" w:themeColor="text1"/>
        </w:rPr>
        <w:t xml:space="preserve">0 m. Missing </w:t>
      </w:r>
      <w:r w:rsidR="00CE61FB">
        <w:rPr>
          <w:rFonts w:ascii="Times New Roman" w:hAnsi="Times New Roman" w:cs="Times New Roman"/>
          <w:color w:val="000000" w:themeColor="text1"/>
        </w:rPr>
        <w:t xml:space="preserve">values on the </w:t>
      </w:r>
      <w:r w:rsidR="000038DC">
        <w:rPr>
          <w:rFonts w:ascii="Times New Roman" w:hAnsi="Times New Roman" w:cs="Times New Roman"/>
          <w:color w:val="000000" w:themeColor="text1"/>
        </w:rPr>
        <w:t xml:space="preserve">data grid </w:t>
      </w:r>
      <w:r w:rsidR="00CE61FB">
        <w:rPr>
          <w:rFonts w:ascii="Times New Roman" w:hAnsi="Times New Roman" w:cs="Times New Roman"/>
          <w:color w:val="000000" w:themeColor="text1"/>
        </w:rPr>
        <w:t>were</w:t>
      </w:r>
      <w:r w:rsidR="000038DC">
        <w:rPr>
          <w:rFonts w:ascii="Times New Roman" w:hAnsi="Times New Roman" w:cs="Times New Roman"/>
          <w:color w:val="000000" w:themeColor="text1"/>
        </w:rPr>
        <w:t xml:space="preserve"> </w:t>
      </w:r>
      <w:r w:rsidR="00CE61FB">
        <w:rPr>
          <w:rFonts w:ascii="Times New Roman" w:hAnsi="Times New Roman" w:cs="Times New Roman"/>
          <w:color w:val="000000" w:themeColor="text1"/>
        </w:rPr>
        <w:t>replaced</w:t>
      </w:r>
      <w:r w:rsidR="000038DC">
        <w:rPr>
          <w:rFonts w:ascii="Times New Roman" w:hAnsi="Times New Roman" w:cs="Times New Roman"/>
          <w:color w:val="000000" w:themeColor="text1"/>
        </w:rPr>
        <w:t xml:space="preserve"> </w:t>
      </w:r>
      <w:r w:rsidR="00CE61FB">
        <w:rPr>
          <w:rFonts w:ascii="Times New Roman" w:hAnsi="Times New Roman" w:cs="Times New Roman"/>
          <w:color w:val="000000" w:themeColor="text1"/>
        </w:rPr>
        <w:t>from</w:t>
      </w:r>
      <w:r w:rsidR="000038DC">
        <w:rPr>
          <w:rFonts w:ascii="Times New Roman" w:hAnsi="Times New Roman" w:cs="Times New Roman"/>
          <w:color w:val="000000" w:themeColor="text1"/>
        </w:rPr>
        <w:t xml:space="preserve"> another vertical diffusivity product based on tidal mixing parameterization </w:t>
      </w:r>
      <w:r w:rsidR="002E79F6">
        <w:rPr>
          <w:rFonts w:ascii="Times New Roman" w:hAnsi="Times New Roman" w:cs="Times New Roman"/>
          <w:color w:val="000000" w:themeColor="text1"/>
        </w:rPr>
        <w:fldChar w:fldCharType="begin"/>
      </w:r>
      <w:r w:rsidR="002E79F6">
        <w:rPr>
          <w:rFonts w:ascii="Times New Roman" w:hAnsi="Times New Roman" w:cs="Times New Roman"/>
          <w:color w:val="000000" w:themeColor="text1"/>
        </w:rPr>
        <w:instrText xml:space="preserve"> ADDIN ZOTERO_ITEM CSL_CITATION {"citationID":"a7fqv84k66","properties":{"formattedCitation":"(de Lavergne et al. 2020)","plainCitation":"(de Lavergne et al. 2020)","noteIndex":0},"citationItems":[{"id":1970,"uris":["http://zotero.org/users/7846282/items/IF8GIVTV"],"itemData":{"id":1970,"type":"article-journal","abstract":"Vertical mixing is often regarded as the Achilles' heel of ocean models. In particular, few models include a comprehensive and energy-constrained parameterization of mixing by internal ocean tides. Here, we present an energy-conserving mixing scheme which accounts for the local breaking of high-mode internal tides and the distant dissipation of low-mode internal tides. The scheme relies on four static two-dimensional maps of internal tide dissipation, constructed using mode-by-mode Lagrangian tracking of energy beams from sources to sinks. Each map is associated with a distinct dissipative process and a corresponding vertical structure. Applied to an observational climatology of stratification, the scheme produces a global three-dimensional map of dissipation which compares well with available microstructure observations and with upper-ocean finestructure mixing estimates. This relative agreement, both in magnitude and spatial structure across ocean basins, suggests that internal tides underpin most of observed dissipation in the ocean interior at the global scale. The proposed parameterization is therefore expected to improve understanding, mapping, and modeling of ocean mixing.","container-title":"Journal of Advances in Modeling Earth Systems","DOI":"10.1029/2020MS002065","ISSN":"1942-2466","issue":"5","language":"en","note":"_eprint: https://onlinelibrary.wiley.com/doi/pdf/10.1029/2020MS002065","page":"e2020MS002065","source":"Wiley Online Library","title":"A Parameterization of Local and Remote Tidal Mixing","volume":"12","author":[{"family":"Lavergne","given":"C.","non-dropping-particle":"de"},{"family":"Vic","given":"C."},{"family":"Madec","given":"G."},{"family":"Roquet","given":"F."},{"family":"Waterhouse","given":"A. F."},{"family":"Whalen","given":"C. B."},{"family":"Cuypers","given":"Y."},{"family":"Bouruet-Aubertot","given":"P."},{"family":"Ferron","given":"B."},{"family":"Hibiya","given":"T."}],"issued":{"date-parts":[["2020"]]}}}],"schema":"https://github.com/citation-style-language/schema/raw/master/csl-citation.json"} </w:instrText>
      </w:r>
      <w:r w:rsidR="002E79F6">
        <w:rPr>
          <w:rFonts w:ascii="Times New Roman" w:hAnsi="Times New Roman" w:cs="Times New Roman"/>
          <w:color w:val="000000" w:themeColor="text1"/>
        </w:rPr>
        <w:fldChar w:fldCharType="separate"/>
      </w:r>
      <w:r w:rsidR="008977BA">
        <w:rPr>
          <w:rFonts w:ascii="Times New Roman" w:hAnsi="Times New Roman" w:cs="Times New Roman"/>
          <w:color w:val="000000"/>
        </w:rPr>
        <w:t>(de Lavergne et al. 2020)</w:t>
      </w:r>
      <w:r w:rsidR="002E79F6">
        <w:rPr>
          <w:rFonts w:ascii="Times New Roman" w:hAnsi="Times New Roman" w:cs="Times New Roman"/>
          <w:color w:val="000000" w:themeColor="text1"/>
        </w:rPr>
        <w:fldChar w:fldCharType="end"/>
      </w:r>
      <w:r w:rsidR="000038DC">
        <w:rPr>
          <w:rFonts w:ascii="Times New Roman" w:hAnsi="Times New Roman" w:cs="Times New Roman"/>
          <w:color w:val="000000" w:themeColor="text1"/>
        </w:rPr>
        <w:t xml:space="preserve">. </w:t>
      </w:r>
      <w:r w:rsidR="000038DC" w:rsidRPr="000038DC">
        <w:rPr>
          <w:rFonts w:ascii="Times New Roman" w:hAnsi="Times New Roman" w:cs="Times New Roman"/>
          <w:b/>
          <w:bCs/>
          <w:color w:val="000000" w:themeColor="text1"/>
        </w:rPr>
        <w:t>c</w:t>
      </w:r>
      <w:r w:rsidR="000038DC">
        <w:rPr>
          <w:rFonts w:ascii="Times New Roman" w:hAnsi="Times New Roman" w:cs="Times New Roman"/>
          <w:color w:val="000000" w:themeColor="text1"/>
        </w:rPr>
        <w:t xml:space="preserve">, Annual mean vertical oxygen gradient at depth </w:t>
      </w:r>
      <w:r w:rsidR="000038DC" w:rsidRPr="000038DC">
        <w:rPr>
          <w:rFonts w:ascii="Times New Roman" w:hAnsi="Times New Roman" w:cs="Times New Roman"/>
          <w:i/>
          <w:iCs/>
          <w:color w:val="000000" w:themeColor="text1"/>
        </w:rPr>
        <w:t>H</w:t>
      </w:r>
      <w:r w:rsidR="000038DC">
        <w:rPr>
          <w:rFonts w:ascii="Times New Roman" w:hAnsi="Times New Roman" w:cs="Times New Roman"/>
          <w:color w:val="000000" w:themeColor="text1"/>
        </w:rPr>
        <w:t xml:space="preserve">. The vertical gradients </w:t>
      </w:r>
      <w:r w:rsidR="00CE61FB">
        <w:rPr>
          <w:rFonts w:ascii="Times New Roman" w:hAnsi="Times New Roman" w:cs="Times New Roman"/>
          <w:color w:val="000000" w:themeColor="text1"/>
        </w:rPr>
        <w:t>were</w:t>
      </w:r>
      <w:r w:rsidR="000038DC">
        <w:rPr>
          <w:rFonts w:ascii="Times New Roman" w:hAnsi="Times New Roman" w:cs="Times New Roman"/>
          <w:color w:val="000000" w:themeColor="text1"/>
        </w:rPr>
        <w:t xml:space="preserve"> calculated from individual profiles and the profile values </w:t>
      </w:r>
      <w:r w:rsidR="00CE61FB">
        <w:rPr>
          <w:rFonts w:ascii="Times New Roman" w:hAnsi="Times New Roman" w:cs="Times New Roman"/>
          <w:color w:val="000000" w:themeColor="text1"/>
        </w:rPr>
        <w:t>were then</w:t>
      </w:r>
      <w:r w:rsidR="000038DC">
        <w:rPr>
          <w:rFonts w:ascii="Times New Roman" w:hAnsi="Times New Roman" w:cs="Times New Roman"/>
          <w:color w:val="000000" w:themeColor="text1"/>
        </w:rPr>
        <w:t xml:space="preserve"> mapped (</w:t>
      </w:r>
      <w:r w:rsidR="00CE61FB">
        <w:rPr>
          <w:rFonts w:ascii="Times New Roman" w:hAnsi="Times New Roman" w:cs="Times New Roman"/>
          <w:color w:val="000000" w:themeColor="text1"/>
        </w:rPr>
        <w:t xml:space="preserve">see </w:t>
      </w:r>
      <w:r w:rsidR="000038DC" w:rsidRPr="00BA5F1C">
        <w:rPr>
          <w:rFonts w:ascii="Times New Roman" w:hAnsi="Times New Roman" w:cs="Times New Roman"/>
          <w:color w:val="4472C4" w:themeColor="accent1"/>
        </w:rPr>
        <w:t>Method</w:t>
      </w:r>
      <w:r w:rsidR="00BA5F1C" w:rsidRPr="00BA5F1C">
        <w:rPr>
          <w:rFonts w:ascii="Times New Roman" w:hAnsi="Times New Roman" w:cs="Times New Roman"/>
          <w:color w:val="4472C4" w:themeColor="accent1"/>
        </w:rPr>
        <w:t>s</w:t>
      </w:r>
      <w:r w:rsidR="000038DC">
        <w:rPr>
          <w:rFonts w:ascii="Times New Roman" w:hAnsi="Times New Roman" w:cs="Times New Roman"/>
          <w:color w:val="000000" w:themeColor="text1"/>
        </w:rPr>
        <w:t>).</w:t>
      </w:r>
      <w:r w:rsidR="00DC07F8" w:rsidRPr="00DC07F8">
        <w:rPr>
          <w:rFonts w:ascii="Times New Roman" w:hAnsi="Times New Roman" w:cs="Times New Roman"/>
          <w:color w:val="000000" w:themeColor="text1"/>
        </w:rPr>
        <w:t xml:space="preserve"> </w:t>
      </w:r>
      <w:r w:rsidR="00DC07F8" w:rsidRPr="00DC07F8">
        <w:rPr>
          <w:rFonts w:ascii="Times New Roman" w:hAnsi="Times New Roman" w:cs="Times New Roman"/>
          <w:i/>
          <w:iCs/>
          <w:color w:val="000000" w:themeColor="text1"/>
        </w:rPr>
        <w:t>H</w:t>
      </w:r>
      <w:r w:rsidR="00DC07F8">
        <w:rPr>
          <w:rFonts w:ascii="Times New Roman" w:hAnsi="Times New Roman" w:cs="Times New Roman"/>
          <w:color w:val="000000" w:themeColor="text1"/>
        </w:rPr>
        <w:t xml:space="preserve"> was</w:t>
      </w:r>
      <w:r w:rsidR="00DC07F8" w:rsidRPr="00124909">
        <w:rPr>
          <w:rFonts w:ascii="Times New Roman" w:hAnsi="Times New Roman" w:cs="Times New Roman"/>
          <w:color w:val="000000" w:themeColor="text1"/>
        </w:rPr>
        <w:t xml:space="preserve"> </w:t>
      </w:r>
      <w:r w:rsidR="00DC07F8">
        <w:rPr>
          <w:rFonts w:ascii="Times New Roman" w:hAnsi="Times New Roman" w:cs="Times New Roman"/>
          <w:color w:val="000000" w:themeColor="text1"/>
        </w:rPr>
        <w:t xml:space="preserve">defined as the boundary </w:t>
      </w:r>
      <w:r w:rsidR="000639EF">
        <w:rPr>
          <w:rFonts w:ascii="Times New Roman" w:hAnsi="Times New Roman" w:cs="Times New Roman"/>
          <w:color w:val="000000" w:themeColor="text1"/>
        </w:rPr>
        <w:t xml:space="preserve">depth </w:t>
      </w:r>
      <w:r w:rsidR="00DC07F8" w:rsidRPr="00124909">
        <w:rPr>
          <w:rFonts w:ascii="Times New Roman" w:hAnsi="Times New Roman" w:cs="Times New Roman"/>
          <w:color w:val="000000" w:themeColor="text1"/>
        </w:rPr>
        <w:t>of the upper ocean used in the calculation of the upper ocean oxygen budget</w:t>
      </w:r>
      <w:r w:rsidR="006156E0">
        <w:rPr>
          <w:rFonts w:ascii="Times New Roman" w:hAnsi="Times New Roman" w:cs="Times New Roman"/>
          <w:color w:val="000000" w:themeColor="text1"/>
        </w:rPr>
        <w:t>,</w:t>
      </w:r>
      <w:r w:rsidR="00DC07F8">
        <w:rPr>
          <w:rFonts w:ascii="Times New Roman" w:hAnsi="Times New Roman" w:cs="Times New Roman"/>
          <w:color w:val="000000" w:themeColor="text1"/>
        </w:rPr>
        <w:t xml:space="preserve"> and was</w:t>
      </w:r>
      <w:r w:rsidR="00DC07F8" w:rsidRPr="00124909">
        <w:rPr>
          <w:rFonts w:ascii="Times New Roman" w:hAnsi="Times New Roman" w:cs="Times New Roman"/>
          <w:color w:val="000000" w:themeColor="text1"/>
        </w:rPr>
        <w:t xml:space="preserve"> the deeper of the annual maximum mixed layer depth or the annual maximum euphotic layer depth</w:t>
      </w:r>
      <w:r w:rsidR="00DC07F8">
        <w:rPr>
          <w:rFonts w:ascii="Times New Roman" w:hAnsi="Times New Roman" w:cs="Times New Roman"/>
          <w:color w:val="000000" w:themeColor="text1"/>
        </w:rPr>
        <w:t>.</w:t>
      </w:r>
    </w:p>
    <w:p w14:paraId="6C4CCAC0" w14:textId="77777777" w:rsidR="00AD6EDB" w:rsidRDefault="00AD6EDB">
      <w:pPr>
        <w:rPr>
          <w:rFonts w:ascii="Times New Roman" w:hAnsi="Times New Roman" w:cs="Times New Roman"/>
          <w:color w:val="FF0000"/>
        </w:rPr>
      </w:pPr>
      <w:r>
        <w:rPr>
          <w:rFonts w:ascii="Times New Roman" w:hAnsi="Times New Roman" w:cs="Times New Roman"/>
          <w:color w:val="FF0000"/>
        </w:rPr>
        <w:br w:type="page"/>
      </w:r>
    </w:p>
    <w:p w14:paraId="590B11B3" w14:textId="16B9E7DE" w:rsidR="00AD6EDB" w:rsidRDefault="00AD6EDB" w:rsidP="00AD6EDB">
      <w:pPr>
        <w:spacing w:line="480" w:lineRule="auto"/>
        <w:jc w:val="both"/>
        <w:rPr>
          <w:rFonts w:ascii="Times New Roman" w:hAnsi="Times New Roman" w:cs="Times New Roman"/>
          <w:b/>
          <w:bCs/>
          <w:color w:val="000000" w:themeColor="text1"/>
        </w:rPr>
      </w:pPr>
      <w:r w:rsidRPr="00A961B2">
        <w:rPr>
          <w:rFonts w:ascii="Times New Roman" w:hAnsi="Times New Roman" w:cs="Times New Roman"/>
          <w:b/>
          <w:bCs/>
          <w:color w:val="000000" w:themeColor="text1"/>
        </w:rPr>
        <w:lastRenderedPageBreak/>
        <w:t xml:space="preserve">Table 1 | </w:t>
      </w:r>
      <w:r w:rsidR="00D722DE">
        <w:rPr>
          <w:rFonts w:ascii="Times New Roman" w:hAnsi="Times New Roman" w:cs="Times New Roman"/>
          <w:b/>
          <w:bCs/>
          <w:color w:val="000000" w:themeColor="text1"/>
        </w:rPr>
        <w:t>Methodological u</w:t>
      </w:r>
      <w:r w:rsidR="00EE4DCE">
        <w:rPr>
          <w:rFonts w:ascii="Times New Roman" w:hAnsi="Times New Roman" w:cs="Times New Roman"/>
          <w:b/>
          <w:bCs/>
          <w:color w:val="000000" w:themeColor="text1"/>
        </w:rPr>
        <w:t xml:space="preserve">ncertainties in </w:t>
      </w:r>
      <w:r w:rsidR="008A282F">
        <w:rPr>
          <w:rFonts w:ascii="Times New Roman" w:hAnsi="Times New Roman" w:cs="Times New Roman"/>
          <w:b/>
          <w:bCs/>
          <w:color w:val="000000" w:themeColor="text1"/>
        </w:rPr>
        <w:t xml:space="preserve">the </w:t>
      </w:r>
      <w:r w:rsidR="00EE4DCE">
        <w:rPr>
          <w:rFonts w:ascii="Times New Roman" w:hAnsi="Times New Roman" w:cs="Times New Roman"/>
          <w:b/>
          <w:bCs/>
          <w:color w:val="000000" w:themeColor="text1"/>
        </w:rPr>
        <w:t>calculation</w:t>
      </w:r>
      <w:r w:rsidR="002E130E">
        <w:rPr>
          <w:rFonts w:ascii="Times New Roman" w:hAnsi="Times New Roman" w:cs="Times New Roman"/>
          <w:b/>
          <w:bCs/>
          <w:color w:val="000000" w:themeColor="text1"/>
        </w:rPr>
        <w:t>s</w:t>
      </w:r>
      <w:r w:rsidR="00EE4DCE">
        <w:rPr>
          <w:rFonts w:ascii="Times New Roman" w:hAnsi="Times New Roman" w:cs="Times New Roman"/>
          <w:b/>
          <w:bCs/>
          <w:color w:val="000000" w:themeColor="text1"/>
        </w:rPr>
        <w:t xml:space="preserve"> of physical oxygen fluxes</w:t>
      </w:r>
    </w:p>
    <w:tbl>
      <w:tblPr>
        <w:tblW w:w="9171" w:type="dxa"/>
        <w:tblCellMar>
          <w:left w:w="99" w:type="dxa"/>
          <w:right w:w="99" w:type="dxa"/>
        </w:tblCellMar>
        <w:tblLook w:val="04A0" w:firstRow="1" w:lastRow="0" w:firstColumn="1" w:lastColumn="0" w:noHBand="0" w:noVBand="1"/>
      </w:tblPr>
      <w:tblGrid>
        <w:gridCol w:w="1319"/>
        <w:gridCol w:w="1054"/>
        <w:gridCol w:w="2262"/>
        <w:gridCol w:w="2268"/>
        <w:gridCol w:w="2268"/>
      </w:tblGrid>
      <w:tr w:rsidR="00662785" w14:paraId="5CCDE5DC" w14:textId="77777777" w:rsidTr="00E94D5F">
        <w:trPr>
          <w:trHeight w:val="113"/>
        </w:trPr>
        <w:tc>
          <w:tcPr>
            <w:tcW w:w="1319" w:type="dxa"/>
            <w:tcBorders>
              <w:top w:val="nil"/>
              <w:left w:val="nil"/>
              <w:bottom w:val="single" w:sz="4" w:space="0" w:color="BFBFBF" w:themeColor="background1" w:themeShade="BF"/>
              <w:right w:val="nil"/>
            </w:tcBorders>
            <w:shd w:val="clear" w:color="auto" w:fill="auto"/>
            <w:vAlign w:val="center"/>
            <w:hideMark/>
          </w:tcPr>
          <w:p w14:paraId="774947AC" w14:textId="77777777" w:rsidR="00082079" w:rsidRDefault="00082079">
            <w:pPr>
              <w:jc w:val="center"/>
              <w:rPr>
                <w:rFonts w:ascii="Times New Roman" w:eastAsia="Yu Gothic" w:hAnsi="Times New Roman" w:cs="Times New Roman"/>
                <w:color w:val="000000"/>
              </w:rPr>
            </w:pPr>
            <w:r>
              <w:rPr>
                <w:rFonts w:ascii="Times New Roman" w:eastAsia="Yu Gothic" w:hAnsi="Times New Roman" w:cs="Times New Roman"/>
                <w:color w:val="000000"/>
              </w:rPr>
              <w:t>Component</w:t>
            </w:r>
          </w:p>
        </w:tc>
        <w:tc>
          <w:tcPr>
            <w:tcW w:w="1054" w:type="dxa"/>
            <w:tcBorders>
              <w:top w:val="nil"/>
              <w:left w:val="nil"/>
              <w:bottom w:val="single" w:sz="4" w:space="0" w:color="BFBFBF" w:themeColor="background1" w:themeShade="BF"/>
              <w:right w:val="nil"/>
            </w:tcBorders>
            <w:shd w:val="clear" w:color="auto" w:fill="auto"/>
            <w:vAlign w:val="center"/>
            <w:hideMark/>
          </w:tcPr>
          <w:p w14:paraId="514F974E" w14:textId="72CED249" w:rsidR="00082079" w:rsidRDefault="00082079">
            <w:pPr>
              <w:jc w:val="center"/>
              <w:rPr>
                <w:rFonts w:ascii="Times New Roman" w:eastAsia="Yu Gothic" w:hAnsi="Times New Roman" w:cs="Times New Roman"/>
                <w:color w:val="000000"/>
              </w:rPr>
            </w:pPr>
            <w:r>
              <w:rPr>
                <w:rFonts w:ascii="Times New Roman" w:eastAsia="Yu Gothic" w:hAnsi="Times New Roman" w:cs="Times New Roman"/>
                <w:color w:val="000000"/>
              </w:rPr>
              <w:t>Mean</w:t>
            </w:r>
            <w:r>
              <w:rPr>
                <w:rFonts w:ascii="Times New Roman" w:eastAsia="Yu Gothic" w:hAnsi="Times New Roman" w:cs="Times New Roman"/>
                <w:color w:val="000000"/>
              </w:rPr>
              <w:br/>
              <w:t>± 1</w:t>
            </w:r>
            <w:r w:rsidR="00C6505D">
              <w:rPr>
                <w:rFonts w:ascii="Times New Roman" w:eastAsia="Yu Gothic" w:hAnsi="Times New Roman" w:cs="Times New Roman"/>
                <w:color w:val="000000"/>
              </w:rPr>
              <w:t xml:space="preserve"> </w:t>
            </w:r>
            <w:r>
              <w:rPr>
                <w:rFonts w:ascii="Times New Roman" w:eastAsia="Yu Gothic" w:hAnsi="Times New Roman" w:cs="Times New Roman"/>
                <w:color w:val="000000"/>
              </w:rPr>
              <w:t>SD</w:t>
            </w:r>
          </w:p>
        </w:tc>
        <w:tc>
          <w:tcPr>
            <w:tcW w:w="6798" w:type="dxa"/>
            <w:gridSpan w:val="3"/>
            <w:tcBorders>
              <w:top w:val="nil"/>
              <w:left w:val="nil"/>
              <w:bottom w:val="single" w:sz="4" w:space="0" w:color="BFBFBF" w:themeColor="background1" w:themeShade="BF"/>
              <w:right w:val="nil"/>
            </w:tcBorders>
            <w:shd w:val="clear" w:color="auto" w:fill="auto"/>
            <w:vAlign w:val="center"/>
            <w:hideMark/>
          </w:tcPr>
          <w:p w14:paraId="756C74E8" w14:textId="47C84151" w:rsidR="00082079" w:rsidRDefault="008A282F" w:rsidP="008A282F">
            <w:pPr>
              <w:jc w:val="center"/>
              <w:rPr>
                <w:rFonts w:ascii="Times New Roman" w:eastAsia="Yu Gothic" w:hAnsi="Times New Roman" w:cs="Times New Roman"/>
                <w:color w:val="000000"/>
              </w:rPr>
            </w:pPr>
            <w:r>
              <w:rPr>
                <w:rFonts w:ascii="Times New Roman" w:eastAsia="Yu Gothic" w:hAnsi="Times New Roman" w:cs="Times New Roman"/>
                <w:color w:val="000000"/>
              </w:rPr>
              <w:t>Source of u</w:t>
            </w:r>
            <w:r w:rsidR="00082079">
              <w:rPr>
                <w:rFonts w:ascii="Times New Roman" w:eastAsia="Yu Gothic" w:hAnsi="Times New Roman" w:cs="Times New Roman"/>
                <w:color w:val="000000"/>
              </w:rPr>
              <w:t>ncertainties</w:t>
            </w:r>
          </w:p>
        </w:tc>
      </w:tr>
      <w:tr w:rsidR="00662785" w14:paraId="4D6936F3" w14:textId="77777777" w:rsidTr="00E94D5F">
        <w:trPr>
          <w:trHeight w:val="113"/>
        </w:trPr>
        <w:tc>
          <w:tcPr>
            <w:tcW w:w="1319" w:type="dxa"/>
            <w:vMerge w:val="restart"/>
            <w:tcBorders>
              <w:top w:val="single" w:sz="4" w:space="0" w:color="BFBFBF" w:themeColor="background1" w:themeShade="BF"/>
              <w:left w:val="nil"/>
              <w:bottom w:val="nil"/>
              <w:right w:val="nil"/>
            </w:tcBorders>
            <w:shd w:val="clear" w:color="auto" w:fill="auto"/>
            <w:vAlign w:val="center"/>
            <w:hideMark/>
          </w:tcPr>
          <w:p w14:paraId="61F8133E" w14:textId="6121B799" w:rsidR="00082079" w:rsidRPr="00082079" w:rsidRDefault="00082079">
            <w:pPr>
              <w:jc w:val="center"/>
              <w:rPr>
                <w:rFonts w:ascii="Times New Roman" w:eastAsia="Yu Gothic" w:hAnsi="Times New Roman" w:cs="Times New Roman"/>
                <w:i/>
                <w:iCs/>
                <w:color w:val="000000"/>
              </w:rPr>
            </w:pPr>
            <w:r w:rsidRPr="00082079">
              <w:rPr>
                <w:rFonts w:ascii="Times New Roman" w:eastAsia="Yu Gothic" w:hAnsi="Times New Roman" w:cs="Times New Roman"/>
                <w:i/>
                <w:iCs/>
                <w:color w:val="000000"/>
              </w:rPr>
              <w:t>F</w:t>
            </w:r>
            <w:r w:rsidRPr="00082079">
              <w:rPr>
                <w:rFonts w:ascii="Times New Roman" w:eastAsia="Yu Gothic" w:hAnsi="Times New Roman" w:cs="Times New Roman"/>
                <w:i/>
                <w:iCs/>
                <w:color w:val="000000"/>
                <w:vertAlign w:val="subscript"/>
              </w:rPr>
              <w:t>A</w:t>
            </w:r>
            <w:r w:rsidR="003567FE">
              <w:rPr>
                <w:rFonts w:ascii="Times New Roman" w:eastAsia="Yu Gothic" w:hAnsi="Times New Roman" w:cs="Times New Roman"/>
                <w:i/>
                <w:iCs/>
                <w:color w:val="000000"/>
                <w:vertAlign w:val="subscript"/>
              </w:rPr>
              <w:t>–</w:t>
            </w:r>
            <w:r w:rsidRPr="00082079">
              <w:rPr>
                <w:rFonts w:ascii="Times New Roman" w:eastAsia="Yu Gothic" w:hAnsi="Times New Roman" w:cs="Times New Roman"/>
                <w:i/>
                <w:iCs/>
                <w:color w:val="000000"/>
                <w:vertAlign w:val="subscript"/>
              </w:rPr>
              <w:t>S</w:t>
            </w:r>
          </w:p>
        </w:tc>
        <w:tc>
          <w:tcPr>
            <w:tcW w:w="1054" w:type="dxa"/>
            <w:vMerge w:val="restart"/>
            <w:tcBorders>
              <w:top w:val="single" w:sz="4" w:space="0" w:color="BFBFBF" w:themeColor="background1" w:themeShade="BF"/>
              <w:left w:val="nil"/>
              <w:bottom w:val="nil"/>
              <w:right w:val="nil"/>
            </w:tcBorders>
            <w:shd w:val="clear" w:color="auto" w:fill="auto"/>
            <w:vAlign w:val="center"/>
            <w:hideMark/>
          </w:tcPr>
          <w:p w14:paraId="05072810" w14:textId="77B7F75B" w:rsidR="00082079" w:rsidRDefault="005D53F5">
            <w:pPr>
              <w:jc w:val="center"/>
              <w:rPr>
                <w:rFonts w:ascii="Times New Roman" w:eastAsia="Yu Gothic" w:hAnsi="Times New Roman" w:cs="Times New Roman"/>
                <w:color w:val="000000"/>
              </w:rPr>
            </w:pPr>
            <w:r w:rsidRPr="005D53F5">
              <w:rPr>
                <w:rFonts w:ascii="Times New Roman" w:eastAsia="Yu Gothic" w:hAnsi="Times New Roman" w:cs="Times New Roman"/>
                <w:color w:val="000000"/>
              </w:rPr>
              <w:t>−</w:t>
            </w:r>
            <w:r w:rsidR="00082079">
              <w:rPr>
                <w:rFonts w:ascii="Times New Roman" w:eastAsia="Yu Gothic" w:hAnsi="Times New Roman" w:cs="Times New Roman"/>
                <w:color w:val="000000"/>
              </w:rPr>
              <w:t>4</w:t>
            </w:r>
            <w:r>
              <w:rPr>
                <w:rFonts w:ascii="Times New Roman" w:eastAsia="Yu Gothic" w:hAnsi="Times New Roman" w:cs="Times New Roman"/>
                <w:color w:val="000000"/>
              </w:rPr>
              <w:t>6</w:t>
            </w:r>
            <w:r w:rsidR="00082079">
              <w:rPr>
                <w:rFonts w:ascii="Times New Roman" w:eastAsia="Yu Gothic" w:hAnsi="Times New Roman" w:cs="Times New Roman"/>
                <w:color w:val="000000"/>
              </w:rPr>
              <w:t>.</w:t>
            </w:r>
            <w:r>
              <w:rPr>
                <w:rFonts w:ascii="Times New Roman" w:eastAsia="Yu Gothic" w:hAnsi="Times New Roman" w:cs="Times New Roman"/>
                <w:color w:val="000000"/>
              </w:rPr>
              <w:t>1</w:t>
            </w:r>
            <w:r w:rsidR="00082079">
              <w:rPr>
                <w:rFonts w:ascii="Times New Roman" w:eastAsia="Yu Gothic" w:hAnsi="Times New Roman" w:cs="Times New Roman"/>
                <w:color w:val="000000"/>
              </w:rPr>
              <w:br/>
              <w:t>± 3</w:t>
            </w:r>
            <w:r>
              <w:rPr>
                <w:rFonts w:ascii="Times New Roman" w:eastAsia="Yu Gothic" w:hAnsi="Times New Roman" w:cs="Times New Roman"/>
                <w:color w:val="000000"/>
              </w:rPr>
              <w:t>3</w:t>
            </w:r>
            <w:r w:rsidR="00082079">
              <w:rPr>
                <w:rFonts w:ascii="Times New Roman" w:eastAsia="Yu Gothic" w:hAnsi="Times New Roman" w:cs="Times New Roman"/>
                <w:color w:val="000000"/>
              </w:rPr>
              <w:t>.</w:t>
            </w:r>
            <w:r>
              <w:rPr>
                <w:rFonts w:ascii="Times New Roman" w:eastAsia="Yu Gothic" w:hAnsi="Times New Roman" w:cs="Times New Roman"/>
                <w:color w:val="000000"/>
              </w:rPr>
              <w:t>0</w:t>
            </w:r>
          </w:p>
        </w:tc>
        <w:tc>
          <w:tcPr>
            <w:tcW w:w="2262" w:type="dxa"/>
            <w:tcBorders>
              <w:top w:val="single" w:sz="4" w:space="0" w:color="BFBFBF" w:themeColor="background1" w:themeShade="BF"/>
              <w:left w:val="nil"/>
              <w:bottom w:val="nil"/>
              <w:right w:val="nil"/>
            </w:tcBorders>
            <w:shd w:val="clear" w:color="auto" w:fill="auto"/>
            <w:vAlign w:val="center"/>
            <w:hideMark/>
          </w:tcPr>
          <w:p w14:paraId="7E98AEEC" w14:textId="6DEC84C4" w:rsidR="00082079" w:rsidRDefault="008A282F">
            <w:pPr>
              <w:jc w:val="center"/>
              <w:rPr>
                <w:rFonts w:ascii="Times New Roman" w:eastAsia="Yu Gothic" w:hAnsi="Times New Roman" w:cs="Times New Roman"/>
                <w:color w:val="000000"/>
              </w:rPr>
            </w:pPr>
            <w:r>
              <w:rPr>
                <w:rFonts w:ascii="Times New Roman" w:eastAsia="Yu Gothic" w:hAnsi="Times New Roman" w:cs="Times New Roman"/>
                <w:color w:val="000000"/>
              </w:rPr>
              <w:t>W</w:t>
            </w:r>
            <w:r w:rsidR="00082079">
              <w:rPr>
                <w:rFonts w:ascii="Times New Roman" w:eastAsia="Yu Gothic" w:hAnsi="Times New Roman" w:cs="Times New Roman"/>
                <w:color w:val="000000"/>
              </w:rPr>
              <w:t>ind products (5)</w:t>
            </w:r>
          </w:p>
        </w:tc>
        <w:tc>
          <w:tcPr>
            <w:tcW w:w="2268" w:type="dxa"/>
            <w:tcBorders>
              <w:top w:val="single" w:sz="4" w:space="0" w:color="BFBFBF" w:themeColor="background1" w:themeShade="BF"/>
              <w:left w:val="nil"/>
              <w:bottom w:val="nil"/>
              <w:right w:val="nil"/>
            </w:tcBorders>
            <w:shd w:val="clear" w:color="auto" w:fill="auto"/>
            <w:vAlign w:val="center"/>
            <w:hideMark/>
          </w:tcPr>
          <w:p w14:paraId="427B8E04" w14:textId="77777777" w:rsidR="00082079" w:rsidRDefault="00082079">
            <w:pPr>
              <w:jc w:val="center"/>
              <w:rPr>
                <w:rFonts w:ascii="Times New Roman" w:eastAsia="Yu Gothic" w:hAnsi="Times New Roman" w:cs="Times New Roman"/>
                <w:color w:val="000000"/>
              </w:rPr>
            </w:pPr>
          </w:p>
        </w:tc>
        <w:tc>
          <w:tcPr>
            <w:tcW w:w="2268" w:type="dxa"/>
            <w:tcBorders>
              <w:top w:val="single" w:sz="4" w:space="0" w:color="BFBFBF" w:themeColor="background1" w:themeShade="BF"/>
              <w:left w:val="nil"/>
              <w:bottom w:val="nil"/>
              <w:right w:val="nil"/>
            </w:tcBorders>
            <w:shd w:val="clear" w:color="auto" w:fill="auto"/>
            <w:vAlign w:val="center"/>
            <w:hideMark/>
          </w:tcPr>
          <w:p w14:paraId="19041A14" w14:textId="77777777" w:rsidR="00082079" w:rsidRDefault="00082079">
            <w:pPr>
              <w:jc w:val="center"/>
              <w:rPr>
                <w:rFonts w:ascii="Times New Roman" w:eastAsia="Times New Roman" w:hAnsi="Times New Roman" w:cs="Times New Roman"/>
                <w:sz w:val="20"/>
                <w:szCs w:val="20"/>
              </w:rPr>
            </w:pPr>
          </w:p>
        </w:tc>
      </w:tr>
      <w:tr w:rsidR="00662785" w14:paraId="7C5A6454" w14:textId="77777777" w:rsidTr="00E94D5F">
        <w:trPr>
          <w:trHeight w:val="113"/>
        </w:trPr>
        <w:tc>
          <w:tcPr>
            <w:tcW w:w="1319" w:type="dxa"/>
            <w:vMerge/>
            <w:tcBorders>
              <w:top w:val="nil"/>
              <w:left w:val="nil"/>
              <w:bottom w:val="nil"/>
              <w:right w:val="nil"/>
            </w:tcBorders>
            <w:vAlign w:val="center"/>
            <w:hideMark/>
          </w:tcPr>
          <w:p w14:paraId="586DDF45" w14:textId="77777777" w:rsidR="00082079" w:rsidRDefault="00082079">
            <w:pPr>
              <w:rPr>
                <w:rFonts w:ascii="Times New Roman" w:eastAsia="Yu Gothic" w:hAnsi="Times New Roman" w:cs="Times New Roman"/>
                <w:color w:val="000000"/>
              </w:rPr>
            </w:pPr>
          </w:p>
        </w:tc>
        <w:tc>
          <w:tcPr>
            <w:tcW w:w="1054" w:type="dxa"/>
            <w:vMerge/>
            <w:tcBorders>
              <w:top w:val="nil"/>
              <w:left w:val="nil"/>
              <w:bottom w:val="nil"/>
              <w:right w:val="nil"/>
            </w:tcBorders>
            <w:vAlign w:val="center"/>
            <w:hideMark/>
          </w:tcPr>
          <w:p w14:paraId="0A1B2F7D" w14:textId="77777777" w:rsidR="00082079" w:rsidRDefault="00082079">
            <w:pPr>
              <w:rPr>
                <w:rFonts w:ascii="Times New Roman" w:eastAsia="Yu Gothic" w:hAnsi="Times New Roman" w:cs="Times New Roman"/>
                <w:color w:val="000000"/>
              </w:rPr>
            </w:pPr>
          </w:p>
        </w:tc>
        <w:tc>
          <w:tcPr>
            <w:tcW w:w="2262" w:type="dxa"/>
            <w:tcBorders>
              <w:top w:val="nil"/>
              <w:left w:val="nil"/>
              <w:bottom w:val="nil"/>
              <w:right w:val="nil"/>
            </w:tcBorders>
            <w:shd w:val="clear" w:color="auto" w:fill="auto"/>
            <w:vAlign w:val="center"/>
            <w:hideMark/>
          </w:tcPr>
          <w:p w14:paraId="4FF98495" w14:textId="1A8397A1" w:rsidR="00082079" w:rsidRDefault="00082079">
            <w:pPr>
              <w:jc w:val="center"/>
              <w:rPr>
                <w:rFonts w:ascii="Times New Roman" w:eastAsia="Yu Gothic" w:hAnsi="Times New Roman" w:cs="Times New Roman"/>
                <w:color w:val="000000"/>
                <w:sz w:val="26"/>
                <w:szCs w:val="26"/>
              </w:rPr>
            </w:pPr>
            <w:r>
              <w:rPr>
                <w:rFonts w:ascii="Times New Roman" w:eastAsia="Yu Gothic" w:hAnsi="Times New Roman" w:cs="Times New Roman"/>
                <w:color w:val="000000"/>
                <w:sz w:val="26"/>
                <w:szCs w:val="26"/>
              </w:rPr>
              <w:t>± 3</w:t>
            </w:r>
            <w:r w:rsidR="005D53F5">
              <w:rPr>
                <w:rFonts w:ascii="Times New Roman" w:eastAsia="Yu Gothic" w:hAnsi="Times New Roman" w:cs="Times New Roman"/>
                <w:color w:val="000000"/>
                <w:sz w:val="26"/>
                <w:szCs w:val="26"/>
              </w:rPr>
              <w:t>3</w:t>
            </w:r>
            <w:r>
              <w:rPr>
                <w:rFonts w:ascii="Times New Roman" w:eastAsia="Yu Gothic" w:hAnsi="Times New Roman" w:cs="Times New Roman"/>
                <w:color w:val="000000"/>
                <w:sz w:val="26"/>
                <w:szCs w:val="26"/>
              </w:rPr>
              <w:t>.</w:t>
            </w:r>
            <w:r w:rsidR="005D53F5">
              <w:rPr>
                <w:rFonts w:ascii="Times New Roman" w:eastAsia="Yu Gothic" w:hAnsi="Times New Roman" w:cs="Times New Roman"/>
                <w:color w:val="000000"/>
                <w:sz w:val="26"/>
                <w:szCs w:val="26"/>
              </w:rPr>
              <w:t>0</w:t>
            </w:r>
          </w:p>
        </w:tc>
        <w:tc>
          <w:tcPr>
            <w:tcW w:w="2268" w:type="dxa"/>
            <w:tcBorders>
              <w:top w:val="nil"/>
              <w:left w:val="nil"/>
              <w:bottom w:val="nil"/>
              <w:right w:val="nil"/>
            </w:tcBorders>
            <w:shd w:val="clear" w:color="auto" w:fill="auto"/>
            <w:vAlign w:val="center"/>
            <w:hideMark/>
          </w:tcPr>
          <w:p w14:paraId="32602E7B" w14:textId="77777777" w:rsidR="00082079" w:rsidRDefault="00082079">
            <w:pPr>
              <w:jc w:val="center"/>
              <w:rPr>
                <w:rFonts w:ascii="Times New Roman" w:eastAsia="Yu Gothic" w:hAnsi="Times New Roman" w:cs="Times New Roman"/>
                <w:color w:val="000000"/>
                <w:sz w:val="26"/>
                <w:szCs w:val="26"/>
              </w:rPr>
            </w:pPr>
          </w:p>
        </w:tc>
        <w:tc>
          <w:tcPr>
            <w:tcW w:w="2268" w:type="dxa"/>
            <w:tcBorders>
              <w:top w:val="nil"/>
              <w:left w:val="nil"/>
              <w:bottom w:val="nil"/>
              <w:right w:val="nil"/>
            </w:tcBorders>
            <w:shd w:val="clear" w:color="auto" w:fill="auto"/>
            <w:vAlign w:val="center"/>
            <w:hideMark/>
          </w:tcPr>
          <w:p w14:paraId="2EE4032B" w14:textId="77777777" w:rsidR="00082079" w:rsidRDefault="00082079">
            <w:pPr>
              <w:jc w:val="center"/>
              <w:rPr>
                <w:rFonts w:ascii="Times New Roman" w:eastAsia="Times New Roman" w:hAnsi="Times New Roman" w:cs="Times New Roman"/>
                <w:sz w:val="20"/>
                <w:szCs w:val="20"/>
              </w:rPr>
            </w:pPr>
          </w:p>
        </w:tc>
      </w:tr>
      <w:tr w:rsidR="00662785" w14:paraId="7B9C20FF" w14:textId="77777777" w:rsidTr="00E94D5F">
        <w:trPr>
          <w:trHeight w:val="113"/>
        </w:trPr>
        <w:tc>
          <w:tcPr>
            <w:tcW w:w="1319" w:type="dxa"/>
            <w:vMerge w:val="restart"/>
            <w:tcBorders>
              <w:top w:val="nil"/>
              <w:left w:val="nil"/>
              <w:bottom w:val="nil"/>
              <w:right w:val="nil"/>
            </w:tcBorders>
            <w:shd w:val="clear" w:color="auto" w:fill="auto"/>
            <w:vAlign w:val="center"/>
            <w:hideMark/>
          </w:tcPr>
          <w:p w14:paraId="32C7F74F" w14:textId="77777777" w:rsidR="00082079" w:rsidRPr="00082079" w:rsidRDefault="00082079">
            <w:pPr>
              <w:jc w:val="center"/>
              <w:rPr>
                <w:rFonts w:ascii="Times New Roman" w:eastAsia="Yu Gothic" w:hAnsi="Times New Roman" w:cs="Times New Roman"/>
                <w:i/>
                <w:iCs/>
                <w:color w:val="000000"/>
              </w:rPr>
            </w:pPr>
            <w:proofErr w:type="spellStart"/>
            <w:r w:rsidRPr="00082079">
              <w:rPr>
                <w:rFonts w:ascii="Times New Roman" w:eastAsia="Yu Gothic" w:hAnsi="Times New Roman" w:cs="Times New Roman"/>
                <w:i/>
                <w:iCs/>
                <w:color w:val="000000"/>
              </w:rPr>
              <w:t>F</w:t>
            </w:r>
            <w:r w:rsidRPr="00082079">
              <w:rPr>
                <w:rFonts w:ascii="Times New Roman" w:eastAsia="Yu Gothic" w:hAnsi="Times New Roman" w:cs="Times New Roman"/>
                <w:i/>
                <w:iCs/>
                <w:color w:val="000000"/>
                <w:vertAlign w:val="subscript"/>
              </w:rPr>
              <w:t>vDIFF</w:t>
            </w:r>
            <w:proofErr w:type="spellEnd"/>
          </w:p>
        </w:tc>
        <w:tc>
          <w:tcPr>
            <w:tcW w:w="1054" w:type="dxa"/>
            <w:vMerge w:val="restart"/>
            <w:tcBorders>
              <w:top w:val="nil"/>
              <w:left w:val="nil"/>
              <w:bottom w:val="nil"/>
              <w:right w:val="nil"/>
            </w:tcBorders>
            <w:shd w:val="clear" w:color="auto" w:fill="auto"/>
            <w:vAlign w:val="center"/>
            <w:hideMark/>
          </w:tcPr>
          <w:p w14:paraId="3C6750DD" w14:textId="155C20D7" w:rsidR="00082079" w:rsidRDefault="005D53F5">
            <w:pPr>
              <w:jc w:val="center"/>
              <w:rPr>
                <w:rFonts w:ascii="Times New Roman" w:eastAsia="Yu Gothic" w:hAnsi="Times New Roman" w:cs="Times New Roman"/>
                <w:color w:val="000000"/>
              </w:rPr>
            </w:pPr>
            <w:r w:rsidRPr="005D53F5">
              <w:rPr>
                <w:rFonts w:ascii="Times New Roman" w:eastAsia="Yu Gothic" w:hAnsi="Times New Roman" w:cs="Times New Roman"/>
                <w:color w:val="000000"/>
              </w:rPr>
              <w:t>−</w:t>
            </w:r>
            <w:r w:rsidR="00082079">
              <w:rPr>
                <w:rFonts w:ascii="Times New Roman" w:eastAsia="Yu Gothic" w:hAnsi="Times New Roman" w:cs="Times New Roman"/>
                <w:color w:val="000000"/>
              </w:rPr>
              <w:t>2</w:t>
            </w:r>
            <w:r>
              <w:rPr>
                <w:rFonts w:ascii="Times New Roman" w:eastAsia="Yu Gothic" w:hAnsi="Times New Roman" w:cs="Times New Roman"/>
                <w:color w:val="000000"/>
              </w:rPr>
              <w:t>61</w:t>
            </w:r>
            <w:r w:rsidR="00082079">
              <w:rPr>
                <w:rFonts w:ascii="Times New Roman" w:eastAsia="Yu Gothic" w:hAnsi="Times New Roman" w:cs="Times New Roman"/>
                <w:color w:val="000000"/>
              </w:rPr>
              <w:t>.</w:t>
            </w:r>
            <w:r>
              <w:rPr>
                <w:rFonts w:ascii="Times New Roman" w:eastAsia="Yu Gothic" w:hAnsi="Times New Roman" w:cs="Times New Roman"/>
                <w:color w:val="000000"/>
              </w:rPr>
              <w:t>5</w:t>
            </w:r>
            <w:r w:rsidR="00082079">
              <w:rPr>
                <w:rFonts w:ascii="Times New Roman" w:eastAsia="Yu Gothic" w:hAnsi="Times New Roman" w:cs="Times New Roman"/>
                <w:color w:val="000000"/>
              </w:rPr>
              <w:br/>
              <w:t>± 5</w:t>
            </w:r>
            <w:r>
              <w:rPr>
                <w:rFonts w:ascii="Times New Roman" w:eastAsia="Yu Gothic" w:hAnsi="Times New Roman" w:cs="Times New Roman"/>
                <w:color w:val="000000"/>
              </w:rPr>
              <w:t>7</w:t>
            </w:r>
            <w:r w:rsidR="00082079">
              <w:rPr>
                <w:rFonts w:ascii="Times New Roman" w:eastAsia="Yu Gothic" w:hAnsi="Times New Roman" w:cs="Times New Roman"/>
                <w:color w:val="000000"/>
              </w:rPr>
              <w:t>.</w:t>
            </w:r>
            <w:r>
              <w:rPr>
                <w:rFonts w:ascii="Times New Roman" w:eastAsia="Yu Gothic" w:hAnsi="Times New Roman" w:cs="Times New Roman"/>
                <w:color w:val="000000"/>
              </w:rPr>
              <w:t>3</w:t>
            </w:r>
          </w:p>
        </w:tc>
        <w:tc>
          <w:tcPr>
            <w:tcW w:w="2262" w:type="dxa"/>
            <w:tcBorders>
              <w:top w:val="nil"/>
              <w:left w:val="nil"/>
              <w:bottom w:val="nil"/>
              <w:right w:val="nil"/>
            </w:tcBorders>
            <w:shd w:val="clear" w:color="auto" w:fill="auto"/>
            <w:vAlign w:val="center"/>
            <w:hideMark/>
          </w:tcPr>
          <w:p w14:paraId="62960CD8" w14:textId="4854E028" w:rsidR="00082079" w:rsidRDefault="00082079">
            <w:pPr>
              <w:jc w:val="center"/>
              <w:rPr>
                <w:rFonts w:ascii="Times New Roman" w:eastAsia="Yu Gothic" w:hAnsi="Times New Roman" w:cs="Times New Roman"/>
                <w:color w:val="000000"/>
              </w:rPr>
            </w:pPr>
            <w:proofErr w:type="spellStart"/>
            <w:r>
              <w:rPr>
                <w:rFonts w:ascii="Times New Roman" w:eastAsia="Yu Gothic" w:hAnsi="Times New Roman" w:cs="Times New Roman"/>
                <w:color w:val="000000"/>
              </w:rPr>
              <w:t>k</w:t>
            </w:r>
            <w:r w:rsidRPr="00082079">
              <w:rPr>
                <w:rFonts w:ascii="Times New Roman" w:eastAsia="Yu Gothic" w:hAnsi="Times New Roman" w:cs="Times New Roman"/>
                <w:color w:val="000000"/>
                <w:vertAlign w:val="subscript"/>
              </w:rPr>
              <w:t>v</w:t>
            </w:r>
            <w:r w:rsidRPr="00082079">
              <w:rPr>
                <w:rFonts w:ascii="Times New Roman" w:eastAsia="Yu Gothic" w:hAnsi="Times New Roman" w:cs="Times New Roman"/>
                <w:color w:val="000000"/>
                <w:vertAlign w:val="superscript"/>
              </w:rPr>
              <w:t>mb</w:t>
            </w:r>
            <w:proofErr w:type="spellEnd"/>
            <w:r>
              <w:rPr>
                <w:rFonts w:ascii="Times New Roman" w:eastAsia="Yu Gothic" w:hAnsi="Times New Roman" w:cs="Times New Roman"/>
                <w:color w:val="000000"/>
              </w:rPr>
              <w:t xml:space="preserve"> values (3)</w:t>
            </w:r>
          </w:p>
        </w:tc>
        <w:tc>
          <w:tcPr>
            <w:tcW w:w="2268" w:type="dxa"/>
            <w:tcBorders>
              <w:top w:val="nil"/>
              <w:left w:val="nil"/>
              <w:bottom w:val="nil"/>
              <w:right w:val="nil"/>
            </w:tcBorders>
            <w:shd w:val="clear" w:color="auto" w:fill="auto"/>
            <w:vAlign w:val="center"/>
            <w:hideMark/>
          </w:tcPr>
          <w:p w14:paraId="31779D27" w14:textId="7B284C73" w:rsidR="00082079" w:rsidRDefault="00082079">
            <w:pPr>
              <w:jc w:val="center"/>
              <w:rPr>
                <w:rFonts w:ascii="Times New Roman" w:eastAsia="Yu Gothic" w:hAnsi="Times New Roman" w:cs="Times New Roman"/>
                <w:color w:val="000000"/>
              </w:rPr>
            </w:pPr>
            <w:proofErr w:type="spellStart"/>
            <w:r>
              <w:rPr>
                <w:rFonts w:ascii="Times New Roman" w:eastAsia="Yu Gothic" w:hAnsi="Times New Roman" w:cs="Times New Roman"/>
                <w:color w:val="000000"/>
              </w:rPr>
              <w:t>k</w:t>
            </w:r>
            <w:r w:rsidRPr="00082079">
              <w:rPr>
                <w:rFonts w:ascii="Times New Roman" w:eastAsia="Yu Gothic" w:hAnsi="Times New Roman" w:cs="Times New Roman"/>
                <w:color w:val="000000"/>
                <w:vertAlign w:val="subscript"/>
              </w:rPr>
              <w:t>v</w:t>
            </w:r>
            <w:r w:rsidRPr="00082079">
              <w:rPr>
                <w:rFonts w:ascii="Times New Roman" w:eastAsia="Yu Gothic" w:hAnsi="Times New Roman" w:cs="Times New Roman"/>
                <w:color w:val="000000"/>
                <w:vertAlign w:val="superscript"/>
              </w:rPr>
              <w:t>bg</w:t>
            </w:r>
            <w:proofErr w:type="spellEnd"/>
            <w:r>
              <w:rPr>
                <w:rFonts w:ascii="Times New Roman" w:eastAsia="Yu Gothic" w:hAnsi="Times New Roman" w:cs="Times New Roman"/>
                <w:color w:val="000000"/>
              </w:rPr>
              <w:t xml:space="preserve"> products (2)</w:t>
            </w:r>
          </w:p>
        </w:tc>
        <w:tc>
          <w:tcPr>
            <w:tcW w:w="2268" w:type="dxa"/>
            <w:tcBorders>
              <w:top w:val="nil"/>
              <w:left w:val="nil"/>
              <w:bottom w:val="nil"/>
              <w:right w:val="nil"/>
            </w:tcBorders>
            <w:shd w:val="clear" w:color="auto" w:fill="auto"/>
            <w:vAlign w:val="center"/>
            <w:hideMark/>
          </w:tcPr>
          <w:p w14:paraId="54D49D1C" w14:textId="77777777" w:rsidR="00082079" w:rsidRDefault="00082079">
            <w:pPr>
              <w:jc w:val="center"/>
              <w:rPr>
                <w:rFonts w:ascii="Times New Roman" w:eastAsia="Yu Gothic" w:hAnsi="Times New Roman" w:cs="Times New Roman"/>
                <w:color w:val="000000"/>
              </w:rPr>
            </w:pPr>
          </w:p>
        </w:tc>
      </w:tr>
      <w:tr w:rsidR="00662785" w14:paraId="4AAA9E40" w14:textId="77777777" w:rsidTr="00E94D5F">
        <w:trPr>
          <w:trHeight w:val="113"/>
        </w:trPr>
        <w:tc>
          <w:tcPr>
            <w:tcW w:w="1319" w:type="dxa"/>
            <w:vMerge/>
            <w:tcBorders>
              <w:top w:val="nil"/>
              <w:left w:val="nil"/>
              <w:bottom w:val="nil"/>
              <w:right w:val="nil"/>
            </w:tcBorders>
            <w:vAlign w:val="center"/>
            <w:hideMark/>
          </w:tcPr>
          <w:p w14:paraId="2FAAD112" w14:textId="77777777" w:rsidR="00082079" w:rsidRDefault="00082079">
            <w:pPr>
              <w:rPr>
                <w:rFonts w:ascii="Times New Roman" w:eastAsia="Yu Gothic" w:hAnsi="Times New Roman" w:cs="Times New Roman"/>
                <w:color w:val="000000"/>
              </w:rPr>
            </w:pPr>
          </w:p>
        </w:tc>
        <w:tc>
          <w:tcPr>
            <w:tcW w:w="1054" w:type="dxa"/>
            <w:vMerge/>
            <w:tcBorders>
              <w:top w:val="nil"/>
              <w:left w:val="nil"/>
              <w:bottom w:val="nil"/>
              <w:right w:val="nil"/>
            </w:tcBorders>
            <w:vAlign w:val="center"/>
            <w:hideMark/>
          </w:tcPr>
          <w:p w14:paraId="472371BC" w14:textId="77777777" w:rsidR="00082079" w:rsidRDefault="00082079">
            <w:pPr>
              <w:rPr>
                <w:rFonts w:ascii="Times New Roman" w:eastAsia="Yu Gothic" w:hAnsi="Times New Roman" w:cs="Times New Roman"/>
                <w:color w:val="000000"/>
              </w:rPr>
            </w:pPr>
          </w:p>
        </w:tc>
        <w:tc>
          <w:tcPr>
            <w:tcW w:w="2262" w:type="dxa"/>
            <w:tcBorders>
              <w:top w:val="nil"/>
              <w:left w:val="nil"/>
              <w:bottom w:val="nil"/>
              <w:right w:val="nil"/>
            </w:tcBorders>
            <w:shd w:val="clear" w:color="auto" w:fill="auto"/>
            <w:vAlign w:val="center"/>
            <w:hideMark/>
          </w:tcPr>
          <w:p w14:paraId="35CF1D1A" w14:textId="647A90D0" w:rsidR="00082079" w:rsidRDefault="00082079">
            <w:pPr>
              <w:jc w:val="center"/>
              <w:rPr>
                <w:rFonts w:ascii="Times New Roman" w:eastAsia="Yu Gothic" w:hAnsi="Times New Roman" w:cs="Times New Roman"/>
                <w:color w:val="000000"/>
              </w:rPr>
            </w:pPr>
            <w:r>
              <w:rPr>
                <w:rFonts w:ascii="Times New Roman" w:eastAsia="Yu Gothic" w:hAnsi="Times New Roman" w:cs="Times New Roman"/>
                <w:color w:val="000000"/>
              </w:rPr>
              <w:t>± 4</w:t>
            </w:r>
            <w:r w:rsidR="005D53F5">
              <w:rPr>
                <w:rFonts w:ascii="Times New Roman" w:eastAsia="Yu Gothic" w:hAnsi="Times New Roman" w:cs="Times New Roman"/>
                <w:color w:val="000000"/>
              </w:rPr>
              <w:t>5</w:t>
            </w:r>
            <w:r>
              <w:rPr>
                <w:rFonts w:ascii="Times New Roman" w:eastAsia="Yu Gothic" w:hAnsi="Times New Roman" w:cs="Times New Roman"/>
                <w:color w:val="000000"/>
              </w:rPr>
              <w:t>.</w:t>
            </w:r>
            <w:r w:rsidR="005D53F5">
              <w:rPr>
                <w:rFonts w:ascii="Times New Roman" w:eastAsia="Yu Gothic" w:hAnsi="Times New Roman" w:cs="Times New Roman"/>
                <w:color w:val="000000"/>
              </w:rPr>
              <w:t>8</w:t>
            </w:r>
          </w:p>
        </w:tc>
        <w:tc>
          <w:tcPr>
            <w:tcW w:w="2268" w:type="dxa"/>
            <w:tcBorders>
              <w:top w:val="nil"/>
              <w:left w:val="nil"/>
              <w:bottom w:val="nil"/>
              <w:right w:val="nil"/>
            </w:tcBorders>
            <w:shd w:val="clear" w:color="auto" w:fill="auto"/>
            <w:vAlign w:val="center"/>
            <w:hideMark/>
          </w:tcPr>
          <w:p w14:paraId="659C462F" w14:textId="555A9B2B" w:rsidR="00082079" w:rsidRDefault="00082079">
            <w:pPr>
              <w:jc w:val="center"/>
              <w:rPr>
                <w:rFonts w:ascii="Times New Roman" w:eastAsia="Yu Gothic" w:hAnsi="Times New Roman" w:cs="Times New Roman"/>
                <w:color w:val="000000"/>
              </w:rPr>
            </w:pPr>
            <w:r>
              <w:rPr>
                <w:rFonts w:ascii="Times New Roman" w:eastAsia="Yu Gothic" w:hAnsi="Times New Roman" w:cs="Times New Roman"/>
                <w:color w:val="000000"/>
              </w:rPr>
              <w:t>± 3</w:t>
            </w:r>
            <w:r w:rsidR="005D53F5">
              <w:rPr>
                <w:rFonts w:ascii="Times New Roman" w:eastAsia="Yu Gothic" w:hAnsi="Times New Roman" w:cs="Times New Roman"/>
                <w:color w:val="000000"/>
              </w:rPr>
              <w:t>4</w:t>
            </w:r>
            <w:r>
              <w:rPr>
                <w:rFonts w:ascii="Times New Roman" w:eastAsia="Yu Gothic" w:hAnsi="Times New Roman" w:cs="Times New Roman"/>
                <w:color w:val="000000"/>
              </w:rPr>
              <w:t>.</w:t>
            </w:r>
            <w:r w:rsidR="005D53F5">
              <w:rPr>
                <w:rFonts w:ascii="Times New Roman" w:eastAsia="Yu Gothic" w:hAnsi="Times New Roman" w:cs="Times New Roman"/>
                <w:color w:val="000000"/>
              </w:rPr>
              <w:t>8</w:t>
            </w:r>
          </w:p>
        </w:tc>
        <w:tc>
          <w:tcPr>
            <w:tcW w:w="2268" w:type="dxa"/>
            <w:tcBorders>
              <w:top w:val="nil"/>
              <w:left w:val="nil"/>
              <w:bottom w:val="nil"/>
              <w:right w:val="nil"/>
            </w:tcBorders>
            <w:shd w:val="clear" w:color="auto" w:fill="auto"/>
            <w:vAlign w:val="center"/>
            <w:hideMark/>
          </w:tcPr>
          <w:p w14:paraId="373D6DD0" w14:textId="77777777" w:rsidR="00082079" w:rsidRDefault="00082079">
            <w:pPr>
              <w:jc w:val="center"/>
              <w:rPr>
                <w:rFonts w:ascii="Times New Roman" w:eastAsia="Yu Gothic" w:hAnsi="Times New Roman" w:cs="Times New Roman"/>
                <w:color w:val="000000"/>
              </w:rPr>
            </w:pPr>
          </w:p>
        </w:tc>
      </w:tr>
      <w:tr w:rsidR="00662785" w14:paraId="008C8FDF" w14:textId="77777777" w:rsidTr="00E94D5F">
        <w:trPr>
          <w:trHeight w:val="113"/>
        </w:trPr>
        <w:tc>
          <w:tcPr>
            <w:tcW w:w="1319" w:type="dxa"/>
            <w:vMerge w:val="restart"/>
            <w:tcBorders>
              <w:top w:val="nil"/>
              <w:left w:val="nil"/>
              <w:bottom w:val="nil"/>
              <w:right w:val="nil"/>
            </w:tcBorders>
            <w:shd w:val="clear" w:color="auto" w:fill="auto"/>
            <w:vAlign w:val="center"/>
            <w:hideMark/>
          </w:tcPr>
          <w:p w14:paraId="0E85E75A" w14:textId="77777777" w:rsidR="00082079" w:rsidRPr="00082079" w:rsidRDefault="00082079">
            <w:pPr>
              <w:jc w:val="center"/>
              <w:rPr>
                <w:rFonts w:ascii="Times New Roman" w:eastAsia="Yu Gothic" w:hAnsi="Times New Roman" w:cs="Times New Roman"/>
                <w:i/>
                <w:iCs/>
                <w:color w:val="000000"/>
              </w:rPr>
            </w:pPr>
            <w:r w:rsidRPr="00082079">
              <w:rPr>
                <w:rFonts w:ascii="Times New Roman" w:eastAsia="Yu Gothic" w:hAnsi="Times New Roman" w:cs="Times New Roman"/>
                <w:i/>
                <w:iCs/>
                <w:color w:val="000000"/>
              </w:rPr>
              <w:t>F</w:t>
            </w:r>
            <w:r w:rsidRPr="00082079">
              <w:rPr>
                <w:rFonts w:ascii="Times New Roman" w:eastAsia="Yu Gothic" w:hAnsi="Times New Roman" w:cs="Times New Roman"/>
                <w:i/>
                <w:iCs/>
                <w:color w:val="000000"/>
                <w:vertAlign w:val="subscript"/>
              </w:rPr>
              <w:t>ADV</w:t>
            </w:r>
          </w:p>
        </w:tc>
        <w:tc>
          <w:tcPr>
            <w:tcW w:w="1054" w:type="dxa"/>
            <w:vMerge w:val="restart"/>
            <w:tcBorders>
              <w:top w:val="nil"/>
              <w:left w:val="nil"/>
              <w:bottom w:val="nil"/>
              <w:right w:val="nil"/>
            </w:tcBorders>
            <w:shd w:val="clear" w:color="auto" w:fill="auto"/>
            <w:vAlign w:val="center"/>
            <w:hideMark/>
          </w:tcPr>
          <w:p w14:paraId="420922F7" w14:textId="54B58166" w:rsidR="00082079" w:rsidRDefault="005D53F5">
            <w:pPr>
              <w:jc w:val="center"/>
              <w:rPr>
                <w:rFonts w:ascii="Times New Roman" w:eastAsia="Yu Gothic" w:hAnsi="Times New Roman" w:cs="Times New Roman"/>
                <w:color w:val="000000"/>
                <w:sz w:val="26"/>
                <w:szCs w:val="26"/>
              </w:rPr>
            </w:pPr>
            <w:r w:rsidRPr="005D53F5">
              <w:rPr>
                <w:rFonts w:ascii="Times New Roman" w:eastAsia="Yu Gothic" w:hAnsi="Times New Roman" w:cs="Times New Roman"/>
                <w:color w:val="000000"/>
              </w:rPr>
              <w:t>−</w:t>
            </w:r>
            <w:r w:rsidR="00082079">
              <w:rPr>
                <w:rFonts w:ascii="Times New Roman" w:eastAsia="Yu Gothic" w:hAnsi="Times New Roman" w:cs="Times New Roman"/>
                <w:color w:val="000000"/>
                <w:sz w:val="26"/>
                <w:szCs w:val="26"/>
              </w:rPr>
              <w:t xml:space="preserve">315.6 </w:t>
            </w:r>
            <w:r w:rsidR="00082079">
              <w:rPr>
                <w:rFonts w:ascii="Times New Roman" w:eastAsia="Yu Gothic" w:hAnsi="Times New Roman" w:cs="Times New Roman"/>
                <w:color w:val="000000"/>
                <w:sz w:val="26"/>
                <w:szCs w:val="26"/>
              </w:rPr>
              <w:br/>
              <w:t>± 38.5</w:t>
            </w:r>
          </w:p>
        </w:tc>
        <w:tc>
          <w:tcPr>
            <w:tcW w:w="2262" w:type="dxa"/>
            <w:tcBorders>
              <w:top w:val="nil"/>
              <w:left w:val="nil"/>
              <w:bottom w:val="nil"/>
              <w:right w:val="nil"/>
            </w:tcBorders>
            <w:shd w:val="clear" w:color="auto" w:fill="auto"/>
            <w:vAlign w:val="center"/>
            <w:hideMark/>
          </w:tcPr>
          <w:p w14:paraId="738F2B34" w14:textId="25AE3EE1" w:rsidR="00082079" w:rsidRDefault="008A282F">
            <w:pPr>
              <w:jc w:val="center"/>
              <w:rPr>
                <w:rFonts w:ascii="Times New Roman" w:eastAsia="Yu Gothic" w:hAnsi="Times New Roman" w:cs="Times New Roman"/>
                <w:color w:val="000000"/>
              </w:rPr>
            </w:pPr>
            <w:r>
              <w:rPr>
                <w:rFonts w:ascii="Times New Roman" w:eastAsia="Yu Gothic" w:hAnsi="Times New Roman" w:cs="Times New Roman"/>
                <w:color w:val="000000"/>
              </w:rPr>
              <w:t>O</w:t>
            </w:r>
            <w:r w:rsidR="00082079">
              <w:rPr>
                <w:rFonts w:ascii="Times New Roman" w:eastAsia="Yu Gothic" w:hAnsi="Times New Roman" w:cs="Times New Roman"/>
                <w:color w:val="000000"/>
              </w:rPr>
              <w:t>xygen products (2)</w:t>
            </w:r>
          </w:p>
        </w:tc>
        <w:tc>
          <w:tcPr>
            <w:tcW w:w="2268" w:type="dxa"/>
            <w:tcBorders>
              <w:top w:val="nil"/>
              <w:left w:val="nil"/>
              <w:bottom w:val="nil"/>
              <w:right w:val="nil"/>
            </w:tcBorders>
            <w:shd w:val="clear" w:color="auto" w:fill="auto"/>
            <w:vAlign w:val="center"/>
            <w:hideMark/>
          </w:tcPr>
          <w:p w14:paraId="5679630C" w14:textId="50B2CB6F" w:rsidR="00082079" w:rsidRDefault="008A282F">
            <w:pPr>
              <w:jc w:val="center"/>
              <w:rPr>
                <w:rFonts w:ascii="Times New Roman" w:eastAsia="Yu Gothic" w:hAnsi="Times New Roman" w:cs="Times New Roman"/>
                <w:color w:val="000000"/>
              </w:rPr>
            </w:pPr>
            <w:r>
              <w:rPr>
                <w:rFonts w:ascii="Times New Roman" w:eastAsia="Yu Gothic" w:hAnsi="Times New Roman" w:cs="Times New Roman"/>
                <w:color w:val="000000"/>
              </w:rPr>
              <w:t>V</w:t>
            </w:r>
            <w:r w:rsidR="00082079">
              <w:rPr>
                <w:rFonts w:ascii="Times New Roman" w:eastAsia="Yu Gothic" w:hAnsi="Times New Roman" w:cs="Times New Roman"/>
                <w:color w:val="000000"/>
              </w:rPr>
              <w:t>elocity products (3)</w:t>
            </w:r>
          </w:p>
        </w:tc>
        <w:tc>
          <w:tcPr>
            <w:tcW w:w="2268" w:type="dxa"/>
            <w:tcBorders>
              <w:top w:val="nil"/>
              <w:left w:val="nil"/>
              <w:bottom w:val="nil"/>
              <w:right w:val="nil"/>
            </w:tcBorders>
            <w:shd w:val="clear" w:color="auto" w:fill="auto"/>
            <w:vAlign w:val="center"/>
            <w:hideMark/>
          </w:tcPr>
          <w:p w14:paraId="09D9B8A0" w14:textId="02C17407" w:rsidR="00082079" w:rsidRDefault="00082079">
            <w:pPr>
              <w:jc w:val="center"/>
              <w:rPr>
                <w:rFonts w:ascii="Times New Roman" w:eastAsia="Yu Gothic" w:hAnsi="Times New Roman" w:cs="Times New Roman"/>
                <w:color w:val="000000"/>
              </w:rPr>
            </w:pPr>
            <w:r>
              <w:rPr>
                <w:rFonts w:ascii="Times New Roman" w:eastAsia="Yu Gothic" w:hAnsi="Times New Roman" w:cs="Times New Roman"/>
                <w:color w:val="000000"/>
              </w:rPr>
              <w:t>Bolus component</w:t>
            </w:r>
            <w:r w:rsidR="00662785">
              <w:rPr>
                <w:rFonts w:ascii="Times New Roman" w:eastAsia="Yu Gothic" w:hAnsi="Times New Roman" w:cs="Times New Roman"/>
                <w:color w:val="000000"/>
              </w:rPr>
              <w:t xml:space="preserve"> (2)</w:t>
            </w:r>
          </w:p>
        </w:tc>
      </w:tr>
      <w:tr w:rsidR="00662785" w14:paraId="569B5584" w14:textId="77777777" w:rsidTr="00E94D5F">
        <w:trPr>
          <w:trHeight w:val="113"/>
        </w:trPr>
        <w:tc>
          <w:tcPr>
            <w:tcW w:w="1319" w:type="dxa"/>
            <w:vMerge/>
            <w:tcBorders>
              <w:top w:val="nil"/>
              <w:left w:val="nil"/>
              <w:bottom w:val="nil"/>
              <w:right w:val="nil"/>
            </w:tcBorders>
            <w:vAlign w:val="center"/>
            <w:hideMark/>
          </w:tcPr>
          <w:p w14:paraId="2B7804E7" w14:textId="77777777" w:rsidR="00082079" w:rsidRDefault="00082079">
            <w:pPr>
              <w:rPr>
                <w:rFonts w:ascii="Times New Roman" w:eastAsia="Yu Gothic" w:hAnsi="Times New Roman" w:cs="Times New Roman"/>
                <w:color w:val="000000"/>
              </w:rPr>
            </w:pPr>
          </w:p>
        </w:tc>
        <w:tc>
          <w:tcPr>
            <w:tcW w:w="1054" w:type="dxa"/>
            <w:vMerge/>
            <w:tcBorders>
              <w:top w:val="nil"/>
              <w:left w:val="nil"/>
              <w:bottom w:val="nil"/>
              <w:right w:val="nil"/>
            </w:tcBorders>
            <w:vAlign w:val="center"/>
            <w:hideMark/>
          </w:tcPr>
          <w:p w14:paraId="3660CFD0" w14:textId="77777777" w:rsidR="00082079" w:rsidRDefault="00082079">
            <w:pPr>
              <w:rPr>
                <w:rFonts w:ascii="Times New Roman" w:eastAsia="Yu Gothic" w:hAnsi="Times New Roman" w:cs="Times New Roman"/>
                <w:color w:val="000000"/>
                <w:sz w:val="26"/>
                <w:szCs w:val="26"/>
              </w:rPr>
            </w:pPr>
          </w:p>
        </w:tc>
        <w:tc>
          <w:tcPr>
            <w:tcW w:w="2262" w:type="dxa"/>
            <w:tcBorders>
              <w:top w:val="nil"/>
              <w:left w:val="nil"/>
              <w:bottom w:val="nil"/>
              <w:right w:val="nil"/>
            </w:tcBorders>
            <w:shd w:val="clear" w:color="auto" w:fill="auto"/>
            <w:vAlign w:val="center"/>
            <w:hideMark/>
          </w:tcPr>
          <w:p w14:paraId="3B111EE4" w14:textId="4CECEBEC" w:rsidR="00082079" w:rsidRDefault="00082079">
            <w:pPr>
              <w:jc w:val="center"/>
              <w:rPr>
                <w:rFonts w:ascii="Times New Roman" w:eastAsia="Yu Gothic" w:hAnsi="Times New Roman" w:cs="Times New Roman"/>
                <w:color w:val="000000"/>
                <w:sz w:val="26"/>
                <w:szCs w:val="26"/>
              </w:rPr>
            </w:pPr>
            <w:r>
              <w:rPr>
                <w:rFonts w:ascii="Times New Roman" w:eastAsia="Yu Gothic" w:hAnsi="Times New Roman" w:cs="Times New Roman"/>
                <w:color w:val="000000"/>
                <w:sz w:val="26"/>
                <w:szCs w:val="26"/>
              </w:rPr>
              <w:t>± 36.7</w:t>
            </w:r>
          </w:p>
        </w:tc>
        <w:tc>
          <w:tcPr>
            <w:tcW w:w="2268" w:type="dxa"/>
            <w:tcBorders>
              <w:top w:val="nil"/>
              <w:left w:val="nil"/>
              <w:bottom w:val="nil"/>
              <w:right w:val="nil"/>
            </w:tcBorders>
            <w:shd w:val="clear" w:color="auto" w:fill="auto"/>
            <w:vAlign w:val="center"/>
            <w:hideMark/>
          </w:tcPr>
          <w:p w14:paraId="1ADAD52A" w14:textId="3823953A" w:rsidR="00082079" w:rsidRDefault="00082079">
            <w:pPr>
              <w:jc w:val="center"/>
              <w:rPr>
                <w:rFonts w:ascii="Times New Roman" w:eastAsia="Yu Gothic" w:hAnsi="Times New Roman" w:cs="Times New Roman"/>
                <w:color w:val="000000"/>
                <w:sz w:val="26"/>
                <w:szCs w:val="26"/>
              </w:rPr>
            </w:pPr>
            <w:r>
              <w:rPr>
                <w:rFonts w:ascii="Times New Roman" w:eastAsia="Yu Gothic" w:hAnsi="Times New Roman" w:cs="Times New Roman"/>
                <w:color w:val="000000"/>
                <w:sz w:val="26"/>
                <w:szCs w:val="26"/>
              </w:rPr>
              <w:t>± 10.4</w:t>
            </w:r>
          </w:p>
        </w:tc>
        <w:tc>
          <w:tcPr>
            <w:tcW w:w="2268" w:type="dxa"/>
            <w:tcBorders>
              <w:top w:val="nil"/>
              <w:left w:val="nil"/>
              <w:bottom w:val="nil"/>
              <w:right w:val="nil"/>
            </w:tcBorders>
            <w:shd w:val="clear" w:color="auto" w:fill="auto"/>
            <w:vAlign w:val="center"/>
            <w:hideMark/>
          </w:tcPr>
          <w:p w14:paraId="583078E9" w14:textId="5E6B140C" w:rsidR="00082079" w:rsidRDefault="00082079">
            <w:pPr>
              <w:jc w:val="center"/>
              <w:rPr>
                <w:rFonts w:ascii="Times New Roman" w:eastAsia="Yu Gothic" w:hAnsi="Times New Roman" w:cs="Times New Roman"/>
                <w:color w:val="000000"/>
                <w:sz w:val="26"/>
                <w:szCs w:val="26"/>
              </w:rPr>
            </w:pPr>
            <w:r>
              <w:rPr>
                <w:rFonts w:ascii="Times New Roman" w:eastAsia="Yu Gothic" w:hAnsi="Times New Roman" w:cs="Times New Roman"/>
                <w:color w:val="000000"/>
                <w:sz w:val="26"/>
                <w:szCs w:val="26"/>
              </w:rPr>
              <w:t>± 4.</w:t>
            </w:r>
            <w:r w:rsidR="005D53F5">
              <w:rPr>
                <w:rFonts w:ascii="Times New Roman" w:eastAsia="Yu Gothic" w:hAnsi="Times New Roman" w:cs="Times New Roman"/>
                <w:color w:val="000000"/>
                <w:sz w:val="26"/>
                <w:szCs w:val="26"/>
              </w:rPr>
              <w:t>5</w:t>
            </w:r>
          </w:p>
        </w:tc>
      </w:tr>
      <w:tr w:rsidR="00662785" w14:paraId="020601FF" w14:textId="77777777" w:rsidTr="00E94D5F">
        <w:trPr>
          <w:trHeight w:val="113"/>
        </w:trPr>
        <w:tc>
          <w:tcPr>
            <w:tcW w:w="1319" w:type="dxa"/>
            <w:vMerge w:val="restart"/>
            <w:tcBorders>
              <w:top w:val="nil"/>
              <w:left w:val="nil"/>
              <w:bottom w:val="nil"/>
              <w:right w:val="nil"/>
            </w:tcBorders>
            <w:shd w:val="clear" w:color="auto" w:fill="auto"/>
            <w:vAlign w:val="center"/>
            <w:hideMark/>
          </w:tcPr>
          <w:p w14:paraId="202C7EC0" w14:textId="77777777" w:rsidR="00082079" w:rsidRPr="00082079" w:rsidRDefault="00082079">
            <w:pPr>
              <w:jc w:val="center"/>
              <w:rPr>
                <w:rFonts w:ascii="Times New Roman" w:eastAsia="Yu Gothic" w:hAnsi="Times New Roman" w:cs="Times New Roman"/>
                <w:i/>
                <w:iCs/>
                <w:color w:val="000000"/>
              </w:rPr>
            </w:pPr>
            <w:proofErr w:type="spellStart"/>
            <w:r w:rsidRPr="00082079">
              <w:rPr>
                <w:rFonts w:ascii="Times New Roman" w:eastAsia="Yu Gothic" w:hAnsi="Times New Roman" w:cs="Times New Roman"/>
                <w:i/>
                <w:iCs/>
                <w:color w:val="000000"/>
              </w:rPr>
              <w:t>F</w:t>
            </w:r>
            <w:r w:rsidRPr="00082079">
              <w:rPr>
                <w:rFonts w:ascii="Times New Roman" w:eastAsia="Yu Gothic" w:hAnsi="Times New Roman" w:cs="Times New Roman"/>
                <w:i/>
                <w:iCs/>
                <w:color w:val="000000"/>
                <w:vertAlign w:val="subscript"/>
              </w:rPr>
              <w:t>hDIFF</w:t>
            </w:r>
            <w:proofErr w:type="spellEnd"/>
          </w:p>
        </w:tc>
        <w:tc>
          <w:tcPr>
            <w:tcW w:w="1054" w:type="dxa"/>
            <w:vMerge w:val="restart"/>
            <w:tcBorders>
              <w:top w:val="nil"/>
              <w:left w:val="nil"/>
              <w:bottom w:val="nil"/>
              <w:right w:val="nil"/>
            </w:tcBorders>
            <w:shd w:val="clear" w:color="auto" w:fill="auto"/>
            <w:vAlign w:val="center"/>
            <w:hideMark/>
          </w:tcPr>
          <w:p w14:paraId="66073E66" w14:textId="2E90D91A" w:rsidR="00082079" w:rsidRDefault="005D53F5">
            <w:pPr>
              <w:jc w:val="center"/>
              <w:rPr>
                <w:rFonts w:ascii="Times New Roman" w:eastAsia="Yu Gothic" w:hAnsi="Times New Roman" w:cs="Times New Roman"/>
                <w:color w:val="000000"/>
              </w:rPr>
            </w:pPr>
            <w:r w:rsidRPr="005D53F5">
              <w:rPr>
                <w:rFonts w:ascii="Times New Roman" w:eastAsia="Yu Gothic" w:hAnsi="Times New Roman" w:cs="Times New Roman"/>
                <w:color w:val="000000"/>
              </w:rPr>
              <w:t>−</w:t>
            </w:r>
            <w:r w:rsidR="00082079">
              <w:rPr>
                <w:rFonts w:ascii="Times New Roman" w:eastAsia="Yu Gothic" w:hAnsi="Times New Roman" w:cs="Times New Roman"/>
                <w:color w:val="000000"/>
              </w:rPr>
              <w:t>119.</w:t>
            </w:r>
            <w:r>
              <w:rPr>
                <w:rFonts w:ascii="Times New Roman" w:eastAsia="Yu Gothic" w:hAnsi="Times New Roman" w:cs="Times New Roman"/>
                <w:color w:val="000000"/>
              </w:rPr>
              <w:t>6</w:t>
            </w:r>
            <w:r w:rsidR="00082079">
              <w:rPr>
                <w:rFonts w:ascii="Times New Roman" w:eastAsia="Yu Gothic" w:hAnsi="Times New Roman" w:cs="Times New Roman"/>
                <w:color w:val="000000"/>
              </w:rPr>
              <w:br/>
              <w:t>± 49.4</w:t>
            </w:r>
          </w:p>
        </w:tc>
        <w:tc>
          <w:tcPr>
            <w:tcW w:w="2262" w:type="dxa"/>
            <w:tcBorders>
              <w:top w:val="nil"/>
              <w:left w:val="nil"/>
              <w:bottom w:val="nil"/>
              <w:right w:val="nil"/>
            </w:tcBorders>
            <w:shd w:val="clear" w:color="auto" w:fill="auto"/>
            <w:vAlign w:val="center"/>
            <w:hideMark/>
          </w:tcPr>
          <w:p w14:paraId="3EF1C72A" w14:textId="17E56C0E" w:rsidR="00082079" w:rsidRDefault="008A282F">
            <w:pPr>
              <w:jc w:val="center"/>
              <w:rPr>
                <w:rFonts w:ascii="Times New Roman" w:eastAsia="Yu Gothic" w:hAnsi="Times New Roman" w:cs="Times New Roman"/>
                <w:color w:val="000000"/>
              </w:rPr>
            </w:pPr>
            <w:r>
              <w:rPr>
                <w:rFonts w:ascii="Times New Roman" w:eastAsia="Yu Gothic" w:hAnsi="Times New Roman" w:cs="Times New Roman"/>
                <w:color w:val="000000"/>
              </w:rPr>
              <w:t>O</w:t>
            </w:r>
            <w:r w:rsidR="00082079">
              <w:rPr>
                <w:rFonts w:ascii="Times New Roman" w:eastAsia="Yu Gothic" w:hAnsi="Times New Roman" w:cs="Times New Roman"/>
                <w:color w:val="000000"/>
              </w:rPr>
              <w:t>xygen products (2)</w:t>
            </w:r>
          </w:p>
        </w:tc>
        <w:tc>
          <w:tcPr>
            <w:tcW w:w="2268" w:type="dxa"/>
            <w:tcBorders>
              <w:top w:val="nil"/>
              <w:left w:val="nil"/>
              <w:bottom w:val="nil"/>
              <w:right w:val="nil"/>
            </w:tcBorders>
            <w:shd w:val="clear" w:color="auto" w:fill="auto"/>
            <w:vAlign w:val="center"/>
            <w:hideMark/>
          </w:tcPr>
          <w:p w14:paraId="5C72769D" w14:textId="77777777" w:rsidR="00082079" w:rsidRDefault="00082079">
            <w:pPr>
              <w:jc w:val="center"/>
              <w:rPr>
                <w:rFonts w:ascii="Times New Roman" w:eastAsia="Yu Gothic" w:hAnsi="Times New Roman" w:cs="Times New Roman"/>
                <w:color w:val="000000"/>
              </w:rPr>
            </w:pPr>
            <w:proofErr w:type="spellStart"/>
            <w:r>
              <w:rPr>
                <w:rFonts w:ascii="Times New Roman" w:eastAsia="Yu Gothic" w:hAnsi="Times New Roman" w:cs="Times New Roman"/>
                <w:color w:val="000000"/>
              </w:rPr>
              <w:t>K</w:t>
            </w:r>
            <w:r w:rsidRPr="008B65B2">
              <w:rPr>
                <w:rFonts w:ascii="Times New Roman" w:eastAsia="Yu Gothic" w:hAnsi="Times New Roman" w:cs="Times New Roman"/>
                <w:color w:val="000000"/>
                <w:vertAlign w:val="subscript"/>
              </w:rPr>
              <w:t>h</w:t>
            </w:r>
            <w:proofErr w:type="spellEnd"/>
            <w:r>
              <w:rPr>
                <w:rFonts w:ascii="Times New Roman" w:eastAsia="Yu Gothic" w:hAnsi="Times New Roman" w:cs="Times New Roman"/>
                <w:color w:val="000000"/>
              </w:rPr>
              <w:t xml:space="preserve"> products (2)</w:t>
            </w:r>
          </w:p>
        </w:tc>
        <w:tc>
          <w:tcPr>
            <w:tcW w:w="2268" w:type="dxa"/>
            <w:tcBorders>
              <w:top w:val="nil"/>
              <w:left w:val="nil"/>
              <w:bottom w:val="nil"/>
              <w:right w:val="nil"/>
            </w:tcBorders>
            <w:shd w:val="clear" w:color="auto" w:fill="auto"/>
            <w:vAlign w:val="center"/>
            <w:hideMark/>
          </w:tcPr>
          <w:p w14:paraId="2E3D5581" w14:textId="77777777" w:rsidR="00082079" w:rsidRDefault="00082079">
            <w:pPr>
              <w:jc w:val="center"/>
              <w:rPr>
                <w:rFonts w:ascii="Times New Roman" w:eastAsia="Yu Gothic" w:hAnsi="Times New Roman" w:cs="Times New Roman"/>
                <w:color w:val="000000"/>
              </w:rPr>
            </w:pPr>
          </w:p>
        </w:tc>
      </w:tr>
      <w:tr w:rsidR="00662785" w14:paraId="5C5FA2CE" w14:textId="77777777" w:rsidTr="00E94D5F">
        <w:trPr>
          <w:trHeight w:val="113"/>
        </w:trPr>
        <w:tc>
          <w:tcPr>
            <w:tcW w:w="1319" w:type="dxa"/>
            <w:vMerge/>
            <w:tcBorders>
              <w:top w:val="nil"/>
              <w:left w:val="nil"/>
              <w:bottom w:val="nil"/>
              <w:right w:val="nil"/>
            </w:tcBorders>
            <w:vAlign w:val="center"/>
            <w:hideMark/>
          </w:tcPr>
          <w:p w14:paraId="3B8735BB" w14:textId="77777777" w:rsidR="00082079" w:rsidRDefault="00082079">
            <w:pPr>
              <w:rPr>
                <w:rFonts w:ascii="Times New Roman" w:eastAsia="Yu Gothic" w:hAnsi="Times New Roman" w:cs="Times New Roman"/>
                <w:color w:val="000000"/>
              </w:rPr>
            </w:pPr>
          </w:p>
        </w:tc>
        <w:tc>
          <w:tcPr>
            <w:tcW w:w="1054" w:type="dxa"/>
            <w:vMerge/>
            <w:tcBorders>
              <w:top w:val="nil"/>
              <w:left w:val="nil"/>
              <w:bottom w:val="nil"/>
              <w:right w:val="nil"/>
            </w:tcBorders>
            <w:vAlign w:val="center"/>
            <w:hideMark/>
          </w:tcPr>
          <w:p w14:paraId="4D251336" w14:textId="77777777" w:rsidR="00082079" w:rsidRDefault="00082079">
            <w:pPr>
              <w:rPr>
                <w:rFonts w:ascii="Times New Roman" w:eastAsia="Yu Gothic" w:hAnsi="Times New Roman" w:cs="Times New Roman"/>
                <w:color w:val="000000"/>
              </w:rPr>
            </w:pPr>
          </w:p>
        </w:tc>
        <w:tc>
          <w:tcPr>
            <w:tcW w:w="2262" w:type="dxa"/>
            <w:tcBorders>
              <w:top w:val="nil"/>
              <w:left w:val="nil"/>
              <w:bottom w:val="nil"/>
              <w:right w:val="nil"/>
            </w:tcBorders>
            <w:shd w:val="clear" w:color="auto" w:fill="auto"/>
            <w:vAlign w:val="center"/>
            <w:hideMark/>
          </w:tcPr>
          <w:p w14:paraId="225EEC04" w14:textId="05E57591" w:rsidR="00082079" w:rsidRDefault="00082079">
            <w:pPr>
              <w:jc w:val="center"/>
              <w:rPr>
                <w:rFonts w:ascii="Times New Roman" w:eastAsia="Yu Gothic" w:hAnsi="Times New Roman" w:cs="Times New Roman"/>
                <w:color w:val="000000"/>
                <w:sz w:val="26"/>
                <w:szCs w:val="26"/>
              </w:rPr>
            </w:pPr>
            <w:r>
              <w:rPr>
                <w:rFonts w:ascii="Times New Roman" w:eastAsia="Yu Gothic" w:hAnsi="Times New Roman" w:cs="Times New Roman"/>
                <w:color w:val="000000"/>
                <w:sz w:val="26"/>
                <w:szCs w:val="26"/>
              </w:rPr>
              <w:t>± 3.2</w:t>
            </w:r>
          </w:p>
        </w:tc>
        <w:tc>
          <w:tcPr>
            <w:tcW w:w="2268" w:type="dxa"/>
            <w:tcBorders>
              <w:top w:val="nil"/>
              <w:left w:val="nil"/>
              <w:bottom w:val="nil"/>
              <w:right w:val="nil"/>
            </w:tcBorders>
            <w:shd w:val="clear" w:color="auto" w:fill="auto"/>
            <w:vAlign w:val="center"/>
            <w:hideMark/>
          </w:tcPr>
          <w:p w14:paraId="2E91106C" w14:textId="2B74B5E5" w:rsidR="00082079" w:rsidRDefault="00082079">
            <w:pPr>
              <w:jc w:val="center"/>
              <w:rPr>
                <w:rFonts w:ascii="Times New Roman" w:eastAsia="Yu Gothic" w:hAnsi="Times New Roman" w:cs="Times New Roman"/>
                <w:color w:val="000000"/>
                <w:sz w:val="26"/>
                <w:szCs w:val="26"/>
              </w:rPr>
            </w:pPr>
            <w:r>
              <w:rPr>
                <w:rFonts w:ascii="Times New Roman" w:eastAsia="Yu Gothic" w:hAnsi="Times New Roman" w:cs="Times New Roman"/>
                <w:color w:val="000000"/>
                <w:sz w:val="26"/>
                <w:szCs w:val="26"/>
              </w:rPr>
              <w:t>± 48.</w:t>
            </w:r>
            <w:r w:rsidR="005D53F5">
              <w:rPr>
                <w:rFonts w:ascii="Times New Roman" w:eastAsia="Yu Gothic" w:hAnsi="Times New Roman" w:cs="Times New Roman"/>
                <w:color w:val="000000"/>
                <w:sz w:val="26"/>
                <w:szCs w:val="26"/>
              </w:rPr>
              <w:t>7</w:t>
            </w:r>
          </w:p>
        </w:tc>
        <w:tc>
          <w:tcPr>
            <w:tcW w:w="2268" w:type="dxa"/>
            <w:tcBorders>
              <w:top w:val="nil"/>
              <w:left w:val="nil"/>
              <w:bottom w:val="nil"/>
              <w:right w:val="nil"/>
            </w:tcBorders>
            <w:shd w:val="clear" w:color="auto" w:fill="auto"/>
            <w:vAlign w:val="center"/>
            <w:hideMark/>
          </w:tcPr>
          <w:p w14:paraId="0E2FD734" w14:textId="77777777" w:rsidR="00082079" w:rsidRDefault="00082079">
            <w:pPr>
              <w:jc w:val="center"/>
              <w:rPr>
                <w:rFonts w:ascii="Times New Roman" w:eastAsia="Yu Gothic" w:hAnsi="Times New Roman" w:cs="Times New Roman"/>
                <w:color w:val="000000"/>
                <w:sz w:val="26"/>
                <w:szCs w:val="26"/>
              </w:rPr>
            </w:pPr>
          </w:p>
        </w:tc>
      </w:tr>
      <w:tr w:rsidR="008B7ADE" w14:paraId="1AB82735" w14:textId="77777777" w:rsidTr="008B7ADE">
        <w:trPr>
          <w:trHeight w:val="57"/>
        </w:trPr>
        <w:tc>
          <w:tcPr>
            <w:tcW w:w="1319" w:type="dxa"/>
            <w:tcBorders>
              <w:top w:val="nil"/>
              <w:left w:val="nil"/>
              <w:bottom w:val="nil"/>
              <w:right w:val="nil"/>
            </w:tcBorders>
            <w:vAlign w:val="center"/>
          </w:tcPr>
          <w:p w14:paraId="191BA75A" w14:textId="77777777" w:rsidR="008B7ADE" w:rsidRDefault="008B7ADE">
            <w:pPr>
              <w:rPr>
                <w:rFonts w:ascii="Times New Roman" w:eastAsia="Yu Gothic" w:hAnsi="Times New Roman" w:cs="Times New Roman"/>
                <w:color w:val="000000"/>
              </w:rPr>
            </w:pPr>
          </w:p>
        </w:tc>
        <w:tc>
          <w:tcPr>
            <w:tcW w:w="1054" w:type="dxa"/>
            <w:tcBorders>
              <w:top w:val="nil"/>
              <w:left w:val="nil"/>
              <w:bottom w:val="nil"/>
              <w:right w:val="nil"/>
            </w:tcBorders>
            <w:vAlign w:val="center"/>
          </w:tcPr>
          <w:p w14:paraId="54EFE9B5" w14:textId="77777777" w:rsidR="008B7ADE" w:rsidRDefault="008B7ADE">
            <w:pPr>
              <w:rPr>
                <w:rFonts w:ascii="Times New Roman" w:eastAsia="Yu Gothic" w:hAnsi="Times New Roman" w:cs="Times New Roman"/>
                <w:color w:val="000000"/>
              </w:rPr>
            </w:pPr>
          </w:p>
        </w:tc>
        <w:tc>
          <w:tcPr>
            <w:tcW w:w="2262" w:type="dxa"/>
            <w:tcBorders>
              <w:top w:val="nil"/>
              <w:left w:val="nil"/>
              <w:bottom w:val="nil"/>
              <w:right w:val="nil"/>
            </w:tcBorders>
            <w:shd w:val="clear" w:color="auto" w:fill="auto"/>
            <w:vAlign w:val="center"/>
          </w:tcPr>
          <w:p w14:paraId="12E59F92" w14:textId="77777777" w:rsidR="008B7ADE" w:rsidRDefault="008B7ADE">
            <w:pPr>
              <w:jc w:val="center"/>
              <w:rPr>
                <w:rFonts w:ascii="Times New Roman" w:eastAsia="Yu Gothic" w:hAnsi="Times New Roman" w:cs="Times New Roman"/>
                <w:color w:val="000000"/>
                <w:sz w:val="26"/>
                <w:szCs w:val="26"/>
              </w:rPr>
            </w:pPr>
          </w:p>
        </w:tc>
        <w:tc>
          <w:tcPr>
            <w:tcW w:w="2268" w:type="dxa"/>
            <w:tcBorders>
              <w:top w:val="nil"/>
              <w:left w:val="nil"/>
              <w:bottom w:val="nil"/>
              <w:right w:val="nil"/>
            </w:tcBorders>
            <w:shd w:val="clear" w:color="auto" w:fill="auto"/>
            <w:vAlign w:val="center"/>
          </w:tcPr>
          <w:p w14:paraId="0E275D36" w14:textId="77777777" w:rsidR="008B7ADE" w:rsidRDefault="008B7ADE">
            <w:pPr>
              <w:jc w:val="center"/>
              <w:rPr>
                <w:rFonts w:ascii="Times New Roman" w:eastAsia="Yu Gothic" w:hAnsi="Times New Roman" w:cs="Times New Roman"/>
                <w:color w:val="000000"/>
                <w:sz w:val="26"/>
                <w:szCs w:val="26"/>
              </w:rPr>
            </w:pPr>
          </w:p>
        </w:tc>
        <w:tc>
          <w:tcPr>
            <w:tcW w:w="2268" w:type="dxa"/>
            <w:tcBorders>
              <w:top w:val="nil"/>
              <w:left w:val="nil"/>
              <w:bottom w:val="nil"/>
              <w:right w:val="nil"/>
            </w:tcBorders>
            <w:shd w:val="clear" w:color="auto" w:fill="auto"/>
            <w:vAlign w:val="center"/>
          </w:tcPr>
          <w:p w14:paraId="172FAACD" w14:textId="77777777" w:rsidR="008B7ADE" w:rsidRDefault="008B7ADE">
            <w:pPr>
              <w:jc w:val="center"/>
              <w:rPr>
                <w:rFonts w:ascii="Times New Roman" w:eastAsia="Yu Gothic" w:hAnsi="Times New Roman" w:cs="Times New Roman"/>
                <w:color w:val="000000"/>
                <w:sz w:val="26"/>
                <w:szCs w:val="26"/>
              </w:rPr>
            </w:pPr>
          </w:p>
        </w:tc>
      </w:tr>
    </w:tbl>
    <w:p w14:paraId="7B92E0A2" w14:textId="399B6F9F" w:rsidR="00EB36DE" w:rsidRDefault="00E11EB4" w:rsidP="00F63BF5">
      <w:pPr>
        <w:jc w:val="both"/>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 xml:space="preserve">umbers in </w:t>
      </w:r>
      <w:r w:rsidR="00F63BF5" w:rsidRPr="00F63BF5">
        <w:rPr>
          <w:rFonts w:ascii="Times New Roman" w:hAnsi="Times New Roman" w:cs="Times New Roman"/>
        </w:rPr>
        <w:t>parenthesis</w:t>
      </w:r>
      <w:r w:rsidR="00F63BF5">
        <w:rPr>
          <w:rFonts w:ascii="Times New Roman" w:hAnsi="Times New Roman" w:cs="Times New Roman"/>
        </w:rPr>
        <w:t xml:space="preserve"> indicate the number of products/values/cases that are available for the calculation.</w:t>
      </w:r>
      <w:r w:rsidR="00C64659">
        <w:rPr>
          <w:rFonts w:ascii="Times New Roman" w:hAnsi="Times New Roman" w:cs="Times New Roman"/>
        </w:rPr>
        <w:t xml:space="preserve"> The unit</w:t>
      </w:r>
      <w:r w:rsidR="008A282F">
        <w:rPr>
          <w:rFonts w:ascii="Times New Roman" w:hAnsi="Times New Roman" w:cs="Times New Roman"/>
        </w:rPr>
        <w:t>s</w:t>
      </w:r>
      <w:r w:rsidR="00C64659">
        <w:rPr>
          <w:rFonts w:ascii="Times New Roman" w:hAnsi="Times New Roman" w:cs="Times New Roman"/>
        </w:rPr>
        <w:t xml:space="preserve"> </w:t>
      </w:r>
      <w:r w:rsidR="008A282F">
        <w:rPr>
          <w:rFonts w:ascii="Times New Roman" w:hAnsi="Times New Roman" w:cs="Times New Roman"/>
        </w:rPr>
        <w:t>are</w:t>
      </w:r>
      <w:r w:rsidR="00C64659">
        <w:rPr>
          <w:rFonts w:ascii="Times New Roman" w:hAnsi="Times New Roman" w:cs="Times New Roman"/>
        </w:rPr>
        <w:t xml:space="preserve"> </w:t>
      </w:r>
      <w:proofErr w:type="spellStart"/>
      <w:r w:rsidR="00C64659">
        <w:rPr>
          <w:rFonts w:ascii="Times New Roman" w:hAnsi="Times New Roman" w:cs="Times New Roman"/>
        </w:rPr>
        <w:t>Tmol</w:t>
      </w:r>
      <w:proofErr w:type="spellEnd"/>
      <w:r w:rsidR="00C64659">
        <w:rPr>
          <w:rFonts w:ascii="Times New Roman" w:hAnsi="Times New Roman" w:cs="Times New Roman"/>
        </w:rPr>
        <w:t xml:space="preserve"> O</w:t>
      </w:r>
      <w:r w:rsidR="00C64659" w:rsidRPr="00C64659">
        <w:rPr>
          <w:rFonts w:ascii="Times New Roman" w:hAnsi="Times New Roman" w:cs="Times New Roman"/>
          <w:vertAlign w:val="subscript"/>
        </w:rPr>
        <w:t>2</w:t>
      </w:r>
      <w:r w:rsidR="00C64659">
        <w:rPr>
          <w:rFonts w:ascii="Times New Roman" w:hAnsi="Times New Roman" w:cs="Times New Roman"/>
        </w:rPr>
        <w:t xml:space="preserve"> y</w:t>
      </w:r>
      <w:r w:rsidR="00C64659" w:rsidRPr="00C64659">
        <w:rPr>
          <w:rFonts w:ascii="Times New Roman" w:hAnsi="Times New Roman" w:cs="Times New Roman"/>
          <w:vertAlign w:val="superscript"/>
        </w:rPr>
        <w:t>−</w:t>
      </w:r>
      <w:r w:rsidR="00C64659">
        <w:rPr>
          <w:rFonts w:ascii="Times New Roman" w:hAnsi="Times New Roman" w:cs="Times New Roman"/>
          <w:vertAlign w:val="superscript"/>
        </w:rPr>
        <w:t>1</w:t>
      </w:r>
      <w:r w:rsidR="00C64659">
        <w:rPr>
          <w:rFonts w:ascii="Times New Roman" w:hAnsi="Times New Roman" w:cs="Times New Roman"/>
        </w:rPr>
        <w:t>.</w:t>
      </w:r>
    </w:p>
    <w:p w14:paraId="6A7ED585" w14:textId="3BBEF90C" w:rsidR="00EB36DE" w:rsidRDefault="00EB36DE">
      <w:pPr>
        <w:rPr>
          <w:rFonts w:ascii="Times New Roman" w:hAnsi="Times New Roman" w:cs="Times New Roman"/>
        </w:rPr>
      </w:pPr>
      <w:r>
        <w:rPr>
          <w:rFonts w:ascii="Times New Roman" w:hAnsi="Times New Roman" w:cs="Times New Roman"/>
        </w:rPr>
        <w:br w:type="page"/>
      </w:r>
    </w:p>
    <w:p w14:paraId="2E83F826" w14:textId="77777777" w:rsidR="00122B0A" w:rsidRDefault="00122B0A" w:rsidP="00C034A6">
      <w:pPr>
        <w:spacing w:line="480" w:lineRule="auto"/>
        <w:jc w:val="both"/>
        <w:rPr>
          <w:rFonts w:ascii="Times New Roman" w:hAnsi="Times New Roman" w:cs="Times New Roman"/>
          <w:b/>
          <w:bCs/>
          <w:color w:val="000000" w:themeColor="text1"/>
        </w:rPr>
        <w:sectPr w:rsidR="00122B0A" w:rsidSect="00507A1E">
          <w:footerReference w:type="even" r:id="rId9"/>
          <w:footerReference w:type="default" r:id="rId10"/>
          <w:pgSz w:w="11900" w:h="16840"/>
          <w:pgMar w:top="1440" w:right="1440" w:bottom="1440" w:left="1440" w:header="709" w:footer="709" w:gutter="0"/>
          <w:cols w:space="708"/>
          <w:docGrid w:linePitch="360"/>
        </w:sectPr>
      </w:pPr>
    </w:p>
    <w:p w14:paraId="55798450" w14:textId="10848B22" w:rsidR="00C034A6" w:rsidRDefault="00C034A6" w:rsidP="00C034A6">
      <w:pPr>
        <w:spacing w:line="480" w:lineRule="auto"/>
        <w:jc w:val="both"/>
        <w:rPr>
          <w:rFonts w:ascii="Times New Roman" w:hAnsi="Times New Roman" w:cs="Times New Roman"/>
          <w:b/>
          <w:bCs/>
          <w:color w:val="000000" w:themeColor="text1"/>
        </w:rPr>
      </w:pPr>
      <w:r w:rsidRPr="00A961B2">
        <w:rPr>
          <w:rFonts w:ascii="Times New Roman" w:hAnsi="Times New Roman" w:cs="Times New Roman"/>
          <w:b/>
          <w:bCs/>
          <w:color w:val="000000" w:themeColor="text1"/>
        </w:rPr>
        <w:lastRenderedPageBreak/>
        <w:t xml:space="preserve">Table </w:t>
      </w:r>
      <w:r w:rsidR="00AD6EDB">
        <w:rPr>
          <w:rFonts w:ascii="Times New Roman" w:hAnsi="Times New Roman" w:cs="Times New Roman"/>
          <w:b/>
          <w:bCs/>
          <w:color w:val="000000" w:themeColor="text1"/>
        </w:rPr>
        <w:t>2</w:t>
      </w:r>
      <w:r w:rsidRPr="00A961B2">
        <w:rPr>
          <w:rFonts w:ascii="Times New Roman" w:hAnsi="Times New Roman" w:cs="Times New Roman"/>
          <w:b/>
          <w:bCs/>
          <w:color w:val="000000" w:themeColor="text1"/>
        </w:rPr>
        <w:t xml:space="preserve"> | </w:t>
      </w:r>
      <w:r w:rsidR="00F6377A">
        <w:rPr>
          <w:rFonts w:ascii="Times New Roman" w:hAnsi="Times New Roman" w:cs="Times New Roman"/>
          <w:b/>
          <w:bCs/>
          <w:color w:val="000000" w:themeColor="text1"/>
        </w:rPr>
        <w:t>O</w:t>
      </w:r>
      <w:r w:rsidR="0019530D">
        <w:rPr>
          <w:rFonts w:ascii="Times New Roman" w:hAnsi="Times New Roman" w:cs="Times New Roman"/>
          <w:b/>
          <w:bCs/>
          <w:color w:val="000000" w:themeColor="text1"/>
        </w:rPr>
        <w:t xml:space="preserve">bservational </w:t>
      </w:r>
      <w:r w:rsidR="00F6377A">
        <w:rPr>
          <w:rFonts w:ascii="Times New Roman" w:hAnsi="Times New Roman" w:cs="Times New Roman"/>
          <w:b/>
          <w:bCs/>
          <w:color w:val="000000" w:themeColor="text1"/>
        </w:rPr>
        <w:t xml:space="preserve">local </w:t>
      </w:r>
      <w:r w:rsidR="0019530D">
        <w:rPr>
          <w:rFonts w:ascii="Times New Roman" w:hAnsi="Times New Roman" w:cs="Times New Roman"/>
          <w:b/>
          <w:bCs/>
          <w:color w:val="000000" w:themeColor="text1"/>
        </w:rPr>
        <w:t xml:space="preserve">estimates of </w:t>
      </w:r>
      <w:r w:rsidR="00124909">
        <w:rPr>
          <w:rFonts w:ascii="Times New Roman" w:hAnsi="Times New Roman" w:cs="Times New Roman"/>
          <w:b/>
          <w:bCs/>
          <w:color w:val="000000" w:themeColor="text1"/>
        </w:rPr>
        <w:t>annual net community production (</w:t>
      </w:r>
      <w:r w:rsidR="0019530D">
        <w:rPr>
          <w:rFonts w:ascii="Times New Roman" w:hAnsi="Times New Roman" w:cs="Times New Roman"/>
          <w:b/>
          <w:bCs/>
          <w:color w:val="000000" w:themeColor="text1"/>
        </w:rPr>
        <w:t>AN</w:t>
      </w:r>
      <w:r w:rsidR="00827CE0">
        <w:rPr>
          <w:rFonts w:ascii="Times New Roman" w:hAnsi="Times New Roman" w:cs="Times New Roman"/>
          <w:b/>
          <w:bCs/>
          <w:color w:val="000000" w:themeColor="text1"/>
        </w:rPr>
        <w:t>C</w:t>
      </w:r>
      <w:r w:rsidR="0019530D">
        <w:rPr>
          <w:rFonts w:ascii="Times New Roman" w:hAnsi="Times New Roman" w:cs="Times New Roman"/>
          <w:b/>
          <w:bCs/>
          <w:color w:val="000000" w:themeColor="text1"/>
        </w:rPr>
        <w:t>P</w:t>
      </w:r>
      <w:r w:rsidR="00124909">
        <w:rPr>
          <w:rFonts w:ascii="Times New Roman" w:hAnsi="Times New Roman" w:cs="Times New Roman"/>
          <w:b/>
          <w:bCs/>
          <w:color w:val="000000" w:themeColor="text1"/>
        </w:rPr>
        <w:t>)</w:t>
      </w:r>
      <w:r w:rsidR="0019530D">
        <w:rPr>
          <w:rFonts w:ascii="Times New Roman" w:hAnsi="Times New Roman" w:cs="Times New Roman"/>
          <w:b/>
          <w:bCs/>
          <w:color w:val="000000" w:themeColor="text1"/>
        </w:rPr>
        <w:t xml:space="preserve"> from previous studies</w:t>
      </w:r>
    </w:p>
    <w:tbl>
      <w:tblPr>
        <w:tblW w:w="139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99" w:type="dxa"/>
          <w:right w:w="99" w:type="dxa"/>
        </w:tblCellMar>
        <w:tblLook w:val="04A0" w:firstRow="1" w:lastRow="0" w:firstColumn="1" w:lastColumn="0" w:noHBand="0" w:noVBand="1"/>
      </w:tblPr>
      <w:tblGrid>
        <w:gridCol w:w="1701"/>
        <w:gridCol w:w="1531"/>
        <w:gridCol w:w="1531"/>
        <w:gridCol w:w="1110"/>
        <w:gridCol w:w="1086"/>
        <w:gridCol w:w="1087"/>
        <w:gridCol w:w="954"/>
        <w:gridCol w:w="1077"/>
        <w:gridCol w:w="1701"/>
        <w:gridCol w:w="2211"/>
      </w:tblGrid>
      <w:tr w:rsidR="00F03FDD" w:rsidRPr="00005F1A" w14:paraId="6DCE1E6B" w14:textId="77777777" w:rsidTr="00F03FDD">
        <w:trPr>
          <w:trHeight w:val="57"/>
        </w:trPr>
        <w:tc>
          <w:tcPr>
            <w:tcW w:w="139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CA0927" w14:textId="39FC7F32" w:rsidR="00F03FDD" w:rsidRPr="00FD2BBD" w:rsidRDefault="00F03FDD" w:rsidP="00FD2BBD">
            <w:pPr>
              <w:jc w:val="center"/>
              <w:rPr>
                <w:rFonts w:ascii="Times New Roman" w:eastAsia="Yu Gothic" w:hAnsi="Times New Roman" w:cs="Times New Roman"/>
                <w:color w:val="000000"/>
                <w:sz w:val="20"/>
                <w:szCs w:val="20"/>
              </w:rPr>
            </w:pPr>
            <w:r w:rsidRPr="00F03FDD">
              <w:rPr>
                <w:rFonts w:ascii="Times New Roman" w:eastAsia="Yu Gothic" w:hAnsi="Times New Roman" w:cs="Times New Roman" w:hint="eastAsia"/>
                <w:color w:val="000000"/>
              </w:rPr>
              <w:t>I</w:t>
            </w:r>
            <w:r w:rsidRPr="00F03FDD">
              <w:rPr>
                <w:rFonts w:ascii="Times New Roman" w:eastAsia="Yu Gothic" w:hAnsi="Times New Roman" w:cs="Times New Roman"/>
                <w:color w:val="000000"/>
              </w:rPr>
              <w:t>ndian Ocean</w:t>
            </w:r>
          </w:p>
        </w:tc>
      </w:tr>
      <w:tr w:rsidR="00680087" w:rsidRPr="00005F1A" w14:paraId="01F98E65" w14:textId="77777777" w:rsidTr="005C360D">
        <w:trPr>
          <w:trHeight w:val="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1C68CE5"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Latitude</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917F5CD"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ANCP</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73D6D52"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SD or SE</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A97D74E"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Depth </w:t>
            </w:r>
            <w:r w:rsidRPr="00E94D5F">
              <w:rPr>
                <w:rFonts w:ascii="Times New Roman" w:eastAsia="Yu Gothic" w:hAnsi="Times New Roman" w:cs="Times New Roman"/>
                <w:i/>
                <w:color w:val="000000"/>
                <w:sz w:val="20"/>
                <w:szCs w:val="20"/>
              </w:rPr>
              <w:t>H</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E2B9031"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Tracer</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847A53B"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Method</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F9AA4D3"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Platform</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AB1E4B5"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Date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59FB41E"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Note for location</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ACDBDDD" w14:textId="77777777" w:rsidR="00005F1A" w:rsidRPr="00FD2BBD" w:rsidRDefault="00005F1A" w:rsidP="005C360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Reference</w:t>
            </w:r>
          </w:p>
        </w:tc>
      </w:tr>
      <w:tr w:rsidR="00680087" w:rsidRPr="00005F1A" w14:paraId="6FA27AE7" w14:textId="77777777" w:rsidTr="005C360D">
        <w:trPr>
          <w:trHeight w:val="57"/>
        </w:trPr>
        <w:tc>
          <w:tcPr>
            <w:tcW w:w="1701" w:type="dxa"/>
            <w:tcBorders>
              <w:top w:val="single" w:sz="4" w:space="0" w:color="000000" w:themeColor="text1"/>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4E54656" w14:textId="32B7F3B2"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15.3 </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C82589"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0.20 </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54DFDE" w14:textId="04ED6182"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1D457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FE4C15"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B98C6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4C564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961211" w14:textId="560CC8DB"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2019</w:t>
            </w:r>
          </w:p>
        </w:tc>
        <w:tc>
          <w:tcPr>
            <w:tcW w:w="170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400C2F"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9763</w:t>
            </w:r>
          </w:p>
        </w:tc>
        <w:tc>
          <w:tcPr>
            <w:tcW w:w="221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D206A7F" w14:textId="48EC394C" w:rsidR="008977BA" w:rsidRPr="008977BA" w:rsidRDefault="008977BA" w:rsidP="005C360D">
            <w:pPr>
              <w:jc w:val="center"/>
              <w:rPr>
                <w:rFonts w:ascii="Times New Roman" w:hAnsi="Times New Roman" w:cs="Times New Roman"/>
                <w:color w:val="000000"/>
                <w:sz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{"citationID":"a2hupoah6ft","properties":{"formattedCitation":"(Emerson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hAnsi="Times New Roman" w:cs="Times New Roman"/>
                <w:color w:val="000000"/>
                <w:sz w:val="20"/>
              </w:rPr>
              <w:t>Emerson and Yang (2022)</w:t>
            </w:r>
            <w:r>
              <w:rPr>
                <w:rFonts w:ascii="Times New Roman" w:eastAsia="Yu Gothic" w:hAnsi="Times New Roman" w:cs="Times New Roman"/>
                <w:color w:val="000000"/>
                <w:sz w:val="20"/>
                <w:szCs w:val="20"/>
              </w:rPr>
              <w:fldChar w:fldCharType="end"/>
            </w:r>
          </w:p>
        </w:tc>
      </w:tr>
      <w:tr w:rsidR="00680087" w:rsidRPr="00005F1A" w14:paraId="76AD3B5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9D530B5" w14:textId="4382678E"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19.2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BA5D87"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A2F2B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4614E5"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9C7AD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22833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10DCC0"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F190AF" w14:textId="7CCB7EEF"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4868B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9768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3E6C1FF" w14:textId="46D9D241" w:rsidR="008977B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{"citationID":"w7OqSh4u","properties":{"formattedCitation":"(Emerson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hAnsi="Times New Roman" w:cs="Times New Roman"/>
                <w:color w:val="000000"/>
                <w:sz w:val="20"/>
              </w:rPr>
              <w:t>Emerson and Yang (2022)</w:t>
            </w:r>
            <w:r>
              <w:rPr>
                <w:rFonts w:ascii="Times New Roman" w:eastAsia="Yu Gothic" w:hAnsi="Times New Roman" w:cs="Times New Roman"/>
                <w:color w:val="000000"/>
                <w:sz w:val="20"/>
                <w:szCs w:val="20"/>
              </w:rPr>
              <w:fldChar w:fldCharType="end"/>
            </w:r>
          </w:p>
        </w:tc>
      </w:tr>
      <w:tr w:rsidR="00680087" w:rsidRPr="00005F1A" w14:paraId="3DFA1E52"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F48D982" w14:textId="25D19A8D"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23.4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CD4472" w14:textId="7522D322"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0.40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C7725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F79BAB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FD9D4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889F7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5A61D0"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672A46" w14:textId="540ABD3B"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CDA4B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9737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13589F4" w14:textId="28105080" w:rsidR="008977B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{"citationID":"v9mPFU2W","properties":{"formattedCitation":"(Emerson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hAnsi="Times New Roman" w:cs="Times New Roman"/>
                <w:color w:val="000000"/>
                <w:sz w:val="20"/>
              </w:rPr>
              <w:t>Emerson and Yang (2022)</w:t>
            </w:r>
            <w:r>
              <w:rPr>
                <w:rFonts w:ascii="Times New Roman" w:eastAsia="Yu Gothic" w:hAnsi="Times New Roman" w:cs="Times New Roman"/>
                <w:color w:val="000000"/>
                <w:sz w:val="20"/>
                <w:szCs w:val="20"/>
              </w:rPr>
              <w:fldChar w:fldCharType="end"/>
            </w:r>
          </w:p>
        </w:tc>
      </w:tr>
      <w:tr w:rsidR="00680087" w:rsidRPr="00005F1A" w14:paraId="4CAEBBB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319EA7C" w14:textId="181BF6C2"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30.4,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30.4</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45829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0.40, 0.50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AEE79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F8644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2CB7E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97581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1BD91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63A2DD" w14:textId="03D63318"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6BE6E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9758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6852379" w14:textId="2EEF9564" w:rsidR="008977B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{"citationID":"vw02xd5L","properties":{"formattedCitation":"(Emerson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hAnsi="Times New Roman" w:cs="Times New Roman"/>
                <w:color w:val="000000"/>
                <w:sz w:val="20"/>
              </w:rPr>
              <w:t>Emerson and Yang (2022)</w:t>
            </w:r>
            <w:r>
              <w:rPr>
                <w:rFonts w:ascii="Times New Roman" w:eastAsia="Yu Gothic" w:hAnsi="Times New Roman" w:cs="Times New Roman"/>
                <w:color w:val="000000"/>
                <w:sz w:val="20"/>
                <w:szCs w:val="20"/>
              </w:rPr>
              <w:fldChar w:fldCharType="end"/>
            </w:r>
          </w:p>
        </w:tc>
      </w:tr>
      <w:tr w:rsidR="00680087" w:rsidRPr="00005F1A" w14:paraId="31D78B4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9EEC409" w14:textId="4B72BF30" w:rsidR="00005F1A" w:rsidRPr="00FD2BBD" w:rsidRDefault="003567FE" w:rsidP="00FD2BB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005F1A" w:rsidRPr="00FD2BBD">
              <w:rPr>
                <w:rFonts w:ascii="Times New Roman" w:eastAsia="Yu Gothic" w:hAnsi="Times New Roman" w:cs="Times New Roman"/>
                <w:color w:val="000000"/>
                <w:sz w:val="20"/>
                <w:szCs w:val="20"/>
              </w:rPr>
              <w:t xml:space="preserve">40.0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E361B7"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3.80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287827"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1.10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9665BC" w14:textId="1A697D46"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(70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C9909F"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BE0DDD"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Subsurface change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26928E"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D11F10" w14:textId="77777777" w:rsidR="00005F1A" w:rsidRPr="00FD2BBD" w:rsidRDefault="00005F1A" w:rsidP="00FD2BB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A17B9B" w14:textId="77777777" w:rsidR="00005F1A" w:rsidRPr="00FD2BBD" w:rsidRDefault="00005F1A" w:rsidP="00FD2BBD">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E0FDE7F" w14:textId="2A20D55F" w:rsidR="00005F1A" w:rsidRPr="00FD2BBD" w:rsidRDefault="00E14D11"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{"citationID":"a109g7d3b8v","properties":{"formattedCitation":"(Hennon et al. 2016)","plainCitation":"(Hennon et al. 2016)","dontUpdate":true,"noteIndex":0},"citationItems":[{"id":2403,"uris":["http://zotero.org/users/7846282/items/N2GEJHMY"],"itemData":{"id":2403,"type":"article-journal","abstract":"We employ profiling floats with dissolved oxygen sensors to observe in situ temporal oxygen evolution below the mixed layer, allowing us to characterize net respiration of organic carbon in eight distinct regions over the globe. Export and export efficiency are generally high in locations with strong seasonal variability and low in locations of weak seasonality. Vertically integrated respiration is weakly, yet significantly, correlated with remote observations of chlorophyll, net primary production, and planktonic community size structure. These correlations suggest that regimes of high net primary production and large phytoplankton fuel elevated respiration at depth. Several regions of float-based observations intersect with sites of other detailed observations (e.g., Hawaii and Sargasso Sea), which allows us to compare our results to independent studies. We find that there is good agreement among export production estimates at highly seasonal locations, and that float-based observations may be biased low at weakly seasonal locations. We posit that the reason for the low-latitude discrepancy is the relative steady state of oxygen concentration caused by weak seasonality and shallow wintertime mixed layer depths.","container-title":"Global Biogeochemical Cycles","DOI":"10.1002/2016GB005380","ISSN":"1944-9224","issue":"6","language":"en","license":"©2016. American Geophysical Union. All Rights Reserved.","note":"_eprint: https://onlinelibrary.wiley.com/doi/pdf/10.1002/2016GB005380","page":"920-932","source":"Wiley Online Library","title":"Profiling float-based observations of net respiration beneath the mixed layer","volume":"30","author":[{"family":"Hennon","given":"Tyler D."},{"family":"Riser","given":"Stephen C."},{"family":"Mecking","given":"Sabine"}],"issued":{"date-parts":[["2016"]]}}}],"schema":"https://github.com/citation-style-language/schema/raw/master/csl-citation.json"} </w:instrText>
            </w:r>
            <w:r>
              <w:rPr>
                <w:rFonts w:ascii="Times New Roman" w:eastAsia="Yu Gothic" w:hAnsi="Times New Roman" w:cs="Times New Roman"/>
                <w:color w:val="000000"/>
                <w:sz w:val="20"/>
                <w:szCs w:val="20"/>
              </w:rPr>
              <w:fldChar w:fldCharType="separate"/>
            </w:r>
            <w:r w:rsidR="008977BA">
              <w:rPr>
                <w:rFonts w:ascii="Times New Roman" w:hAnsi="Times New Roman" w:cs="Times New Roman"/>
                <w:color w:val="000000"/>
                <w:sz w:val="20"/>
              </w:rPr>
              <w:t>Hennon et al. (2016)</w:t>
            </w:r>
            <w:r>
              <w:rPr>
                <w:rFonts w:ascii="Times New Roman" w:eastAsia="Yu Gothic" w:hAnsi="Times New Roman" w:cs="Times New Roman"/>
                <w:color w:val="000000"/>
                <w:sz w:val="20"/>
                <w:szCs w:val="20"/>
              </w:rPr>
              <w:fldChar w:fldCharType="end"/>
            </w:r>
          </w:p>
        </w:tc>
      </w:tr>
      <w:tr w:rsidR="00680087" w:rsidRPr="00005F1A" w14:paraId="3A27757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112155A" w14:textId="0C1D795F"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16.0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C9FC6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E4EC0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3FEF5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CD7675"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463387"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33B7C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1D4EA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5FAAA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I09</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8226271" w14:textId="527E6F47" w:rsidR="008977BA" w:rsidRPr="00FD2BBD" w:rsidRDefault="008977BA" w:rsidP="005C360D">
            <w:pPr>
              <w:jc w:val="center"/>
              <w:rPr>
                <w:rFonts w:ascii="Times New Roman" w:eastAsia="Yu Gothic" w:hAnsi="Times New Roman" w:cs="Times New Roman"/>
                <w:color w:val="000000"/>
                <w:sz w:val="20"/>
                <w:szCs w:val="20"/>
              </w:rPr>
            </w:pPr>
            <w:r w:rsidRPr="007666E5">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{"citationID":"a204rgc79gf","properties":{"formattedCitation":"(Yang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0.5 to 0.8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0.9 to 1.3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666E5">
              <w:rPr>
                <w:rFonts w:ascii="Times New Roman" w:eastAsia="Yu Gothic" w:hAnsi="Times New Roman" w:cs="Times New Roman"/>
                <w:color w:val="000000"/>
                <w:sz w:val="20"/>
                <w:szCs w:val="20"/>
              </w:rPr>
              <w:fldChar w:fldCharType="separate"/>
            </w:r>
            <w:r w:rsidRPr="007666E5">
              <w:rPr>
                <w:rFonts w:ascii="Times New Roman" w:hAnsi="Times New Roman" w:cs="Times New Roman"/>
                <w:color w:val="000000"/>
                <w:sz w:val="20"/>
              </w:rPr>
              <w:t>Yang et al. (2019)</w:t>
            </w:r>
            <w:r w:rsidRPr="007666E5">
              <w:rPr>
                <w:rFonts w:ascii="Times New Roman" w:eastAsia="Yu Gothic" w:hAnsi="Times New Roman" w:cs="Times New Roman"/>
                <w:color w:val="000000"/>
                <w:sz w:val="20"/>
                <w:szCs w:val="20"/>
              </w:rPr>
              <w:fldChar w:fldCharType="end"/>
            </w:r>
          </w:p>
        </w:tc>
      </w:tr>
      <w:tr w:rsidR="00680087" w:rsidRPr="00005F1A" w14:paraId="7EF05111"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3161AC7" w14:textId="7E08C56F"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16.0,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18.0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0DFC57" w14:textId="45166A46"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0.70,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0.80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966A5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7AC2E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9316D2"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DF2B09"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82F3A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CB13FB" w14:textId="07F7DEE4"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CA5FBF"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9763</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CC7FAE0" w14:textId="42298070" w:rsidR="008977BA" w:rsidRPr="00FD2BBD" w:rsidRDefault="008977BA" w:rsidP="005C360D">
            <w:pPr>
              <w:jc w:val="center"/>
              <w:rPr>
                <w:rFonts w:ascii="Times New Roman" w:eastAsia="Yu Gothic" w:hAnsi="Times New Roman" w:cs="Times New Roman"/>
                <w:color w:val="000000"/>
                <w:sz w:val="20"/>
                <w:szCs w:val="20"/>
              </w:rPr>
            </w:pPr>
            <w:r w:rsidRPr="007666E5">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{"citationID":"gtVnauwp","properties":{"formattedCitation":"(Yang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0.5 to 0.8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0.9 to 1.3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666E5">
              <w:rPr>
                <w:rFonts w:ascii="Times New Roman" w:eastAsia="Yu Gothic" w:hAnsi="Times New Roman" w:cs="Times New Roman"/>
                <w:color w:val="000000"/>
                <w:sz w:val="20"/>
                <w:szCs w:val="20"/>
              </w:rPr>
              <w:fldChar w:fldCharType="separate"/>
            </w:r>
            <w:r w:rsidRPr="007666E5">
              <w:rPr>
                <w:rFonts w:ascii="Times New Roman" w:hAnsi="Times New Roman" w:cs="Times New Roman"/>
                <w:color w:val="000000"/>
                <w:sz w:val="20"/>
              </w:rPr>
              <w:t>Yang et al. (2019)</w:t>
            </w:r>
            <w:r w:rsidRPr="007666E5">
              <w:rPr>
                <w:rFonts w:ascii="Times New Roman" w:eastAsia="Yu Gothic" w:hAnsi="Times New Roman" w:cs="Times New Roman"/>
                <w:color w:val="000000"/>
                <w:sz w:val="20"/>
                <w:szCs w:val="20"/>
              </w:rPr>
              <w:fldChar w:fldCharType="end"/>
            </w:r>
          </w:p>
        </w:tc>
      </w:tr>
      <w:tr w:rsidR="00680087" w:rsidRPr="00005F1A" w14:paraId="25CB529C"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392D528" w14:textId="54F21AD9"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19.0,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18.5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084B46" w14:textId="66FCE127"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0.50, 0.10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3CC447"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42976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B752C9"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EFD95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719CC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990ED0" w14:textId="0E568BB5"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D9E6B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9768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3754B01" w14:textId="176F1875" w:rsidR="008977BA" w:rsidRPr="00FD2BBD" w:rsidRDefault="008977BA" w:rsidP="005C360D">
            <w:pPr>
              <w:jc w:val="center"/>
              <w:rPr>
                <w:rFonts w:ascii="Times New Roman" w:eastAsia="Yu Gothic" w:hAnsi="Times New Roman" w:cs="Times New Roman"/>
                <w:color w:val="000000"/>
                <w:sz w:val="20"/>
                <w:szCs w:val="20"/>
              </w:rPr>
            </w:pPr>
            <w:r w:rsidRPr="007666E5">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{"citationID":"xxAaHAPa","properties":{"formattedCitation":"(Yang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0.5 to 0.8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0.9 to 1.3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666E5">
              <w:rPr>
                <w:rFonts w:ascii="Times New Roman" w:eastAsia="Yu Gothic" w:hAnsi="Times New Roman" w:cs="Times New Roman"/>
                <w:color w:val="000000"/>
                <w:sz w:val="20"/>
                <w:szCs w:val="20"/>
              </w:rPr>
              <w:fldChar w:fldCharType="separate"/>
            </w:r>
            <w:r w:rsidRPr="007666E5">
              <w:rPr>
                <w:rFonts w:ascii="Times New Roman" w:hAnsi="Times New Roman" w:cs="Times New Roman"/>
                <w:color w:val="000000"/>
                <w:sz w:val="20"/>
              </w:rPr>
              <w:t>Yang et al. (2019)</w:t>
            </w:r>
            <w:r w:rsidRPr="007666E5">
              <w:rPr>
                <w:rFonts w:ascii="Times New Roman" w:eastAsia="Yu Gothic" w:hAnsi="Times New Roman" w:cs="Times New Roman"/>
                <w:color w:val="000000"/>
                <w:sz w:val="20"/>
                <w:szCs w:val="20"/>
              </w:rPr>
              <w:fldChar w:fldCharType="end"/>
            </w:r>
          </w:p>
        </w:tc>
      </w:tr>
      <w:tr w:rsidR="00680087" w:rsidRPr="00005F1A" w14:paraId="43B13200"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D1BB262" w14:textId="3F7C9B92"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24.0,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22.5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973C22" w14:textId="1770F3A9"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0.80,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0.80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EAB8B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BD58E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08DC5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F95BC2"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41E1C5"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7EF033" w14:textId="63404B05"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5D19FC2"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9737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5EA9709" w14:textId="4ED68D0D" w:rsidR="008977BA" w:rsidRPr="00FD2BBD" w:rsidRDefault="008977BA" w:rsidP="005C360D">
            <w:pPr>
              <w:jc w:val="center"/>
              <w:rPr>
                <w:rFonts w:ascii="Times New Roman" w:eastAsia="Yu Gothic" w:hAnsi="Times New Roman" w:cs="Times New Roman"/>
                <w:color w:val="000000"/>
                <w:sz w:val="20"/>
                <w:szCs w:val="20"/>
              </w:rPr>
            </w:pPr>
            <w:r w:rsidRPr="007666E5">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{"citationID":"5EwaHFFd","properties":{"formattedCitation":"(Yang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0.5 to 0.8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0.9 to 1.3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666E5">
              <w:rPr>
                <w:rFonts w:ascii="Times New Roman" w:eastAsia="Yu Gothic" w:hAnsi="Times New Roman" w:cs="Times New Roman"/>
                <w:color w:val="000000"/>
                <w:sz w:val="20"/>
                <w:szCs w:val="20"/>
              </w:rPr>
              <w:fldChar w:fldCharType="separate"/>
            </w:r>
            <w:r w:rsidRPr="007666E5">
              <w:rPr>
                <w:rFonts w:ascii="Times New Roman" w:hAnsi="Times New Roman" w:cs="Times New Roman"/>
                <w:color w:val="000000"/>
                <w:sz w:val="20"/>
              </w:rPr>
              <w:t>Yang et al. (2019)</w:t>
            </w:r>
            <w:r w:rsidRPr="007666E5">
              <w:rPr>
                <w:rFonts w:ascii="Times New Roman" w:eastAsia="Yu Gothic" w:hAnsi="Times New Roman" w:cs="Times New Roman"/>
                <w:color w:val="000000"/>
                <w:sz w:val="20"/>
                <w:szCs w:val="20"/>
              </w:rPr>
              <w:fldChar w:fldCharType="end"/>
            </w:r>
          </w:p>
        </w:tc>
      </w:tr>
      <w:tr w:rsidR="00680087" w:rsidRPr="00005F1A" w14:paraId="5E937AF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BE76E7D" w14:textId="52BC9C1E"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29.0,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28.0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867346" w14:textId="28BE1141"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1.00, 0.40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01114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01C51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F3B30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2867B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20A71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B6C045" w14:textId="1EA8A2BD"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FB09A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9758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DAD5B46" w14:textId="03FBC9D8" w:rsidR="008977BA" w:rsidRPr="00FD2BBD" w:rsidRDefault="008977BA" w:rsidP="005C360D">
            <w:pPr>
              <w:jc w:val="center"/>
              <w:rPr>
                <w:rFonts w:ascii="Times New Roman" w:eastAsia="Yu Gothic" w:hAnsi="Times New Roman" w:cs="Times New Roman"/>
                <w:color w:val="000000"/>
                <w:sz w:val="20"/>
                <w:szCs w:val="20"/>
              </w:rPr>
            </w:pPr>
            <w:r w:rsidRPr="007666E5">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{"citationID":"zg22MFvd","properties":{"formattedCitation":"(Yang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0.5 to 0.8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0.9 to 1.3 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2·year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666E5">
              <w:rPr>
                <w:rFonts w:ascii="Times New Roman" w:eastAsia="Yu Gothic" w:hAnsi="Times New Roman" w:cs="Times New Roman"/>
                <w:color w:val="000000"/>
                <w:sz w:val="20"/>
                <w:szCs w:val="20"/>
              </w:rPr>
              <w:fldChar w:fldCharType="separate"/>
            </w:r>
            <w:r w:rsidRPr="007666E5">
              <w:rPr>
                <w:rFonts w:ascii="Times New Roman" w:hAnsi="Times New Roman" w:cs="Times New Roman"/>
                <w:color w:val="000000"/>
                <w:sz w:val="20"/>
              </w:rPr>
              <w:t>Yang et al. (2019)</w:t>
            </w:r>
            <w:r w:rsidRPr="007666E5">
              <w:rPr>
                <w:rFonts w:ascii="Times New Roman" w:eastAsia="Yu Gothic" w:hAnsi="Times New Roman" w:cs="Times New Roman"/>
                <w:color w:val="000000"/>
                <w:sz w:val="20"/>
                <w:szCs w:val="20"/>
              </w:rPr>
              <w:fldChar w:fldCharType="end"/>
            </w:r>
          </w:p>
        </w:tc>
      </w:tr>
      <w:tr w:rsidR="00F03FDD" w:rsidRPr="00005F1A" w14:paraId="304192FB" w14:textId="77777777" w:rsidTr="00F03FDD">
        <w:trPr>
          <w:trHeight w:val="57"/>
        </w:trPr>
        <w:tc>
          <w:tcPr>
            <w:tcW w:w="13989" w:type="dxa"/>
            <w:gridSpan w:val="10"/>
            <w:tcBorders>
              <w:top w:val="single" w:sz="4" w:space="0" w:color="BFBFBF" w:themeColor="background1" w:themeShade="BF"/>
              <w:left w:val="single" w:sz="4" w:space="0" w:color="000000" w:themeColor="text1"/>
              <w:bottom w:val="single" w:sz="4" w:space="0" w:color="000000" w:themeColor="text1"/>
              <w:right w:val="single" w:sz="4" w:space="0" w:color="000000" w:themeColor="text1"/>
            </w:tcBorders>
            <w:shd w:val="clear" w:color="auto" w:fill="auto"/>
            <w:vAlign w:val="center"/>
          </w:tcPr>
          <w:p w14:paraId="017CEA9F" w14:textId="77777777" w:rsidR="00F03FDD" w:rsidRPr="00F03FDD" w:rsidRDefault="00F03FDD" w:rsidP="00005F1A">
            <w:pPr>
              <w:jc w:val="center"/>
              <w:rPr>
                <w:rFonts w:ascii="Times New Roman" w:eastAsia="Yu Gothic" w:hAnsi="Times New Roman" w:cs="Times New Roman"/>
                <w:color w:val="000000"/>
                <w:sz w:val="22"/>
                <w:szCs w:val="22"/>
              </w:rPr>
            </w:pPr>
          </w:p>
        </w:tc>
      </w:tr>
      <w:tr w:rsidR="00F03FDD" w:rsidRPr="00005F1A" w14:paraId="0373E3F5" w14:textId="77777777" w:rsidTr="00F03FDD">
        <w:trPr>
          <w:trHeight w:val="57"/>
        </w:trPr>
        <w:tc>
          <w:tcPr>
            <w:tcW w:w="139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E5B595" w14:textId="009FAD73" w:rsidR="00F03FDD" w:rsidRPr="00005F1A" w:rsidRDefault="00F03FDD" w:rsidP="00005F1A">
            <w:pPr>
              <w:jc w:val="center"/>
              <w:rPr>
                <w:rFonts w:ascii="Times New Roman" w:eastAsia="Yu Gothic" w:hAnsi="Times New Roman" w:cs="Times New Roman"/>
                <w:color w:val="000000"/>
                <w:sz w:val="20"/>
                <w:szCs w:val="20"/>
              </w:rPr>
            </w:pPr>
            <w:r w:rsidRPr="00F03FDD">
              <w:rPr>
                <w:rFonts w:ascii="Times New Roman" w:eastAsia="Yu Gothic" w:hAnsi="Times New Roman" w:cs="Times New Roman" w:hint="eastAsia"/>
                <w:color w:val="000000"/>
              </w:rPr>
              <w:t>P</w:t>
            </w:r>
            <w:r w:rsidRPr="00F03FDD">
              <w:rPr>
                <w:rFonts w:ascii="Times New Roman" w:eastAsia="Yu Gothic" w:hAnsi="Times New Roman" w:cs="Times New Roman"/>
                <w:color w:val="000000"/>
              </w:rPr>
              <w:t>acific</w:t>
            </w:r>
            <w:r w:rsidR="008A282F">
              <w:rPr>
                <w:rFonts w:ascii="Times New Roman" w:eastAsia="Yu Gothic" w:hAnsi="Times New Roman" w:cs="Times New Roman"/>
                <w:color w:val="000000"/>
              </w:rPr>
              <w:t xml:space="preserve"> Ocean</w:t>
            </w:r>
          </w:p>
        </w:tc>
      </w:tr>
      <w:tr w:rsidR="00680087" w:rsidRPr="00005F1A" w14:paraId="6EC2A9FE" w14:textId="77777777" w:rsidTr="005C360D">
        <w:trPr>
          <w:trHeight w:val="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779D89" w14:textId="12F94228"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Latitude</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E3734C" w14:textId="7F6BC2DB"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ANCP</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CB2557" w14:textId="641F52F4"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SD or SE</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6468AC" w14:textId="20BE3D2C"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Depth </w:t>
            </w:r>
            <w:r w:rsidRPr="00E94D5F">
              <w:rPr>
                <w:rFonts w:ascii="Times New Roman" w:eastAsia="Yu Gothic" w:hAnsi="Times New Roman" w:cs="Times New Roman"/>
                <w:i/>
                <w:color w:val="000000"/>
                <w:sz w:val="20"/>
                <w:szCs w:val="20"/>
              </w:rPr>
              <w:t>H</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10882B" w14:textId="3D3D955B" w:rsidR="00005F1A" w:rsidRPr="00005F1A" w:rsidRDefault="00005F1A" w:rsidP="00005F1A">
            <w:pPr>
              <w:jc w:val="center"/>
              <w:rPr>
                <w:rFonts w:ascii="Times New Roman" w:eastAsia="Yu Gothic" w:hAnsi="Times New Roman" w:cs="Times New Roman"/>
                <w:color w:val="000000"/>
                <w:sz w:val="20"/>
                <w:szCs w:val="20"/>
                <w:vertAlign w:val="superscript"/>
              </w:rPr>
            </w:pPr>
            <w:r w:rsidRPr="00FD2BBD">
              <w:rPr>
                <w:rFonts w:ascii="Times New Roman" w:eastAsia="Yu Gothic" w:hAnsi="Times New Roman" w:cs="Times New Roman"/>
                <w:color w:val="000000"/>
                <w:sz w:val="20"/>
                <w:szCs w:val="20"/>
              </w:rPr>
              <w:t>Tracer</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44B2DC" w14:textId="7E978BC3"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Method</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8E8893" w14:textId="16D9B187"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Platform</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A4366" w14:textId="387C3AEC"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Date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986B49" w14:textId="10ED3007" w:rsidR="00005F1A" w:rsidRPr="00005F1A"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Note for location</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589114" w14:textId="76582A2C" w:rsidR="00005F1A" w:rsidRPr="00005F1A" w:rsidRDefault="00005F1A" w:rsidP="005C360D">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Reference</w:t>
            </w:r>
          </w:p>
        </w:tc>
      </w:tr>
      <w:tr w:rsidR="00680087" w:rsidRPr="00005F1A" w14:paraId="0AC31DF9" w14:textId="77777777" w:rsidTr="005C360D">
        <w:trPr>
          <w:trHeight w:val="57"/>
        </w:trPr>
        <w:tc>
          <w:tcPr>
            <w:tcW w:w="1701" w:type="dxa"/>
            <w:tcBorders>
              <w:top w:val="single" w:sz="4" w:space="0" w:color="000000" w:themeColor="text1"/>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475F3DF"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199AE9"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2.40 </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58C1E0"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0.90 </w:t>
            </w:r>
          </w:p>
        </w:tc>
        <w:tc>
          <w:tcPr>
            <w:tcW w:w="1110"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127123" w14:textId="488967A9"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(150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8B1F7B"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vertAlign w:val="superscript"/>
              </w:rPr>
              <w:t>234</w:t>
            </w:r>
            <w:r w:rsidRPr="00FD2BBD">
              <w:rPr>
                <w:rFonts w:ascii="Times New Roman" w:eastAsia="Yu Gothic" w:hAnsi="Times New Roman" w:cs="Times New Roman"/>
                <w:color w:val="000000"/>
                <w:sz w:val="20"/>
                <w:szCs w:val="20"/>
              </w:rPr>
              <w:t>Th</w:t>
            </w:r>
          </w:p>
        </w:tc>
        <w:tc>
          <w:tcPr>
            <w:tcW w:w="108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43B4BC"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POC/DOC flux</w:t>
            </w:r>
          </w:p>
        </w:tc>
        <w:tc>
          <w:tcPr>
            <w:tcW w:w="954"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795E4B"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62366D3" w14:textId="4677E202"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2000</w:t>
            </w:r>
          </w:p>
        </w:tc>
        <w:tc>
          <w:tcPr>
            <w:tcW w:w="170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2C5EA2"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1C372640" w14:textId="0A655487" w:rsidR="00005F1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{"citationID":"a8gjv1dgit","properties":{"formattedCitation":"(Benitez-Nelson et al. 2001)","plainCitation":"(Benitez-Nelson et al. 2001)","dontUpdate":true,"noteIndex":0},"citationItems":[{"id":2499,"uris":["http://zotero.org/users/7846282/items/7ES36YBQ"],"itemData":{"id":2499,"type":"article-journal","abstract":"Depth profiles of total 234Th (dissolved+particulate) were collected at Station ALOHA (22°45N, 158°00W) in the North Pacific Subtropical Gyre during 9 cruises from April 1999 to March 2000. Samples were collected and processed by a new 2L technique that enables more detailed depth resolution then previous 234Th studies. Significant zones of particle export (234Th deficiency) and particle remineralization (234Th excess) were measured both temporally and with depth. 234Th derived particulate carbon (PC) and nitrogen (PN) fluxes were determined with steady-state and non-steady-state models and PC/234Th and PN/234Th ratios measured with both in situ pumps and free-drifting particle interceptor traps deployed at 150m. 234Th based export estimates of 4.0±2.3mmol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2d</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0.53±0.19mmol Nm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2d</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were approximately 60% higher than those measured in PIT style sediment traps from the same time period, 2.4±0.2mmol Cm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2d</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and 0.32±0.08mmol Nm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2d</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Most of this difference is attributable to two large export events that occurred during October and December 1999, when traps undercollected for 234Th by a factor of 2 to 4. 234Th export (ThE) ratios based on 234Th derived PC flux/14C based primary production ranged from 4% to 22% (average=8.8%). Our results confirm the recent estimates of C export by Emerson et al. (Nature 389 (1997) 951) and Sonnerup et al. (Deep-Sea Research I 46 (1999) 777) and indicate that C export from the oligotrophic ocean must be considered when discussing C sequestration in global climate change.","container-title":"Deep Sea Research Part I: Oceanographic Research Papers","DOI":"10.1016/S0967-0637(01)00032-2","ISSN":"0967-0637","issue":"12","journalAbbreviation":"Deep Sea Research Part I: Oceanographic Research Papers","language":"en","page":"2595-2611","source":"ScienceDirect","title":"A time-series study of particulate matter export in the North Pacific Subtropical Gyre based on 234Th:238U disequilibrium","title-short":"A time-series study of particulate matter export in the North Pacific Subtropical Gyre based on 234Th","volume":"48","author":[{"family":"Benitez-Nelson","given":"Claudia"},{"family":"Buesseler","given":"Ken O."},{"family":"Karl","given":"David M."},{"family":"Andrews","given":"John"}],"issued":{"date-parts":[["2001",12,1]]}}}],"schema":"https://github.com/citation-style-language/schema/raw/master/csl-citation.json"} </w:instrText>
            </w:r>
            <w:r>
              <w:rPr>
                <w:rFonts w:ascii="Times New Roman" w:eastAsia="Yu Gothic" w:hAnsi="Times New Roman" w:cs="Times New Roman"/>
                <w:color w:val="000000"/>
                <w:sz w:val="20"/>
                <w:szCs w:val="20"/>
              </w:rPr>
              <w:fldChar w:fldCharType="separate"/>
            </w:r>
            <w:r w:rsidRPr="008977BA">
              <w:rPr>
                <w:rFonts w:ascii="Times New Roman" w:hAnsi="Times New Roman" w:cs="Times New Roman"/>
                <w:color w:val="000000"/>
                <w:sz w:val="20"/>
              </w:rPr>
              <w:t xml:space="preserve">Benitez-Nelson et al. </w:t>
            </w:r>
            <w:r>
              <w:rPr>
                <w:rFonts w:ascii="Times New Roman" w:hAnsi="Times New Roman" w:cs="Times New Roman"/>
                <w:color w:val="000000"/>
                <w:sz w:val="20"/>
              </w:rPr>
              <w:t>(</w:t>
            </w:r>
            <w:r w:rsidRPr="008977BA">
              <w:rPr>
                <w:rFonts w:ascii="Times New Roman" w:hAnsi="Times New Roman" w:cs="Times New Roman"/>
                <w:color w:val="000000"/>
                <w:sz w:val="20"/>
              </w:rPr>
              <w:t>2001)</w:t>
            </w:r>
            <w:r>
              <w:rPr>
                <w:rFonts w:ascii="Times New Roman" w:eastAsia="Yu Gothic" w:hAnsi="Times New Roman" w:cs="Times New Roman"/>
                <w:color w:val="000000"/>
                <w:sz w:val="20"/>
                <w:szCs w:val="20"/>
              </w:rPr>
              <w:fldChar w:fldCharType="end"/>
            </w:r>
          </w:p>
        </w:tc>
      </w:tr>
      <w:tr w:rsidR="00680087" w:rsidRPr="00005F1A" w14:paraId="7154854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E4B3D43"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79F580"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2.82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CC1841"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0.35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CB268A"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926D6C"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7CBAA7"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115A3B"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BF60CE" w14:textId="00264D28"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F16A5F"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48A8672" w14:textId="37582287" w:rsidR="00005F1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{"citationID":"yk7FNtIs","properties":{"formattedCitation":"(Brix et al. 2004)","plainCitation":"(Brix et al. 2004)","dontUpdate":true,"noteIndex":0},"citationItems":[{"id":2483,"uris":["http://zotero.org/users/7846282/items/4496YCDD"],"itemData":{"id":2483,"type":"article-journal","abstract":"We investigate interannual variability of the upper ocean carbon cycle in the subtropical North Pacific on the basis of a 14-year time series (1988–2002) of carbon parameters from Station ALOHA, the site of the U.S. JGOFS Hawaii Ocean Time series program (HOT). The data reveal substantial interannual variability in near-surface concentrations of dissolved inorganic carbon normalized to constant salinity (sDIC, peak-to-peak amplitude of ±4 μmol kg</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computed ocean surface partial pressure of CO2 (pCO2, ±6 ppm), and the 13C/12C ratio of DIC (±0.07‰). A strong anticorrelation (r = </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0.50) between interannual anomalies in sea-surface temperature (SST) and sDIC is found, which tends to suppress the correlation of either of these properties with pCO2. In contrast, no significant correlation (p &lt; 0.05) is found between anomalies of the 13C/12C ratio of DIC and any other parameter. A diagnostic box model analysis reveals that interannual variability of near-surface ocean sDIC is driven by air-sea gas exchange, net community production, and lateral transport. In warmer than normal years the seasonal carbon cycle tends to be weakened, with a sDIC reduction in the mixed layer caused by diminished gas exchange and lateral transport outweighing the effect of less intense sDIC removal by net community production. This explains the observed anticorrelation between SST and sDIC. Interannual (peak-to-peak) variability of air-sea gas exchange (±0.4 mol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i.e., 40% of the annual mean value) is primarily governed by strongly covarying changes in SST and wind speeds. Net community production varies interannually by up to ±0.9 mol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(39%) and tends to be associated with changes in horizontal transport. Less than 20% of the interannual variance in sDIC near Hawaii can be explained by the Pacific Decadal Oscillation (PDO), and an even smaller fraction (less than 5%) by the El Niño-Southern Oscillation (ENSO). Because SST variations over a sizable fraction of the North Pacific subtropical gyre vary in concert with those at Station ALOHA, it is plausible that air-sea fluxes in this region vary also synchronously, resulting in a variability of the atmospheric CO2 sink strength of the North Pacific subtropical gyre of up to ±0.2 PgC 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1.","container-title":"Global Biogeochemical Cycles","DOI":"10.1029/2004GB002245","ISSN":"1944-9224","issue":"4","language":"en","license":"Copyright 2004 by the American Geophysical Union.","note":"_eprint: https://onlinelibrary.wiley.com/doi/pdf/10.1029/2004GB002245","source":"Wiley Online Library","title":"Interannual variability of the upper ocean carbon cycle at station ALOHA near Hawaii","URL":"https://onlinelibrary.wiley.com/doi/abs/10.1029/2004GB002245","volume":"18","author":[{"family":"Brix","given":"Holger"},{"family":"Gruber","given":"Nicolas"},{"family":"Keeling","given":"Charles D."}],"accessed":{"date-parts":[["2023",7,27]]},"issued":{"date-parts":[["2004"]]}}}],"schema":"https://github.com/citation-style-language/schema/raw/master/csl-citation.json"}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Brix et al. (2004)</w:t>
            </w:r>
            <w:r>
              <w:rPr>
                <w:rFonts w:ascii="Times New Roman" w:eastAsia="Yu Gothic" w:hAnsi="Times New Roman" w:cs="Times New Roman"/>
                <w:color w:val="000000"/>
                <w:sz w:val="20"/>
                <w:szCs w:val="20"/>
              </w:rPr>
              <w:fldChar w:fldCharType="end"/>
            </w:r>
          </w:p>
        </w:tc>
      </w:tr>
      <w:tr w:rsidR="00680087" w:rsidRPr="00005F1A" w14:paraId="0506B32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9D7A4E7"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DDD4FC" w14:textId="242C038F"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2.10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40A1AF"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87A41E"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B0022B"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4FFB57"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6A4300"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991D5C" w14:textId="586AB69F"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1969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1978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081B66"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510151B" w14:textId="4D72B65D" w:rsidR="00005F1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{"citationID":"Rk7332Sq","properties":{"formattedCitation":"(Emerson 1987)","plainCitation":"(Emerson 1987)","dontUpdate":true,"noteIndex":0},"citationItems":[{"id":2471,"uris":["http://zotero.org/users/7846282/items/8TI2EH3U"],"itemData":{"id":2471,"type":"article-journal","abstract":"Seasonal cycles of oxygen, temperature and salinity at Ocean Weather Station P in the subarctic Pacific Ocean reveal a regular 4–6% supersaturation of oxygen in the surface waters during the summers of the 10-year period 1969–1978. The main processes causing super-saturation are surface water heating and the net effect of primary production and community respiration. The biological and heating signals are separated using a mixed layer model and estimates for the air-water gas exchange rate calculated from empirical correlations to wind speed. Biological new production during the summer (mid-May to mid-August) is estimated to be 100–300 mg C 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 d</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1. These values are within the range of independent estimates calculated from the summer nitrate depletion. There is a factor of 3 variation in the new production estimates during the period 1969–1978 with a minimum in 1973–1975. This trend is positively correlated with the interannual variation in zooplankton standing stock at station P.","container-title":"Journal of Geophysical Research: Oceans","DOI":"10.1029/JC092iC06p06535","ISSN":"2156-2202","issue":"C6","language":"en","license":"Copyright 1987 by the American Geophysical Union.","note":"_eprint: https://onlinelibrary.wiley.com/doi/pdf/10.1029/JC092iC06p06535","page":"6535-6544","source":"Wiley Online Library","title":"Seasonal oxygen cycles and biological new production in surface waters of the subarctic Pacific Ocean","volume":"92","author":[{"family":"Emerson","given":"Steven"}],"issued":{"date-parts":[["1987"]]}}}],"schema":"https://github.com/citation-style-language/schema/raw/master/csl-citation.json"}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Emerson (1987)</w:t>
            </w:r>
            <w:r>
              <w:rPr>
                <w:rFonts w:ascii="Times New Roman" w:eastAsia="Yu Gothic" w:hAnsi="Times New Roman" w:cs="Times New Roman"/>
                <w:color w:val="000000"/>
                <w:sz w:val="20"/>
                <w:szCs w:val="20"/>
              </w:rPr>
              <w:fldChar w:fldCharType="end"/>
            </w:r>
          </w:p>
        </w:tc>
      </w:tr>
      <w:tr w:rsidR="00680087" w:rsidRPr="00005F1A" w14:paraId="284B46BF"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C9B6623"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AA0F2D"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2.51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150F9B"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049A7A"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A72D30"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N</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7D4F72"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5DAD6B"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D2B603"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9D909E"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0C1DD16" w14:textId="43FA8B11" w:rsidR="00005F1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8229C7">
              <w:rPr>
                <w:rFonts w:ascii="Times New Roman" w:eastAsia="Yu Gothic" w:hAnsi="Times New Roman" w:cs="Times New Roman"/>
                <w:color w:val="000000"/>
                <w:sz w:val="20"/>
                <w:szCs w:val="20"/>
              </w:rPr>
              <w:instrText xml:space="preserve"> ADDIN ZOTERO_ITEM CSL_CITATION {"citationID":"WW0T3dlj","properties":{"formattedCitation":"(Emerson and Stump 2010)","plainCitation":"(Emerson and Stump 2010)","dontUpdate":true,"noteIndex":0},"citationItems":[{"id":2246,"uris":["http://zotero.org/users/7846282/items/WQMKRNAY"],"itemData":{"id":2246,"type":"article-journal","abstract":"Net community biological production in the euphotic zone of the ocean fuels organic matter and oxygen export from the upper ocean, which has a large influence on the atmospheric pressure of carbon dioxide and is the driving force for metabolite distributions in the sea. We determine the net annual biological oxygen production in the mixed layer of the northeast subarctic Pacific Ocean from in situ O2 and N2 measurements. Temperature, salinity, total gas pressure and O2 were measured every 3h for 9 months in 2007 at about 3m depth on a surface mooring at Station P (50°N, 145°W). The concentration of nitrogen gas, N2, determined from separate total gas pressure and pO2 measurements, was used as an inert tracer of the physical processes that induce gas departure from thermodynamic equilibrium with the atmosphere. We use a simple model of the ocean’s mixed layer along with the nitrogen concentration to constrain the importance of bubbles, gas exchange and horizontal advection, which are then used in the oxygen mass balance to derive net biological oxygen production. The mixed-layer oxygen mass balance is dominated by exchange with the atmosphere, and we determine a mean summertime oxygen production of 24mmolO2m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2d</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The annual pattern in the difference between the supersaturation of oxygen and nitrogen in the surface waters reveals very little net oxygen production during the winter at this location. The calculated annual net community production (NCP) of carbon from this new method, 2.5molm</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2yr</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1, agrees to within its error of about×40% with previous determinations at this location from oxygen mass balance, NO3</w:instrText>
            </w:r>
            <w:r w:rsidR="008229C7">
              <w:rPr>
                <w:rFonts w:ascii="Times New Roman" w:eastAsia="Yu Gothic" w:hAnsi="Times New Roman" w:cs="Times New Roman" w:hint="eastAsia"/>
                <w:color w:val="000000"/>
                <w:sz w:val="20"/>
                <w:szCs w:val="20"/>
              </w:rPr>
              <w:instrText>−</w:instrText>
            </w:r>
            <w:r w:rsidR="008229C7">
              <w:rPr>
                <w:rFonts w:ascii="Times New Roman" w:eastAsia="Yu Gothic" w:hAnsi="Times New Roman" w:cs="Times New Roman"/>
                <w:color w:val="000000"/>
                <w:sz w:val="20"/>
                <w:szCs w:val="20"/>
              </w:rPr>
              <w:instrText xml:space="preserve"> draw down and 234Th measurements. This value is either indistinguishable from or lower than annual NCP measurements in the subtropical North Pacific, indicating that there is no experimental evidence for differences in annual NCP between the subarctic and subtropical North Pacific Ocean.","container-title":"Deep Sea Research Part I: Oceanographic Research Papers","DOI":"10.1016/j.dsr.2010.06.001","ISSN":"0967-0637","issue":"10","journalAbbreviation":"Deep Sea Research Part I: Oceanographic Research Papers","language":"en","page":"1255-1265","source":"ScienceDirect","title":"Net biological oxygen production in the ocean—II: Remote in situ measurements of O2 and N2 in subarctic pacific surface waters","title-short":"Net biological oxygen production in the ocean—II","volume":"57","author":[{"family":"Emerson","given":"Steven"},{"family":"Stump","given":"Charles"}],"issued":{"date-parts":[["2010",10,1]]}}}],"schema":"https://github.com/citation-style-language/schema/raw/master/csl-citation.json"}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Emerson and Stump (2010)</w:t>
            </w:r>
            <w:r>
              <w:rPr>
                <w:rFonts w:ascii="Times New Roman" w:eastAsia="Yu Gothic" w:hAnsi="Times New Roman" w:cs="Times New Roman"/>
                <w:color w:val="000000"/>
                <w:sz w:val="20"/>
                <w:szCs w:val="20"/>
              </w:rPr>
              <w:fldChar w:fldCharType="end"/>
            </w:r>
          </w:p>
        </w:tc>
      </w:tr>
      <w:tr w:rsidR="00680087" w:rsidRPr="00005F1A" w14:paraId="5C46E17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EA5931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21.5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096D7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B9555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0B755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A0AF1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6AF40F"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2194F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5D1721" w14:textId="10ECC95C"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2017</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4D44C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9306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1553109" w14:textId="5A49B0B5" w:rsidR="008977BA" w:rsidRPr="00FD2BBD" w:rsidRDefault="008977BA" w:rsidP="005C360D">
            <w:pPr>
              <w:jc w:val="center"/>
              <w:rPr>
                <w:rFonts w:ascii="Times New Roman" w:eastAsia="Yu Gothic" w:hAnsi="Times New Roman" w:cs="Times New Roman"/>
                <w:color w:val="000000"/>
                <w:sz w:val="20"/>
                <w:szCs w:val="20"/>
              </w:rPr>
            </w:pPr>
            <w:r w:rsidRPr="001625BD">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{"citationID":"vyRE0hLg","properties":{"formattedCitation":"(Emerson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1625BD">
              <w:rPr>
                <w:rFonts w:ascii="Times New Roman" w:eastAsia="Yu Gothic" w:hAnsi="Times New Roman" w:cs="Times New Roman"/>
                <w:color w:val="000000"/>
                <w:sz w:val="20"/>
                <w:szCs w:val="20"/>
              </w:rPr>
              <w:fldChar w:fldCharType="separate"/>
            </w:r>
            <w:r w:rsidRPr="001625BD">
              <w:rPr>
                <w:rFonts w:ascii="Times New Roman" w:eastAsia="Yu Gothic" w:hAnsi="Times New Roman" w:cs="Times New Roman"/>
                <w:noProof/>
                <w:color w:val="000000"/>
                <w:sz w:val="20"/>
                <w:szCs w:val="20"/>
              </w:rPr>
              <w:t>Emerson and Yang (2022)</w:t>
            </w:r>
            <w:r w:rsidRPr="001625BD">
              <w:rPr>
                <w:rFonts w:ascii="Times New Roman" w:eastAsia="Yu Gothic" w:hAnsi="Times New Roman" w:cs="Times New Roman"/>
                <w:color w:val="000000"/>
                <w:sz w:val="20"/>
                <w:szCs w:val="20"/>
              </w:rPr>
              <w:fldChar w:fldCharType="end"/>
            </w:r>
          </w:p>
        </w:tc>
      </w:tr>
      <w:tr w:rsidR="00680087" w:rsidRPr="00005F1A" w14:paraId="0DDA341A"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70D2194" w14:textId="71DE993C"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23.8,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23.8, -</w:t>
            </w:r>
            <w:r w:rsidR="008977BA" w:rsidRPr="00FD2BBD">
              <w:rPr>
                <w:rFonts w:ascii="Times New Roman" w:eastAsia="Yu Gothic" w:hAnsi="Times New Roman" w:cs="Times New Roman"/>
                <w:color w:val="000000"/>
                <w:sz w:val="20"/>
                <w:szCs w:val="20"/>
              </w:rPr>
              <w:lastRenderedPageBreak/>
              <w:t>23.8</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CDF937"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0.80, 0.60, 0.50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DE93A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D2BA3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3DCBCF"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C08E27"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1A52B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E453E7" w14:textId="03A98A89"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lastRenderedPageBreak/>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E73B6D0"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Float 12385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83900A3" w14:textId="580CFECC" w:rsidR="008977BA" w:rsidRPr="00FD2BBD" w:rsidRDefault="008977BA" w:rsidP="005C360D">
            <w:pPr>
              <w:jc w:val="center"/>
              <w:rPr>
                <w:rFonts w:ascii="Times New Roman" w:eastAsia="Yu Gothic" w:hAnsi="Times New Roman" w:cs="Times New Roman"/>
                <w:color w:val="000000"/>
                <w:sz w:val="20"/>
                <w:szCs w:val="20"/>
              </w:rPr>
            </w:pPr>
            <w:r w:rsidRPr="001625BD">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{"citationID":"xlPKHANN","properties":{"formattedCitation":"(Emerson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1625BD">
              <w:rPr>
                <w:rFonts w:ascii="Times New Roman" w:eastAsia="Yu Gothic" w:hAnsi="Times New Roman" w:cs="Times New Roman"/>
                <w:color w:val="000000"/>
                <w:sz w:val="20"/>
                <w:szCs w:val="20"/>
              </w:rPr>
              <w:fldChar w:fldCharType="separate"/>
            </w:r>
            <w:r w:rsidRPr="001625BD">
              <w:rPr>
                <w:rFonts w:ascii="Times New Roman" w:eastAsia="Yu Gothic" w:hAnsi="Times New Roman" w:cs="Times New Roman"/>
                <w:noProof/>
                <w:color w:val="000000"/>
                <w:sz w:val="20"/>
                <w:szCs w:val="20"/>
              </w:rPr>
              <w:t xml:space="preserve">Emerson and Yang </w:t>
            </w:r>
            <w:r w:rsidRPr="001625BD">
              <w:rPr>
                <w:rFonts w:ascii="Times New Roman" w:eastAsia="Yu Gothic" w:hAnsi="Times New Roman" w:cs="Times New Roman"/>
                <w:noProof/>
                <w:color w:val="000000"/>
                <w:sz w:val="20"/>
                <w:szCs w:val="20"/>
              </w:rPr>
              <w:lastRenderedPageBreak/>
              <w:t>(2022)</w:t>
            </w:r>
            <w:r w:rsidRPr="001625BD">
              <w:rPr>
                <w:rFonts w:ascii="Times New Roman" w:eastAsia="Yu Gothic" w:hAnsi="Times New Roman" w:cs="Times New Roman"/>
                <w:color w:val="000000"/>
                <w:sz w:val="20"/>
                <w:szCs w:val="20"/>
              </w:rPr>
              <w:fldChar w:fldCharType="end"/>
            </w:r>
          </w:p>
        </w:tc>
      </w:tr>
      <w:tr w:rsidR="00680087" w:rsidRPr="00005F1A" w14:paraId="5CEEE488"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A870688" w14:textId="1A34674A"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lastRenderedPageBreak/>
              <w:t>–</w:t>
            </w:r>
            <w:r w:rsidR="008977BA" w:rsidRPr="00FD2BBD">
              <w:rPr>
                <w:rFonts w:ascii="Times New Roman" w:eastAsia="Yu Gothic" w:hAnsi="Times New Roman" w:cs="Times New Roman"/>
                <w:color w:val="000000"/>
                <w:sz w:val="20"/>
                <w:szCs w:val="20"/>
              </w:rPr>
              <w:t xml:space="preserve">23.8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124B9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EA1AC5"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11E5A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A3719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4A4DE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9A9346"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109283" w14:textId="676B3A3A"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2020</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D17A4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18822</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A4C51E6" w14:textId="0597B94C" w:rsidR="008977BA" w:rsidRPr="00FD2BBD" w:rsidRDefault="008977BA" w:rsidP="005C360D">
            <w:pPr>
              <w:jc w:val="center"/>
              <w:rPr>
                <w:rFonts w:ascii="Times New Roman" w:eastAsia="Yu Gothic" w:hAnsi="Times New Roman" w:cs="Times New Roman"/>
                <w:color w:val="000000"/>
                <w:sz w:val="20"/>
                <w:szCs w:val="20"/>
              </w:rPr>
            </w:pPr>
            <w:r w:rsidRPr="001625BD">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{"citationID":"lF9TbC7A","properties":{"formattedCitation":"(Emerson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1625BD">
              <w:rPr>
                <w:rFonts w:ascii="Times New Roman" w:eastAsia="Yu Gothic" w:hAnsi="Times New Roman" w:cs="Times New Roman"/>
                <w:color w:val="000000"/>
                <w:sz w:val="20"/>
                <w:szCs w:val="20"/>
              </w:rPr>
              <w:fldChar w:fldCharType="separate"/>
            </w:r>
            <w:r w:rsidRPr="001625BD">
              <w:rPr>
                <w:rFonts w:ascii="Times New Roman" w:eastAsia="Yu Gothic" w:hAnsi="Times New Roman" w:cs="Times New Roman"/>
                <w:noProof/>
                <w:color w:val="000000"/>
                <w:sz w:val="20"/>
                <w:szCs w:val="20"/>
              </w:rPr>
              <w:t>Emerson and Yang (2022)</w:t>
            </w:r>
            <w:r w:rsidRPr="001625BD">
              <w:rPr>
                <w:rFonts w:ascii="Times New Roman" w:eastAsia="Yu Gothic" w:hAnsi="Times New Roman" w:cs="Times New Roman"/>
                <w:color w:val="000000"/>
                <w:sz w:val="20"/>
                <w:szCs w:val="20"/>
              </w:rPr>
              <w:fldChar w:fldCharType="end"/>
            </w:r>
          </w:p>
        </w:tc>
      </w:tr>
      <w:tr w:rsidR="00680087" w:rsidRPr="00005F1A" w14:paraId="0FD527CD"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8342585" w14:textId="17A5B3B1"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25.7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9052C7"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C498F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2D6BE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90BEB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F1C88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A7A10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D9D1FB" w14:textId="4AEB4100"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2020</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59396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18827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EFB756F" w14:textId="28AC3C47" w:rsidR="008977BA" w:rsidRPr="00FD2BBD" w:rsidRDefault="008977BA" w:rsidP="005C360D">
            <w:pPr>
              <w:jc w:val="center"/>
              <w:rPr>
                <w:rFonts w:ascii="Times New Roman" w:eastAsia="Yu Gothic" w:hAnsi="Times New Roman" w:cs="Times New Roman"/>
                <w:color w:val="000000"/>
                <w:sz w:val="20"/>
                <w:szCs w:val="20"/>
              </w:rPr>
            </w:pPr>
            <w:r w:rsidRPr="001625BD">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{"citationID":"K7OMpPj4","properties":{"formattedCitation":"(Emerson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1625BD">
              <w:rPr>
                <w:rFonts w:ascii="Times New Roman" w:eastAsia="Yu Gothic" w:hAnsi="Times New Roman" w:cs="Times New Roman"/>
                <w:color w:val="000000"/>
                <w:sz w:val="20"/>
                <w:szCs w:val="20"/>
              </w:rPr>
              <w:fldChar w:fldCharType="separate"/>
            </w:r>
            <w:r w:rsidRPr="001625BD">
              <w:rPr>
                <w:rFonts w:ascii="Times New Roman" w:eastAsia="Yu Gothic" w:hAnsi="Times New Roman" w:cs="Times New Roman"/>
                <w:noProof/>
                <w:color w:val="000000"/>
                <w:sz w:val="20"/>
                <w:szCs w:val="20"/>
              </w:rPr>
              <w:t>Emerson and Yang (2022)</w:t>
            </w:r>
            <w:r w:rsidRPr="001625BD">
              <w:rPr>
                <w:rFonts w:ascii="Times New Roman" w:eastAsia="Yu Gothic" w:hAnsi="Times New Roman" w:cs="Times New Roman"/>
                <w:color w:val="000000"/>
                <w:sz w:val="20"/>
                <w:szCs w:val="20"/>
              </w:rPr>
              <w:fldChar w:fldCharType="end"/>
            </w:r>
          </w:p>
        </w:tc>
      </w:tr>
      <w:tr w:rsidR="00680087" w:rsidRPr="00005F1A" w14:paraId="3A98699A"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1CEB0A3" w14:textId="59A991CA"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31.2,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31.2</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5B40C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0.80, 0.40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D194F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4BE2A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4304B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197D40"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E6AD0E"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89E3C0" w14:textId="594AE818"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F32BB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12770</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1EE10C0F" w14:textId="729134F3" w:rsidR="008977BA" w:rsidRPr="00FD2BBD" w:rsidRDefault="008977BA" w:rsidP="005C360D">
            <w:pPr>
              <w:jc w:val="center"/>
              <w:rPr>
                <w:rFonts w:ascii="Times New Roman" w:eastAsia="Yu Gothic" w:hAnsi="Times New Roman" w:cs="Times New Roman"/>
                <w:color w:val="000000"/>
                <w:sz w:val="20"/>
                <w:szCs w:val="20"/>
              </w:rPr>
            </w:pPr>
            <w:r w:rsidRPr="00A173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{"citationID":"Q3VYRcaF","properties":{"formattedCitation":"(Emerson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A173B1">
              <w:rPr>
                <w:rFonts w:ascii="Times New Roman" w:eastAsia="Yu Gothic" w:hAnsi="Times New Roman" w:cs="Times New Roman"/>
                <w:color w:val="000000"/>
                <w:sz w:val="20"/>
                <w:szCs w:val="20"/>
              </w:rPr>
              <w:fldChar w:fldCharType="separate"/>
            </w:r>
            <w:r w:rsidRPr="00A173B1">
              <w:rPr>
                <w:rFonts w:ascii="Times New Roman" w:eastAsia="Yu Gothic" w:hAnsi="Times New Roman" w:cs="Times New Roman"/>
                <w:noProof/>
                <w:color w:val="000000"/>
                <w:sz w:val="20"/>
                <w:szCs w:val="20"/>
              </w:rPr>
              <w:t>Emerson and Yang (2022)</w:t>
            </w:r>
            <w:r w:rsidRPr="00A173B1">
              <w:rPr>
                <w:rFonts w:ascii="Times New Roman" w:eastAsia="Yu Gothic" w:hAnsi="Times New Roman" w:cs="Times New Roman"/>
                <w:color w:val="000000"/>
                <w:sz w:val="20"/>
                <w:szCs w:val="20"/>
              </w:rPr>
              <w:fldChar w:fldCharType="end"/>
            </w:r>
          </w:p>
        </w:tc>
      </w:tr>
      <w:tr w:rsidR="00680087" w:rsidRPr="00005F1A" w14:paraId="685D9F8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76DBF09" w14:textId="642DD9F4"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32.7,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32.7</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46766A" w14:textId="4E0F4C24"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0.50, 0.40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39988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69E1D1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CF846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6165979"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7367C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61EC14" w14:textId="3BE8ED80"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AA957B"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6963</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6355DD6" w14:textId="47A94138" w:rsidR="008977BA" w:rsidRPr="00FD2BBD" w:rsidRDefault="008977BA" w:rsidP="005C360D">
            <w:pPr>
              <w:jc w:val="center"/>
              <w:rPr>
                <w:rFonts w:ascii="Times New Roman" w:eastAsia="Yu Gothic" w:hAnsi="Times New Roman" w:cs="Times New Roman"/>
                <w:color w:val="000000"/>
                <w:sz w:val="20"/>
                <w:szCs w:val="20"/>
              </w:rPr>
            </w:pPr>
            <w:r w:rsidRPr="00A173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{"citationID":"1dL2eJC0","properties":{"formattedCitation":"(Emerson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A173B1">
              <w:rPr>
                <w:rFonts w:ascii="Times New Roman" w:eastAsia="Yu Gothic" w:hAnsi="Times New Roman" w:cs="Times New Roman"/>
                <w:color w:val="000000"/>
                <w:sz w:val="20"/>
                <w:szCs w:val="20"/>
              </w:rPr>
              <w:fldChar w:fldCharType="separate"/>
            </w:r>
            <w:r w:rsidRPr="00A173B1">
              <w:rPr>
                <w:rFonts w:ascii="Times New Roman" w:eastAsia="Yu Gothic" w:hAnsi="Times New Roman" w:cs="Times New Roman"/>
                <w:noProof/>
                <w:color w:val="000000"/>
                <w:sz w:val="20"/>
                <w:szCs w:val="20"/>
              </w:rPr>
              <w:t>Emerson and Yang (2022)</w:t>
            </w:r>
            <w:r w:rsidRPr="00A173B1">
              <w:rPr>
                <w:rFonts w:ascii="Times New Roman" w:eastAsia="Yu Gothic" w:hAnsi="Times New Roman" w:cs="Times New Roman"/>
                <w:color w:val="000000"/>
                <w:sz w:val="20"/>
                <w:szCs w:val="20"/>
              </w:rPr>
              <w:fldChar w:fldCharType="end"/>
            </w:r>
          </w:p>
        </w:tc>
      </w:tr>
      <w:tr w:rsidR="00680087" w:rsidRPr="00005F1A" w14:paraId="2BB3B924"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E9A1B97" w14:textId="09D38346"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33.1, </w:t>
            </w: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33.1</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21218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0.70, 0.00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1048A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C01E3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54CF6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A5293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2BD104"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FE67B6" w14:textId="125FCC8E"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DD821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12383</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FD579F0" w14:textId="4337CD3F" w:rsidR="008977BA" w:rsidRPr="00FD2BBD" w:rsidRDefault="008977BA" w:rsidP="005C360D">
            <w:pPr>
              <w:jc w:val="center"/>
              <w:rPr>
                <w:rFonts w:ascii="Times New Roman" w:eastAsia="Yu Gothic" w:hAnsi="Times New Roman" w:cs="Times New Roman"/>
                <w:color w:val="000000"/>
                <w:sz w:val="20"/>
                <w:szCs w:val="20"/>
              </w:rPr>
            </w:pPr>
            <w:r w:rsidRPr="00A173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{"citationID":"Mib3rcO1","properties":{"formattedCitation":"(Emerson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A173B1">
              <w:rPr>
                <w:rFonts w:ascii="Times New Roman" w:eastAsia="Yu Gothic" w:hAnsi="Times New Roman" w:cs="Times New Roman"/>
                <w:color w:val="000000"/>
                <w:sz w:val="20"/>
                <w:szCs w:val="20"/>
              </w:rPr>
              <w:fldChar w:fldCharType="separate"/>
            </w:r>
            <w:r w:rsidRPr="00A173B1">
              <w:rPr>
                <w:rFonts w:ascii="Times New Roman" w:eastAsia="Yu Gothic" w:hAnsi="Times New Roman" w:cs="Times New Roman"/>
                <w:noProof/>
                <w:color w:val="000000"/>
                <w:sz w:val="20"/>
                <w:szCs w:val="20"/>
              </w:rPr>
              <w:t>Emerson and Yang (2022)</w:t>
            </w:r>
            <w:r w:rsidRPr="00A173B1">
              <w:rPr>
                <w:rFonts w:ascii="Times New Roman" w:eastAsia="Yu Gothic" w:hAnsi="Times New Roman" w:cs="Times New Roman"/>
                <w:color w:val="000000"/>
                <w:sz w:val="20"/>
                <w:szCs w:val="20"/>
              </w:rPr>
              <w:fldChar w:fldCharType="end"/>
            </w:r>
          </w:p>
        </w:tc>
      </w:tr>
      <w:tr w:rsidR="00680087" w:rsidRPr="00005F1A" w14:paraId="4C542935"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A180E2D" w14:textId="003718F0"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33.5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E4AEDC" w14:textId="5CC46F40" w:rsidR="008977BA" w:rsidRPr="00FD2BBD" w:rsidRDefault="003567FE" w:rsidP="008977BA">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8977BA" w:rsidRPr="00FD2BBD">
              <w:rPr>
                <w:rFonts w:ascii="Times New Roman" w:eastAsia="Yu Gothic" w:hAnsi="Times New Roman" w:cs="Times New Roman"/>
                <w:color w:val="000000"/>
                <w:sz w:val="20"/>
                <w:szCs w:val="20"/>
              </w:rPr>
              <w:t xml:space="preserve">0.30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1517F3"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4479A8"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FBD43C"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09D01A"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8121CD"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FAA3B1" w14:textId="76ECCFB4"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669EA1" w14:textId="77777777" w:rsidR="008977BA" w:rsidRPr="00FD2BBD" w:rsidRDefault="008977BA" w:rsidP="008977B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12374</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CE084D0" w14:textId="4EC9C3CD" w:rsidR="008977BA" w:rsidRPr="00FD2BBD" w:rsidRDefault="008977BA" w:rsidP="005C360D">
            <w:pPr>
              <w:jc w:val="center"/>
              <w:rPr>
                <w:rFonts w:ascii="Times New Roman" w:eastAsia="Yu Gothic" w:hAnsi="Times New Roman" w:cs="Times New Roman"/>
                <w:color w:val="000000"/>
                <w:sz w:val="20"/>
                <w:szCs w:val="20"/>
              </w:rPr>
            </w:pPr>
            <w:r w:rsidRPr="00A173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{"citationID":"q2bBHKpa","properties":{"formattedCitation":"(Emerson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A173B1">
              <w:rPr>
                <w:rFonts w:ascii="Times New Roman" w:eastAsia="Yu Gothic" w:hAnsi="Times New Roman" w:cs="Times New Roman"/>
                <w:color w:val="000000"/>
                <w:sz w:val="20"/>
                <w:szCs w:val="20"/>
              </w:rPr>
              <w:fldChar w:fldCharType="separate"/>
            </w:r>
            <w:r w:rsidRPr="00A173B1">
              <w:rPr>
                <w:rFonts w:ascii="Times New Roman" w:eastAsia="Yu Gothic" w:hAnsi="Times New Roman" w:cs="Times New Roman"/>
                <w:noProof/>
                <w:color w:val="000000"/>
                <w:sz w:val="20"/>
                <w:szCs w:val="20"/>
              </w:rPr>
              <w:t>Emerson and Yang (2022)</w:t>
            </w:r>
            <w:r w:rsidRPr="00A173B1">
              <w:rPr>
                <w:rFonts w:ascii="Times New Roman" w:eastAsia="Yu Gothic" w:hAnsi="Times New Roman" w:cs="Times New Roman"/>
                <w:color w:val="000000"/>
                <w:sz w:val="20"/>
                <w:szCs w:val="20"/>
              </w:rPr>
              <w:fldChar w:fldCharType="end"/>
            </w:r>
          </w:p>
        </w:tc>
      </w:tr>
      <w:tr w:rsidR="00680087" w:rsidRPr="00005F1A" w14:paraId="0A429DFE"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D3C2FDC"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04DDDD"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C06A69"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BF130A"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Halocline</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4A38C2"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r w:rsidRPr="00FD2BBD">
              <w:rPr>
                <w:rFonts w:ascii="Times New Roman" w:eastAsia="Yu Gothic" w:hAnsi="Times New Roman" w:cs="Times New Roman"/>
                <w:color w:val="000000"/>
                <w:sz w:val="20"/>
                <w:szCs w:val="20"/>
              </w:rPr>
              <w:t>, N</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7020F3"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ACE623"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05C113" w14:textId="75E9125D"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1987</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1988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CCF98D"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E8E759C" w14:textId="3E5F0E11" w:rsidR="00005F1A" w:rsidRPr="00FD2BBD" w:rsidRDefault="008977BA"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995FE9">
              <w:rPr>
                <w:rFonts w:ascii="Times New Roman" w:eastAsia="Yu Gothic" w:hAnsi="Times New Roman" w:cs="Times New Roman"/>
                <w:color w:val="000000"/>
                <w:sz w:val="20"/>
                <w:szCs w:val="20"/>
              </w:rPr>
              <w:instrText xml:space="preserve"> ADDIN ZOTERO_ITEM CSL_CITATION {"citationID":"gHNPgf8T","properties":{"formattedCitation":"(Emerson et al. 1991)","plainCitation":"(Emerson et al. 1991)","dontUpdate":true,"noteIndex":0},"citationItems":[{"id":2474,"uris":["http://zotero.org/users/7846282/items/NXNZTTVI"],"itemData":{"id":2474,"type":"article-journal","abstract":"Distributions of oxygen, argon, nitrogen, and radon in the upper ocean of the subarctic Pacific distinguish the fluxes controlling the oxygen mass balance during the summers of 1987 and 1988. The difference between the net O2 flux (in mmol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d</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to the atmosphere via gas exchange (32) and the integrated decrease with time (</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 xml:space="preserve">14) is balanced by biological production (13-17), air injection by bubble entrainment (5), and O2 flux to the thermocline </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(0-4). Nitrogen/argon and oxygen/argon ratios reveal that ˜15% of the oxygen supersaturation in summer is produced by air injection and ˜40% by biological production, with the rest induced by surface water warming. Our estimate of biologically induced oxygen production when translated stoichiometrically to nitrogen uptake agrees to within error estimates with both the particulate and dissolved nitrogen mass balances for the upper ocean determined in the SUPER program during the same time period. The oxygen mass balance requires a net carbon production in the euphotic zone of ˜140 mg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d</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 xml:space="preserve">1 (PQ=1.5), which is 20–30% of the level of 14C primary production determined by SUPER investigators.","container-title":"Global Biogeochemical Cycles","DOI":"10.1029/90GB02656","ISSN":"1944-9224","issue":"1","language":"en","license":"Copyright 1991 by the American Geophysical Union.","note":"_eprint: https://onlinelibrary.wiley.com/doi/pdf/10.1029/90GB02656","page":"49-69","source":"Wiley Online Library","title":"O2, Ar, N2, and 222Rn in surface waters of the subarctic Ocean: Net biological O2 production","title-short":"O2, Ar, N2, and 222Rn in surface waters of the subarctic Ocean","volume":"5","author":[{"family":"Emerson","given":"Steven"},{"family":"Quay","given":"Paul"},{"family":"Stump","given":"Charles"},{"family":"Wilbur","given":"David"},{"family":"Knox","given":"Molly"}],"issued":{"date-parts":[["1991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 xml:space="preserve">Emerson et al. </w:t>
            </w:r>
            <w:r w:rsidR="00327CB1">
              <w:rPr>
                <w:rFonts w:ascii="Times New Roman" w:eastAsia="Yu Gothic" w:hAnsi="Times New Roman" w:cs="Times New Roman"/>
                <w:noProof/>
                <w:color w:val="000000"/>
                <w:sz w:val="20"/>
                <w:szCs w:val="20"/>
              </w:rPr>
              <w:t>(</w:t>
            </w:r>
            <w:r>
              <w:rPr>
                <w:rFonts w:ascii="Times New Roman" w:eastAsia="Yu Gothic" w:hAnsi="Times New Roman" w:cs="Times New Roman"/>
                <w:noProof/>
                <w:color w:val="000000"/>
                <w:sz w:val="20"/>
                <w:szCs w:val="20"/>
              </w:rPr>
              <w:t>1991)</w:t>
            </w:r>
            <w:r>
              <w:rPr>
                <w:rFonts w:ascii="Times New Roman" w:eastAsia="Yu Gothic" w:hAnsi="Times New Roman" w:cs="Times New Roman"/>
                <w:color w:val="000000"/>
                <w:sz w:val="20"/>
                <w:szCs w:val="20"/>
              </w:rPr>
              <w:fldChar w:fldCharType="end"/>
            </w:r>
          </w:p>
        </w:tc>
      </w:tr>
      <w:tr w:rsidR="00680087" w:rsidRPr="00005F1A" w14:paraId="2B772028"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60784CE"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7ECD45"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95A244"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0.90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7EC825"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D10B2F"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DIC </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A6D872"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CA8D78"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A1F867" w14:textId="0972823C"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1990</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FC37005"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7AD392C" w14:textId="0EFE4062" w:rsidR="008229C7" w:rsidRPr="00FD2BBD" w:rsidRDefault="008229C7" w:rsidP="005C360D">
            <w:pPr>
              <w:jc w:val="center"/>
              <w:rPr>
                <w:rFonts w:ascii="Times New Roman" w:eastAsia="Yu Gothic" w:hAnsi="Times New Roman" w:cs="Times New Roman"/>
                <w:color w:val="000000"/>
                <w:sz w:val="20"/>
                <w:szCs w:val="20"/>
              </w:rPr>
            </w:pPr>
            <w:r w:rsidRPr="00BC011C">
              <w:rPr>
                <w:rFonts w:ascii="Times New Roman" w:eastAsia="Yu Gothic" w:hAnsi="Times New Roman" w:cs="Times New Roman"/>
                <w:color w:val="000000"/>
                <w:sz w:val="20"/>
                <w:szCs w:val="20"/>
              </w:rPr>
              <w:fldChar w:fldCharType="begin"/>
            </w:r>
            <w:r w:rsidR="00995FE9">
              <w:rPr>
                <w:rFonts w:ascii="Times New Roman" w:eastAsia="Yu Gothic" w:hAnsi="Times New Roman" w:cs="Times New Roman"/>
                <w:color w:val="000000"/>
                <w:sz w:val="20"/>
                <w:szCs w:val="20"/>
              </w:rPr>
              <w:instrText xml:space="preserve"> ADDIN ZOTERO_ITEM CSL_CITATION {"citationID":"9NZJI8d9","properties":{"formattedCitation":"(Emerson et al. 1997)","plainCitation":"(Emerson et al. 1997)","dontUpdate":true,"noteIndex":0},"citationItems":[{"id":2489,"uris":["http://zotero.org/users/7846282/items/P8HA6H2W"],"itemData":{"id":2489,"type":"article-journal","abstract":"The flux of biologically produced organic carbon from the euphotic zone of the ocean to the deep waters below—the ‘biological organic carbon pump’—is one of the main controls on the carbon dioxide partial pressure in the atmosphere1. Accurate determination of this flux is therefore critically important for understanding the global carbon cycle and its response to climate change. Our goal is to assess how accurately the biological organic carbon pump can be determined at a single location and to constrain estimates of the global value. As there are no standards against which such environmental fluxes can be measured, we assess accuracy by comparing results from three independent experimental approaches for measuring the net annual export of organic carbon from the euphotic zone in the subtropical North Pacific Ocean near Hawaii. Mass balances of dissolved oxygen, inorganic carbon and organic carbon yield estimates of the organic carbon export flux of 2.7 ± 1.7, 1.6 ± 0.9 and 2.0 ± 0.9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respectively. These three estimates are not significantly different, and establish the present analytically attainable accuracy at this location to be about ±50%. If 2.0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 xml:space="preserve">1 is typical of the organic carbon export flux in the subtropical ocean, then this vast region, often considered to be a biological desert, may be responsible for up to half of the global-ocean biological organic carbon pump.","container-title":"Nature","DOI":"10.1038/40111","ISSN":"1476-4687","issue":"6654","language":"en","license":"1997 Macmillan Magazines Ltd.","note":"number: 6654\npublisher: Nature Publishing Group","page":"951-954","source":"www.nature.com","title":"Experimental determination of the organic carbon flux from open-ocean surface waters","volume":"389","author":[{"family":"Emerson","given":"S."},{"family":"Quay","given":"P."},{"family":"Karl","given":"D."},{"family":"Winn","given":"C."},{"family":"Tupas","given":"L."},{"family":"Landry","given":"M."}],"issued":{"date-parts":[["1997",10]]}}}],"schema":"https://github.com/citation-style-language/schema/raw/master/csl-citation.json"} </w:instrText>
            </w:r>
            <w:r w:rsidRPr="00BC011C">
              <w:rPr>
                <w:rFonts w:ascii="Times New Roman" w:eastAsia="Yu Gothic" w:hAnsi="Times New Roman" w:cs="Times New Roman"/>
                <w:color w:val="000000"/>
                <w:sz w:val="20"/>
                <w:szCs w:val="20"/>
              </w:rPr>
              <w:fldChar w:fldCharType="separate"/>
            </w:r>
            <w:r w:rsidRPr="00BC011C">
              <w:rPr>
                <w:rFonts w:ascii="Times New Roman" w:eastAsia="Yu Gothic" w:hAnsi="Times New Roman" w:cs="Times New Roman"/>
                <w:noProof/>
                <w:color w:val="000000"/>
                <w:sz w:val="20"/>
                <w:szCs w:val="20"/>
              </w:rPr>
              <w:t xml:space="preserve">Emerson et al. </w:t>
            </w:r>
            <w:r w:rsidR="00327CB1">
              <w:rPr>
                <w:rFonts w:ascii="Times New Roman" w:eastAsia="Yu Gothic" w:hAnsi="Times New Roman" w:cs="Times New Roman"/>
                <w:noProof/>
                <w:color w:val="000000"/>
                <w:sz w:val="20"/>
                <w:szCs w:val="20"/>
              </w:rPr>
              <w:t>(</w:t>
            </w:r>
            <w:r w:rsidRPr="00BC011C">
              <w:rPr>
                <w:rFonts w:ascii="Times New Roman" w:eastAsia="Yu Gothic" w:hAnsi="Times New Roman" w:cs="Times New Roman"/>
                <w:noProof/>
                <w:color w:val="000000"/>
                <w:sz w:val="20"/>
                <w:szCs w:val="20"/>
              </w:rPr>
              <w:t>1997)</w:t>
            </w:r>
            <w:r w:rsidRPr="00BC011C">
              <w:rPr>
                <w:rFonts w:ascii="Times New Roman" w:eastAsia="Yu Gothic" w:hAnsi="Times New Roman" w:cs="Times New Roman"/>
                <w:color w:val="000000"/>
                <w:sz w:val="20"/>
                <w:szCs w:val="20"/>
              </w:rPr>
              <w:fldChar w:fldCharType="end"/>
            </w:r>
          </w:p>
        </w:tc>
      </w:tr>
      <w:tr w:rsidR="00680087" w:rsidRPr="00005F1A" w14:paraId="5FB83688"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DFDFF46"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36F3AE"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2F061E"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0.90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0A97AB"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69751B"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BE5B8F"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CB531D"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407B64" w14:textId="08FAE26F"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1990</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CA8ED6"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4D6639B" w14:textId="2E82A294" w:rsidR="008229C7" w:rsidRPr="00FD2BBD" w:rsidRDefault="008229C7" w:rsidP="005C360D">
            <w:pPr>
              <w:jc w:val="center"/>
              <w:rPr>
                <w:rFonts w:ascii="Times New Roman" w:eastAsia="Yu Gothic" w:hAnsi="Times New Roman" w:cs="Times New Roman"/>
                <w:color w:val="000000"/>
                <w:sz w:val="20"/>
                <w:szCs w:val="20"/>
              </w:rPr>
            </w:pPr>
            <w:r w:rsidRPr="00BC011C">
              <w:rPr>
                <w:rFonts w:ascii="Times New Roman" w:eastAsia="Yu Gothic" w:hAnsi="Times New Roman" w:cs="Times New Roman"/>
                <w:color w:val="000000"/>
                <w:sz w:val="20"/>
                <w:szCs w:val="20"/>
              </w:rPr>
              <w:fldChar w:fldCharType="begin"/>
            </w:r>
            <w:r w:rsidR="00995FE9">
              <w:rPr>
                <w:rFonts w:ascii="Times New Roman" w:eastAsia="Yu Gothic" w:hAnsi="Times New Roman" w:cs="Times New Roman"/>
                <w:color w:val="000000"/>
                <w:sz w:val="20"/>
                <w:szCs w:val="20"/>
              </w:rPr>
              <w:instrText xml:space="preserve"> ADDIN ZOTERO_ITEM CSL_CITATION {"citationID":"N5EVaq8l","properties":{"formattedCitation":"(Emerson et al. 1997)","plainCitation":"(Emerson et al. 1997)","dontUpdate":true,"noteIndex":0},"citationItems":[{"id":2489,"uris":["http://zotero.org/users/7846282/items/P8HA6H2W"],"itemData":{"id":2489,"type":"article-journal","abstract":"The flux of biologically produced organic carbon from the euphotic zone of the ocean to the deep waters below—the ‘biological organic carbon pump’—is one of the main controls on the carbon dioxide partial pressure in the atmosphere1. Accurate determination of this flux is therefore critically important for understanding the global carbon cycle and its response to climate change. Our goal is to assess how accurately the biological organic carbon pump can be determined at a single location and to constrain estimates of the global value. As there are no standards against which such environmental fluxes can be measured, we assess accuracy by comparing results from three independent experimental approaches for measuring the net annual export of organic carbon from the euphotic zone in the subtropical North Pacific Ocean near Hawaii. Mass balances of dissolved oxygen, inorganic carbon and organic carbon yield estimates of the organic carbon export flux of 2.7 ± 1.7, 1.6 ± 0.9 and 2.0 ± 0.9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respectively. These three estimates are not significantly different, and establish the present analytically attainable accuracy at this location to be about ±50%. If 2.0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 xml:space="preserve">1 is typical of the organic carbon export flux in the subtropical ocean, then this vast region, often considered to be a biological desert, may be responsible for up to half of the global-ocean biological organic carbon pump.","container-title":"Nature","DOI":"10.1038/40111","ISSN":"1476-4687","issue":"6654","language":"en","license":"1997 Macmillan Magazines Ltd.","note":"number: 6654\npublisher: Nature Publishing Group","page":"951-954","source":"www.nature.com","title":"Experimental determination of the organic carbon flux from open-ocean surface waters","volume":"389","author":[{"family":"Emerson","given":"S."},{"family":"Quay","given":"P."},{"family":"Karl","given":"D."},{"family":"Winn","given":"C."},{"family":"Tupas","given":"L."},{"family":"Landry","given":"M."}],"issued":{"date-parts":[["1997",10]]}}}],"schema":"https://github.com/citation-style-language/schema/raw/master/csl-citation.json"} </w:instrText>
            </w:r>
            <w:r w:rsidRPr="00BC011C">
              <w:rPr>
                <w:rFonts w:ascii="Times New Roman" w:eastAsia="Yu Gothic" w:hAnsi="Times New Roman" w:cs="Times New Roman"/>
                <w:color w:val="000000"/>
                <w:sz w:val="20"/>
                <w:szCs w:val="20"/>
              </w:rPr>
              <w:fldChar w:fldCharType="separate"/>
            </w:r>
            <w:r w:rsidRPr="00BC011C">
              <w:rPr>
                <w:rFonts w:ascii="Times New Roman" w:eastAsia="Yu Gothic" w:hAnsi="Times New Roman" w:cs="Times New Roman"/>
                <w:noProof/>
                <w:color w:val="000000"/>
                <w:sz w:val="20"/>
                <w:szCs w:val="20"/>
              </w:rPr>
              <w:t xml:space="preserve">Emerson et al. </w:t>
            </w:r>
            <w:r w:rsidR="00327CB1">
              <w:rPr>
                <w:rFonts w:ascii="Times New Roman" w:eastAsia="Yu Gothic" w:hAnsi="Times New Roman" w:cs="Times New Roman"/>
                <w:noProof/>
                <w:color w:val="000000"/>
                <w:sz w:val="20"/>
                <w:szCs w:val="20"/>
              </w:rPr>
              <w:t>(</w:t>
            </w:r>
            <w:r w:rsidRPr="00BC011C">
              <w:rPr>
                <w:rFonts w:ascii="Times New Roman" w:eastAsia="Yu Gothic" w:hAnsi="Times New Roman" w:cs="Times New Roman"/>
                <w:noProof/>
                <w:color w:val="000000"/>
                <w:sz w:val="20"/>
                <w:szCs w:val="20"/>
              </w:rPr>
              <w:t>1997)</w:t>
            </w:r>
            <w:r w:rsidRPr="00BC011C">
              <w:rPr>
                <w:rFonts w:ascii="Times New Roman" w:eastAsia="Yu Gothic" w:hAnsi="Times New Roman" w:cs="Times New Roman"/>
                <w:color w:val="000000"/>
                <w:sz w:val="20"/>
                <w:szCs w:val="20"/>
              </w:rPr>
              <w:fldChar w:fldCharType="end"/>
            </w:r>
          </w:p>
        </w:tc>
      </w:tr>
      <w:tr w:rsidR="00680087" w:rsidRPr="00005F1A" w14:paraId="0868229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62BDA67"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6688BE"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98CD5E"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1.70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0B8204"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879864"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EDEBFF"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839443"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DBD909" w14:textId="1BCD7D5D"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1990</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21EA23" w14:textId="77777777" w:rsidR="008229C7" w:rsidRPr="00FD2BBD" w:rsidRDefault="008229C7" w:rsidP="008229C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1201F93" w14:textId="612AD41C" w:rsidR="008229C7" w:rsidRPr="00FD2BBD" w:rsidRDefault="008229C7" w:rsidP="005C360D">
            <w:pPr>
              <w:jc w:val="center"/>
              <w:rPr>
                <w:rFonts w:ascii="Times New Roman" w:eastAsia="Yu Gothic" w:hAnsi="Times New Roman" w:cs="Times New Roman"/>
                <w:color w:val="000000"/>
                <w:sz w:val="20"/>
                <w:szCs w:val="20"/>
              </w:rPr>
            </w:pPr>
            <w:r w:rsidRPr="00BC011C">
              <w:rPr>
                <w:rFonts w:ascii="Times New Roman" w:eastAsia="Yu Gothic" w:hAnsi="Times New Roman" w:cs="Times New Roman"/>
                <w:color w:val="000000"/>
                <w:sz w:val="20"/>
                <w:szCs w:val="20"/>
              </w:rPr>
              <w:fldChar w:fldCharType="begin"/>
            </w:r>
            <w:r w:rsidR="00995FE9">
              <w:rPr>
                <w:rFonts w:ascii="Times New Roman" w:eastAsia="Yu Gothic" w:hAnsi="Times New Roman" w:cs="Times New Roman"/>
                <w:color w:val="000000"/>
                <w:sz w:val="20"/>
                <w:szCs w:val="20"/>
              </w:rPr>
              <w:instrText xml:space="preserve"> ADDIN ZOTERO_ITEM CSL_CITATION {"citationID":"lCmSVuFh","properties":{"formattedCitation":"(Emerson et al. 1997)","plainCitation":"(Emerson et al. 1997)","dontUpdate":true,"noteIndex":0},"citationItems":[{"id":2489,"uris":["http://zotero.org/users/7846282/items/P8HA6H2W"],"itemData":{"id":2489,"type":"article-journal","abstract":"The flux of biologically produced organic carbon from the euphotic zone of the ocean to the deep waters below—the ‘biological organic carbon pump’—is one of the main controls on the carbon dioxide partial pressure in the atmosphere1. Accurate determination of this flux is therefore critically important for understanding the global carbon cycle and its response to climate change. Our goal is to assess how accurately the biological organic carbon pump can be determined at a single location and to constrain estimates of the global value. As there are no standards against which such environmental fluxes can be measured, we assess accuracy by comparing results from three independent experimental approaches for measuring the net annual export of organic carbon from the euphotic zone in the subtropical North Pacific Ocean near Hawaii. Mass balances of dissolved oxygen, inorganic carbon and organic carbon yield estimates of the organic carbon export flux of 2.7 ± 1.7, 1.6 ± 0.9 and 2.0 ± 0.9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respectively. These three estimates are not significantly different, and establish the present analytically attainable accuracy at this location to be about ±50%. If 2.0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 xml:space="preserve">1 is typical of the organic carbon export flux in the subtropical ocean, then this vast region, often considered to be a biological desert, may be responsible for up to half of the global-ocean biological organic carbon pump.","container-title":"Nature","DOI":"10.1038/40111","ISSN":"1476-4687","issue":"6654","language":"en","license":"1997 Macmillan Magazines Ltd.","note":"number: 6654\npublisher: Nature Publishing Group","page":"951-954","source":"www.nature.com","title":"Experimental determination of the organic carbon flux from open-ocean surface waters","volume":"389","author":[{"family":"Emerson","given":"S."},{"family":"Quay","given":"P."},{"family":"Karl","given":"D."},{"family":"Winn","given":"C."},{"family":"Tupas","given":"L."},{"family":"Landry","given":"M."}],"issued":{"date-parts":[["1997",10]]}}}],"schema":"https://github.com/citation-style-language/schema/raw/master/csl-citation.json"} </w:instrText>
            </w:r>
            <w:r w:rsidRPr="00BC011C">
              <w:rPr>
                <w:rFonts w:ascii="Times New Roman" w:eastAsia="Yu Gothic" w:hAnsi="Times New Roman" w:cs="Times New Roman"/>
                <w:color w:val="000000"/>
                <w:sz w:val="20"/>
                <w:szCs w:val="20"/>
              </w:rPr>
              <w:fldChar w:fldCharType="separate"/>
            </w:r>
            <w:r w:rsidRPr="00BC011C">
              <w:rPr>
                <w:rFonts w:ascii="Times New Roman" w:eastAsia="Yu Gothic" w:hAnsi="Times New Roman" w:cs="Times New Roman"/>
                <w:noProof/>
                <w:color w:val="000000"/>
                <w:sz w:val="20"/>
                <w:szCs w:val="20"/>
              </w:rPr>
              <w:t xml:space="preserve">Emerson et al. </w:t>
            </w:r>
            <w:r w:rsidR="00327CB1">
              <w:rPr>
                <w:rFonts w:ascii="Times New Roman" w:eastAsia="Yu Gothic" w:hAnsi="Times New Roman" w:cs="Times New Roman"/>
                <w:noProof/>
                <w:color w:val="000000"/>
                <w:sz w:val="20"/>
                <w:szCs w:val="20"/>
              </w:rPr>
              <w:t>(</w:t>
            </w:r>
            <w:r w:rsidRPr="00BC011C">
              <w:rPr>
                <w:rFonts w:ascii="Times New Roman" w:eastAsia="Yu Gothic" w:hAnsi="Times New Roman" w:cs="Times New Roman"/>
                <w:noProof/>
                <w:color w:val="000000"/>
                <w:sz w:val="20"/>
                <w:szCs w:val="20"/>
              </w:rPr>
              <w:t>1997)</w:t>
            </w:r>
            <w:r w:rsidRPr="00BC011C">
              <w:rPr>
                <w:rFonts w:ascii="Times New Roman" w:eastAsia="Yu Gothic" w:hAnsi="Times New Roman" w:cs="Times New Roman"/>
                <w:color w:val="000000"/>
                <w:sz w:val="20"/>
                <w:szCs w:val="20"/>
              </w:rPr>
              <w:fldChar w:fldCharType="end"/>
            </w:r>
          </w:p>
        </w:tc>
      </w:tr>
      <w:tr w:rsidR="00680087" w:rsidRPr="00005F1A" w14:paraId="1BD18C9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88FADF6"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117C59"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DC5532"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1.86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BD4A76"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DE6EE7"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516C2F"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B01FDE"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Mooring</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C3447E"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275C22" w14:textId="77777777" w:rsidR="00005F1A" w:rsidRPr="00FD2BBD" w:rsidRDefault="00005F1A" w:rsidP="00005F1A">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B064D55" w14:textId="16F92F52" w:rsidR="00005F1A" w:rsidRPr="00FD2BBD" w:rsidRDefault="008229C7" w:rsidP="005C360D">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995FE9">
              <w:rPr>
                <w:rFonts w:ascii="Times New Roman" w:eastAsia="Yu Gothic" w:hAnsi="Times New Roman" w:cs="Times New Roman"/>
                <w:color w:val="000000"/>
                <w:sz w:val="20"/>
                <w:szCs w:val="20"/>
              </w:rPr>
              <w:instrText xml:space="preserve"> ADDIN ZOTERO_ITEM CSL_CITATION {"citationID":"ohlthTzM","properties":{"formattedCitation":"(Emerson et al. 2008)","plainCitation":"(Emerson et al. 2008)","dontUpdate":true,"noteIndex":0},"citationItems":[{"id":2348,"uris":["http://zotero.org/users/7846282/items/SK8CXXKQ"],"itemData":{"id":2348,"type":"article-journal","abstract":"We describe a method for determining net annual biological oxygen production in the euphotic zone of the ocean using remote in situ measurements of oxygen and nitrogen gas. Temperature, salinity, oxygen, and total dissolved gas pressure were measured every 2 hours at 10-m depth on a mooring at the Hawaii Ocean time series during the year 2005. Since dissolved N2 is effectively inert to biological processes it can be used as a tracer for the physical mechanisms affecting the O2 concentration in an upper ocean model of gas concentrations. We determine a net biological oxygen production in the surface mixed layer of 4.8 ± 2.7 mol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The most important term in the mixed-layer mass balance other than biological oxygen production is the flux of oxygen across the air–water interface to the atmosphere. Simultaneous glider surveys of the O2 field measured in a companion paper (Nicholson et al., 2008) yield net biological oxygen production below the mixed layer of 0.9 ± 0.1 mol O2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The upper-ocean mass balance also includes a potential contribution from diapycnal mixing of O2 into the pycnocline of 0–0.8 mol O2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1. Assuming that the net biological oxygen production over a period of a year or longer is stoichiometrically related to net biological carbon production and export via ΔO2/ΔC = 1.45, the biological carbon flux from the euphotic zone at HOT is 4.1 ± 1.9 mol C m</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2 yr</w:instrText>
            </w:r>
            <w:r w:rsidR="00995FE9">
              <w:rPr>
                <w:rFonts w:ascii="Times New Roman" w:eastAsia="Yu Gothic" w:hAnsi="Times New Roman" w:cs="Times New Roman" w:hint="eastAsia"/>
                <w:color w:val="000000"/>
                <w:sz w:val="20"/>
                <w:szCs w:val="20"/>
              </w:rPr>
              <w:instrText>−</w:instrText>
            </w:r>
            <w:r w:rsidR="00995FE9">
              <w:rPr>
                <w:rFonts w:ascii="Times New Roman" w:eastAsia="Yu Gothic" w:hAnsi="Times New Roman" w:cs="Times New Roman"/>
                <w:color w:val="000000"/>
                <w:sz w:val="20"/>
                <w:szCs w:val="20"/>
              </w:rPr>
              <w:instrText xml:space="preserve">1 in 2005, with roughly 80% of the carbon production originating in the mixed layer. Annual estimates of this flux (the ocean's “biological carbon pump”) have been determined experimentally in only a few locations of the ocean because of the labor and expense involved in repeated ship board measurements. With this new in situ method, it may now be possible to better quantify the global distribution of the net annual biological carbon export, a prominent mechanism of carbon cycle feedback in response to climate change, both in the past and future.","container-title":"Global Biogeochemical Cycles","DOI":"10.1029/2007GB003095","ISSN":"1944-9224","issue":"3","language":"en","license":"Copyright 2008 by the American Geophysical Union.","note":"_eprint: https://onlinelibrary.wiley.com/doi/pdf/10.1029/2007GB003095","source":"Wiley Online Library","title":"Net biological oxygen production in the ocean: Remote in situ measurements of O2 and N2 in surface waters","title-short":"Net biological oxygen production in the ocean","URL":"https://onlinelibrary.wiley.com/doi/abs/10.1029/2007GB003095","volume":"22","author":[{"family":"Emerson","given":"Steven"},{"family":"Stump","given":"Charles"},{"family":"Nicholson","given":"David"}],"accessed":{"date-parts":[["2023",6,9]]},"issued":{"date-parts":[["2008"]]}}}],"schema":"https://github.com/citation-style-language/schema/raw/master/csl-citation.json"} </w:instrText>
            </w:r>
            <w:r>
              <w:rPr>
                <w:rFonts w:ascii="Times New Roman" w:eastAsia="Yu Gothic" w:hAnsi="Times New Roman" w:cs="Times New Roman"/>
                <w:color w:val="000000"/>
                <w:sz w:val="20"/>
                <w:szCs w:val="20"/>
              </w:rPr>
              <w:fldChar w:fldCharType="separate"/>
            </w:r>
            <w:r w:rsidR="00455592">
              <w:rPr>
                <w:rFonts w:ascii="Times New Roman" w:eastAsia="Yu Gothic" w:hAnsi="Times New Roman" w:cs="Times New Roman"/>
                <w:noProof/>
                <w:color w:val="000000"/>
                <w:sz w:val="20"/>
                <w:szCs w:val="20"/>
              </w:rPr>
              <w:t xml:space="preserve">Emerson et al. </w:t>
            </w:r>
            <w:r w:rsidR="00327CB1">
              <w:rPr>
                <w:rFonts w:ascii="Times New Roman" w:eastAsia="Yu Gothic" w:hAnsi="Times New Roman" w:cs="Times New Roman"/>
                <w:noProof/>
                <w:color w:val="000000"/>
                <w:sz w:val="20"/>
                <w:szCs w:val="20"/>
              </w:rPr>
              <w:t>(</w:t>
            </w:r>
            <w:r w:rsidR="00455592">
              <w:rPr>
                <w:rFonts w:ascii="Times New Roman" w:eastAsia="Yu Gothic" w:hAnsi="Times New Roman" w:cs="Times New Roman"/>
                <w:noProof/>
                <w:color w:val="000000"/>
                <w:sz w:val="20"/>
                <w:szCs w:val="20"/>
              </w:rPr>
              <w:t>2008)</w:t>
            </w:r>
            <w:r>
              <w:rPr>
                <w:rFonts w:ascii="Times New Roman" w:eastAsia="Yu Gothic" w:hAnsi="Times New Roman" w:cs="Times New Roman"/>
                <w:color w:val="000000"/>
                <w:sz w:val="20"/>
                <w:szCs w:val="20"/>
              </w:rPr>
              <w:fldChar w:fldCharType="end"/>
            </w:r>
          </w:p>
        </w:tc>
      </w:tr>
      <w:tr w:rsidR="00680087" w:rsidRPr="00005F1A" w14:paraId="526884B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42D554D4" w14:textId="78DD4FED"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241812" w14:textId="5D502CCF"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2.01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BC0FDB" w14:textId="67D3E8D3"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B90992" w14:textId="4797C882"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6B0E4AD" w14:textId="24F4059C"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41BB5A" w14:textId="4087F81B"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3BD6B4D" w14:textId="3B45F3C2"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Mooring</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CA2956" w14:textId="354F25BD"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A0A334" w14:textId="2C97A8A5"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0FA1EF5D" w14:textId="512D8514" w:rsidR="00680087"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{"citationID":"8sIbr9lN","properties":{"formattedCitation":"(Fassbender et al. 2016)","plainCitation":"(Fassbender et al. 2016)","dontUpdate":true,"noteIndex":0},"citationItems":[{"id":1856,"uris":["http://zotero.org/users/7846282/items/5KK498M5"],"itemData":{"id":1856,"type":"article-journal","abstract":"Seven years of near-continuous observations from the Ocean Station Papa (OSP) surface mooring were used to evaluate drivers of marine carbon cycling in the eastern subarctic Pacific. Processes contributing to mixed layer carbon inventory changes throughout each deployment year were quantitatively assessed using a time-dependent mass balance approach in which total alkalinity and dissolved inorganic carbon were used as tracers. By using two mixed layer carbon tracers, it was possible to isolate the influences of net community production (NCP) and calcification. Our results indicate that the annual NCP at OSP is 2 ± 1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the annual calcification is 0.3 ±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Piecing together evidence for potentially significant dissolved organic carbon cycling in this region, we estimate a particulate inorganic carbon to particulate organic carbon ratio between 0.15 and 0.25. This is at least double the global average, adding to the growing evidence that calcifying organisms play an important role in carbon export at this location. These results, coupled with significant seasonality in the NCP, suggest that carbon cycling near OSP may be more complex than previously thought and highlight the importance of continuous observations for robust assessments of biogeochemical cycling.","container-title":"Global Biogeochemical Cycles","DOI":"10.1002/2015GB005205","ISSN":"1944-9224","issue":"2","language":"en","note":"_eprint: https://onlinelibrary.wiley.com/doi/pdf/10.1002/2015GB005205","page":"250-267","source":"Wiley Online Library","title":"Net community production and calcification from 7 years of NOAA Station Papa Mooring measurements","volume":"30","author":[{"family":"Fassbender","given":"Andrea J."},{"family":"Sabine","given":"Christopher L."},{"family":"Cronin","given":"Meghan F."}],"issued":{"date-parts":[["2016"]]}}}],"schema":"https://github.com/citation-style-language/schema/raw/master/csl-citation.json"}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Fassbender et al. (2016)</w:t>
            </w:r>
            <w:r>
              <w:rPr>
                <w:rFonts w:ascii="Times New Roman" w:eastAsia="Yu Gothic" w:hAnsi="Times New Roman" w:cs="Times New Roman"/>
                <w:color w:val="000000"/>
                <w:sz w:val="20"/>
                <w:szCs w:val="20"/>
              </w:rPr>
              <w:fldChar w:fldCharType="end"/>
            </w:r>
          </w:p>
        </w:tc>
      </w:tr>
      <w:tr w:rsidR="00680087" w:rsidRPr="00005F1A" w14:paraId="46543F92"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F33DCF0" w14:textId="5B873008" w:rsidR="00680087" w:rsidRPr="00FD2BBD"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3</w:t>
            </w:r>
            <w:r w:rsidRPr="00FD2BBD">
              <w:rPr>
                <w:rFonts w:ascii="Times New Roman" w:eastAsia="Yu Gothic" w:hAnsi="Times New Roman" w:cs="Times New Roman"/>
                <w:color w:val="000000"/>
                <w:sz w:val="20"/>
                <w:szCs w:val="20"/>
              </w:rPr>
              <w:t xml:space="preserve">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AFA1AE" w14:textId="6DCDA661" w:rsidR="00680087" w:rsidRPr="00FD2BBD"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7.00</w:t>
            </w:r>
            <w:r w:rsidRPr="00FD2BBD">
              <w:rPr>
                <w:rFonts w:ascii="Times New Roman" w:eastAsia="Yu Gothic" w:hAnsi="Times New Roman" w:cs="Times New Roman"/>
                <w:color w:val="000000"/>
                <w:sz w:val="20"/>
                <w:szCs w:val="20"/>
              </w:rPr>
              <w:t xml:space="preserve">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DA566C" w14:textId="6D3DAA05" w:rsidR="00680087" w:rsidRPr="00FD2BBD"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3</w:t>
            </w:r>
            <w:r w:rsidRPr="00FD2BBD">
              <w:rPr>
                <w:rFonts w:ascii="Times New Roman" w:eastAsia="Yu Gothic" w:hAnsi="Times New Roman" w:cs="Times New Roman"/>
                <w:color w:val="000000"/>
                <w:sz w:val="20"/>
                <w:szCs w:val="20"/>
              </w:rPr>
              <w:t xml:space="preserve">.00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322848" w14:textId="77777777"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400ABA" w14:textId="77777777"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E860BB" w14:textId="77777777"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D3B3A1" w14:textId="7E26658E" w:rsidR="00680087" w:rsidRPr="00FD2BBD"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9F358E" w14:textId="38678C0B" w:rsidR="00680087" w:rsidRPr="00FD2BBD" w:rsidRDefault="00680087" w:rsidP="00680087">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D64B0D" w14:textId="433F5C26" w:rsidR="00680087" w:rsidRPr="00FD2BBD"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KEO</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B09E99E" w14:textId="66DAE801" w:rsidR="00680087" w:rsidRPr="00FD2BBD" w:rsidRDefault="00680087" w:rsidP="00680087">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sidR="00497A7F">
              <w:rPr>
                <w:rFonts w:ascii="Times New Roman" w:eastAsia="Yu Gothic" w:hAnsi="Times New Roman" w:cs="Times New Roman"/>
                <w:color w:val="000000"/>
                <w:sz w:val="20"/>
                <w:szCs w:val="20"/>
              </w:rPr>
              <w:instrText xml:space="preserve"> ADDIN ZOTERO_ITEM CSL_CITATION {"citationID":"4NgRSbqd","properties":{"formattedCitation":"(Fassbender et al. 2017)","plainCitation":"(Fassbender et al. 2017)","dontUpdate":true,"noteIndex":0},"citationItems":[{"id":2176,"uris":["http://zotero.org/users/7846282/items/LM62CZ68"],"itemData":{"id":2176,"type":"article-journal","abstract":"Seven years of data from the NOAA Kuroshio Extension Observatory (KEO) surface mooring, located in the North Pacific Ocean carbon sink region, were used to evaluate drivers of mixed-layer carbon cycling. A time-dependent mass balance approach relying on two carbon tracers was used to diagnostically evaluate how surface ocean processes influence mixed-layer carbon concentrations over the annual cycle. Results indicate that the annual physical carbon input is predominantly balanced by biological carbon uptake during the intense spring bloom. Net annual gas exchange that adds carbon to the mixed layer and the opposing influence of net precipitation that dilutes carbon concentrations make up smaller contributions to the annual mixed-layer carbon budget. Decomposing the biological term into annual net community production (aNCP) and calcium carbonate production (aCaCO3) yields 7 ± 3 mol C m</w:instrText>
            </w:r>
            <w:r w:rsidR="00497A7F">
              <w:rPr>
                <w:rFonts w:ascii="Times New Roman" w:eastAsia="Yu Gothic" w:hAnsi="Times New Roman" w:cs="Times New Roman" w:hint="eastAsia"/>
                <w:color w:val="000000"/>
                <w:sz w:val="20"/>
                <w:szCs w:val="20"/>
              </w:rPr>
              <w:instrText>−</w:instrText>
            </w:r>
            <w:r w:rsidR="00497A7F">
              <w:rPr>
                <w:rFonts w:ascii="Times New Roman" w:eastAsia="Yu Gothic" w:hAnsi="Times New Roman" w:cs="Times New Roman"/>
                <w:color w:val="000000"/>
                <w:sz w:val="20"/>
                <w:szCs w:val="20"/>
              </w:rPr>
              <w:instrText>2 yr</w:instrText>
            </w:r>
            <w:r w:rsidR="00497A7F">
              <w:rPr>
                <w:rFonts w:ascii="Times New Roman" w:eastAsia="Yu Gothic" w:hAnsi="Times New Roman" w:cs="Times New Roman" w:hint="eastAsia"/>
                <w:color w:val="000000"/>
                <w:sz w:val="20"/>
                <w:szCs w:val="20"/>
              </w:rPr>
              <w:instrText>−</w:instrText>
            </w:r>
            <w:r w:rsidR="00497A7F">
              <w:rPr>
                <w:rFonts w:ascii="Times New Roman" w:eastAsia="Yu Gothic" w:hAnsi="Times New Roman" w:cs="Times New Roman"/>
                <w:color w:val="000000"/>
                <w:sz w:val="20"/>
                <w:szCs w:val="20"/>
              </w:rPr>
              <w:instrText>1 aNCP and 0.5 ± 0.3 mol C m</w:instrText>
            </w:r>
            <w:r w:rsidR="00497A7F">
              <w:rPr>
                <w:rFonts w:ascii="Times New Roman" w:eastAsia="Yu Gothic" w:hAnsi="Times New Roman" w:cs="Times New Roman" w:hint="eastAsia"/>
                <w:color w:val="000000"/>
                <w:sz w:val="20"/>
                <w:szCs w:val="20"/>
              </w:rPr>
              <w:instrText>−</w:instrText>
            </w:r>
            <w:r w:rsidR="00497A7F">
              <w:rPr>
                <w:rFonts w:ascii="Times New Roman" w:eastAsia="Yu Gothic" w:hAnsi="Times New Roman" w:cs="Times New Roman"/>
                <w:color w:val="000000"/>
                <w:sz w:val="20"/>
                <w:szCs w:val="20"/>
              </w:rPr>
              <w:instrText>2 yr</w:instrText>
            </w:r>
            <w:r w:rsidR="00497A7F">
              <w:rPr>
                <w:rFonts w:ascii="Times New Roman" w:eastAsia="Yu Gothic" w:hAnsi="Times New Roman" w:cs="Times New Roman" w:hint="eastAsia"/>
                <w:color w:val="000000"/>
                <w:sz w:val="20"/>
                <w:szCs w:val="20"/>
              </w:rPr>
              <w:instrText>−</w:instrText>
            </w:r>
            <w:r w:rsidR="00497A7F">
              <w:rPr>
                <w:rFonts w:ascii="Times New Roman" w:eastAsia="Yu Gothic" w:hAnsi="Times New Roman" w:cs="Times New Roman"/>
                <w:color w:val="000000"/>
                <w:sz w:val="20"/>
                <w:szCs w:val="20"/>
              </w:rPr>
              <w:instrText xml:space="preserve">1 aCaCO3, giving an annually integrated particulate inorganic carbon to particulate organic carbon production ratio of 0.07 ± 0.05, as a lower limit. Although we find that vertical physical processes dominate carbon input to the mixed layer at KEO, it remains unclear how horizontal features, such as eddies, influence carbon production and export by altering nutrient supply as well as the depth of winter ventilation. Further research evaluating linkages between Kuroshio Extension jet instabilities, eddy activity, and nutrient supply mechanisms is needed to adequately characterize the drivers and sensitivities of carbon cycling near KEO.","container-title":"Global Biogeochemical Cycles","DOI":"10.1002/2016GB005547","ISSN":"1944-9224","issue":"2","language":"en","note":"_eprint: https://onlinelibrary.wiley.com/doi/pdf/10.1002/2016GB005547","page":"272-288","source":"Wiley Online Library","title":"Mixed-layer carbon cycling at the Kuroshio Extension Observatory","volume":"31","author":[{"family":"Fassbender","given":"Andrea J."},{"family":"Sabine","given":"Christopher L."},{"family":"Cronin","given":"Meghan F."},{"family":"Sutton","given":"Adrienne J."}],"issued":{"date-parts":[["2017"]]}}}],"schema":"https://github.com/citation-style-language/schema/raw/master/csl-citation.json"}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Fassbender et al. (2017)</w:t>
            </w:r>
            <w:r>
              <w:rPr>
                <w:rFonts w:ascii="Times New Roman" w:eastAsia="Yu Gothic" w:hAnsi="Times New Roman" w:cs="Times New Roman"/>
                <w:color w:val="000000"/>
                <w:sz w:val="20"/>
                <w:szCs w:val="20"/>
              </w:rPr>
              <w:fldChar w:fldCharType="end"/>
            </w:r>
          </w:p>
        </w:tc>
      </w:tr>
      <w:tr w:rsidR="00E82161" w:rsidRPr="00005F1A" w14:paraId="5BCFE23F"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6124CDCC" w14:textId="7CF78B7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2.0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BF803AB" w14:textId="66016CCE"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1</w:t>
            </w:r>
            <w:r>
              <w:rPr>
                <w:rFonts w:ascii="Times New Roman" w:eastAsia="Yu Gothic" w:hAnsi="Times New Roman" w:cs="Times New Roman"/>
                <w:color w:val="000000"/>
                <w:sz w:val="20"/>
                <w:szCs w:val="20"/>
              </w:rPr>
              <w:t>.45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4B19AED" w14:textId="4169DADA"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0</w:t>
            </w:r>
            <w:r>
              <w:rPr>
                <w:rFonts w:ascii="Times New Roman" w:eastAsia="Yu Gothic" w:hAnsi="Times New Roman" w:cs="Times New Roman"/>
                <w:color w:val="000000"/>
                <w:sz w:val="20"/>
                <w:szCs w:val="20"/>
              </w:rPr>
              <w:t>.41</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914DD7" w14:textId="2E93F74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F</w:t>
            </w:r>
            <w:r>
              <w:rPr>
                <w:rFonts w:ascii="Times New Roman" w:eastAsia="Yu Gothic" w:hAnsi="Times New Roman" w:cs="Times New Roman"/>
                <w:color w:val="000000"/>
                <w:sz w:val="20"/>
                <w:szCs w:val="20"/>
              </w:rPr>
              <w:t>ix</w:t>
            </w:r>
            <w:r w:rsidR="006F3E44">
              <w:rPr>
                <w:rFonts w:ascii="Times New Roman" w:eastAsia="Yu Gothic" w:hAnsi="Times New Roman" w:cs="Times New Roman"/>
                <w:color w:val="000000"/>
                <w:sz w:val="20"/>
                <w:szCs w:val="20"/>
              </w:rPr>
              <w:t>ed</w:t>
            </w:r>
            <w:r>
              <w:rPr>
                <w:rFonts w:ascii="Times New Roman" w:eastAsia="Yu Gothic" w:hAnsi="Times New Roman" w:cs="Times New Roman"/>
                <w:color w:val="000000"/>
                <w:sz w:val="20"/>
                <w:szCs w:val="20"/>
              </w:rPr>
              <w:t xml:space="preserve"> (150</w:t>
            </w:r>
            <w:r w:rsidR="00C6505D">
              <w:rPr>
                <w:rFonts w:ascii="Times New Roman" w:eastAsia="Yu Gothic" w:hAnsi="Times New Roman" w:cs="Times New Roman"/>
                <w:color w:val="000000"/>
                <w:sz w:val="20"/>
                <w:szCs w:val="20"/>
              </w:rPr>
              <w:t xml:space="preserve"> </w:t>
            </w:r>
            <w:r>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63FF7B" w14:textId="6CC4073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04CEB5F" w14:textId="3755BE9E"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EE859C" w14:textId="6F7E93FA"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88934E" w14:textId="7774474D"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013</w:t>
            </w:r>
            <w:r w:rsidR="003567FE">
              <w:rPr>
                <w:rFonts w:ascii="Times New Roman" w:eastAsia="Yu Gothic" w:hAnsi="Times New Roman" w:cs="Times New Roman"/>
                <w:color w:val="000000"/>
                <w:sz w:val="20"/>
                <w:szCs w:val="20"/>
              </w:rPr>
              <w:t>–</w:t>
            </w:r>
            <w:r>
              <w:rPr>
                <w:rFonts w:ascii="Times New Roman" w:eastAsia="Yu Gothic" w:hAnsi="Times New Roman" w:cs="Times New Roman"/>
                <w:color w:val="000000"/>
                <w:sz w:val="20"/>
                <w:szCs w:val="20"/>
              </w:rPr>
              <w:t>2019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087E4D1" w14:textId="515A6A17"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H</w:t>
            </w:r>
            <w:r>
              <w:rPr>
                <w:rFonts w:ascii="Times New Roman" w:eastAsia="Yu Gothic" w:hAnsi="Times New Roman" w:cs="Times New Roman"/>
                <w:color w:val="000000"/>
                <w:sz w:val="20"/>
                <w:szCs w:val="20"/>
              </w:rPr>
              <w:t>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7861D25B" w14:textId="7A7F37CD" w:rsidR="00E82161"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{"citationID":"O9hgAMbO","properties":{"formattedCitation":"(Ferr\\uc0\\u243{}n et al. 2021)","plainCitation":"(Ferrón et al. 2021)","noteIndex":0},"citationItems":[{"id":2655,"uris":["http://zotero.org/users/7846282/items/CVK576DT"],"itemData":{"id":2655,"type":"article-journal","abstract":"We report in situ rates of gross oxygen production (GOP), community respiration (R), and net community production (NCP) in the North Pacific Subtropical Gyre derived from mixed layer O2/Ar measurements. The measurements were conducted between November 2013 and January 2019 at the site of the Hawaii Ocean Time-series program. Biological O2 concentration anomalies in the mixed layer showed a consistent diel variation, with values increasing during daytime due to net community production and decreasing during nighttime due to respiration. In situ mixed layer GOP and R, determined from these variations, covaried but showed no clear seasonal pattern, averaging 0.9 and 0.8 mmol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3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In situ rates of NCP determined from mixed layer O2/Ar ranged between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1.2 and 16.6 mmol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Our analyses indicate that at certain times of the year the diapycnal flux of O2 across the base of the mixed layer may be non-negligible and, therefore, a fraction of O2/Ar-derived NCP may form below the mixed layer. The seasonal climatology of NCP below the mixed layer (down to 150 m) was also estimated using near-monthly changes in dissolved O2 concentrations. These calculations allowed us to estimate NCP for the entire euphotic zone (0–150 m), which shows pronounced seasonality, with a maximum in April-May and a minimum in December, when the ecosystem becomes temporarily net heterotrophic. Annual NCP was estimated to be 2.1 ± 0.6 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approximately 1.7 times the export of C through sinking particles captured in sediment traps at 150 m.","container-title":"Global Biogeochemical Cycles","DOI":"10.1029/2020GB006744","ISSN":"1944-9224","issue":"3","language":"en","license":"© 2021. The Authors.","note":"_eprint: https://onlinelibrary.wiley.com/doi/pdf/10.1029/2020GB006744","page":"e2020GB006744","source":"Wiley Online Library","title":"Euphotic Zone Metabolism in the North Pacific Subtropical Gyre Based on Oxygen Dynamics","volume":"35","author":[{"family":"Ferrón","given":"Sara"},{"family":"Barone","given":"Benedetto"},{"family":"Church","given":"Matthew J."},{"family":"White","given":"Angelicque E."},{"family":"Karl","given":"David M."}],"issued":{"date-parts":[["2021"]]}}}],"schema":"https://github.com/citation-style-language/schema/raw/master/csl-citation.json"} </w:instrText>
            </w:r>
            <w:r>
              <w:rPr>
                <w:rFonts w:ascii="Times New Roman" w:eastAsia="Yu Gothic" w:hAnsi="Times New Roman" w:cs="Times New Roman"/>
                <w:color w:val="000000"/>
                <w:sz w:val="20"/>
                <w:szCs w:val="20"/>
              </w:rPr>
              <w:fldChar w:fldCharType="separate"/>
            </w:r>
            <w:r w:rsidRPr="00E82161">
              <w:rPr>
                <w:rFonts w:ascii="Times New Roman" w:hAnsi="Times New Roman" w:cs="Times New Roman"/>
                <w:color w:val="000000"/>
                <w:sz w:val="20"/>
              </w:rPr>
              <w:t xml:space="preserve">Ferrón et al. </w:t>
            </w:r>
            <w:r>
              <w:rPr>
                <w:rFonts w:ascii="Times New Roman" w:hAnsi="Times New Roman" w:cs="Times New Roman"/>
                <w:color w:val="000000"/>
                <w:sz w:val="20"/>
              </w:rPr>
              <w:t>(</w:t>
            </w:r>
            <w:r w:rsidRPr="00E82161">
              <w:rPr>
                <w:rFonts w:ascii="Times New Roman" w:hAnsi="Times New Roman" w:cs="Times New Roman"/>
                <w:color w:val="000000"/>
                <w:sz w:val="20"/>
              </w:rPr>
              <w:t>2021)</w:t>
            </w:r>
            <w:r>
              <w:rPr>
                <w:rFonts w:ascii="Times New Roman" w:eastAsia="Yu Gothic" w:hAnsi="Times New Roman" w:cs="Times New Roman"/>
                <w:color w:val="000000"/>
                <w:sz w:val="20"/>
                <w:szCs w:val="20"/>
              </w:rPr>
              <w:fldChar w:fldCharType="end"/>
            </w:r>
            <w:r>
              <w:rPr>
                <w:rFonts w:ascii="Times New Roman" w:eastAsia="Yu Gothic" w:hAnsi="Times New Roman" w:cs="Times New Roman"/>
                <w:color w:val="000000"/>
                <w:sz w:val="20"/>
                <w:szCs w:val="20"/>
              </w:rPr>
              <w:t xml:space="preserve"> </w:t>
            </w:r>
          </w:p>
        </w:tc>
      </w:tr>
      <w:tr w:rsidR="00E82161" w:rsidRPr="00005F1A" w14:paraId="0C35FD8E"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810E96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D7FF0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1.45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5E54E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0.50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EBFAB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FDD50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E2879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78BD7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086F1E" w14:textId="42E055D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2000</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9BAE4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D79FEEF" w14:textId="5EE8ED9E"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{"citationID":"B2YplLVW","properties":{"formattedCitation":"(Hamme and Emerson 2006)","plainCitation":"(Hamme and Emerson 2006)","dontUpdate":true,"noteIndex":0},"citationItems":[{"id":2496,"uris":["http://zotero.org/users/7846282/items/YEICKKEI"],"itemData":{"id":2496,"type":"article-journal","abstract":"We used a dynamic mixed layer model to determine carbon export by the oxygen mass balance method from a time series of O2/Ar, N2/Ar and Ne measurements collected at station ALOHA near Hawaii from July 2000 to June 2001. The inert gas measurements constrain the ﬂux of oxygen into the mixed layer from small, collapsing bubbles (injection) to be greater than or equal to the ﬂux from larger bubbles (exchange), with mean estimates of the ratio in the range of 1–2. We also show that monthly observations of temperature and inert gases cannot constrain the rate of diapycnal mixing at this location, because of uncertainties in air-sea heat ﬂux estimates and bubble dynamics. Organic carbon export from the mixed layer calculated from our dataset was 1.1 ± 0.5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with most of the error deriving from uncertainties in the parameterization of diffusive gas exchange with wind speed. Our estimates of carbon export from the zone beneath the mixed layer but still in the euphotic zone ranged from 0 to 0.6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as the rate of background diapycnal mixing was increased from 0.1 to 1.0 cm2 s</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We conclude that the oxygen mass balance method has errors of about a factor of two in areas similar to the subtropical North Paciﬁc, with the main uncertainties deriving from mixing rates and the parameterization of diffusive gas exchange.","container-title":"Journal of Marine Research","DOI":"10.1357/002224006776412322","ISSN":"00222402, 15439542","issue":"1","journalAbbreviation":"J Mar Res","language":"en","page":"73-95","source":"DOI.org (Crossref)","title":"Constraining bubble dynamics and mixing with dissolved gases: Implications for productivity measurements by oxygen mass balance","title-short":"Constraining bubble dynamics and mixing with dissolved gases","volume":"64","author":[{"family":"Hamme","given":"Roberta C."},{"family":"Emerson","given":"Steven R."}],"issued":{"date-parts":[["2006",1,1]]}}}],"schema":"https://github.com/citation-style-language/schema/raw/master/csl-citation.json"}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Hamme and Emerson (2006)</w:t>
            </w:r>
            <w:r>
              <w:rPr>
                <w:rFonts w:ascii="Times New Roman" w:eastAsia="Yu Gothic" w:hAnsi="Times New Roman" w:cs="Times New Roman"/>
                <w:color w:val="000000"/>
                <w:sz w:val="20"/>
                <w:szCs w:val="20"/>
              </w:rPr>
              <w:fldChar w:fldCharType="end"/>
            </w:r>
          </w:p>
        </w:tc>
      </w:tr>
      <w:tr w:rsidR="00E82161" w:rsidRPr="00005F1A" w14:paraId="0B25FEA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0A51973B" w14:textId="10BFCED6"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4.0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723684E" w14:textId="644507C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0</w:t>
            </w:r>
            <w:r>
              <w:rPr>
                <w:rFonts w:ascii="Times New Roman" w:eastAsia="Yu Gothic" w:hAnsi="Times New Roman" w:cs="Times New Roman"/>
                <w:color w:val="000000"/>
                <w:sz w:val="20"/>
                <w:szCs w:val="20"/>
              </w:rPr>
              <w:t>.75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465692E" w14:textId="7CF91062"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0</w:t>
            </w:r>
            <w:r>
              <w:rPr>
                <w:rFonts w:ascii="Times New Roman" w:eastAsia="Yu Gothic" w:hAnsi="Times New Roman" w:cs="Times New Roman"/>
                <w:color w:val="000000"/>
                <w:sz w:val="20"/>
                <w:szCs w:val="20"/>
              </w:rPr>
              <w:t>.15</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80D251" w14:textId="324B28C0"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F</w:t>
            </w:r>
            <w:r>
              <w:rPr>
                <w:rFonts w:ascii="Times New Roman" w:eastAsia="Yu Gothic" w:hAnsi="Times New Roman" w:cs="Times New Roman"/>
                <w:color w:val="000000"/>
                <w:sz w:val="20"/>
                <w:szCs w:val="20"/>
              </w:rPr>
              <w:t>ix</w:t>
            </w:r>
            <w:r w:rsidR="006F3E44">
              <w:rPr>
                <w:rFonts w:ascii="Times New Roman" w:eastAsia="Yu Gothic" w:hAnsi="Times New Roman" w:cs="Times New Roman"/>
                <w:color w:val="000000"/>
                <w:sz w:val="20"/>
                <w:szCs w:val="20"/>
              </w:rPr>
              <w:t>ed</w:t>
            </w:r>
            <w:r>
              <w:rPr>
                <w:rFonts w:ascii="Times New Roman" w:eastAsia="Yu Gothic" w:hAnsi="Times New Roman" w:cs="Times New Roman"/>
                <w:color w:val="000000"/>
                <w:sz w:val="20"/>
                <w:szCs w:val="20"/>
              </w:rPr>
              <w:t xml:space="preserve"> (100</w:t>
            </w:r>
            <w:r w:rsidR="00C6505D">
              <w:rPr>
                <w:rFonts w:ascii="Times New Roman" w:eastAsia="Yu Gothic" w:hAnsi="Times New Roman" w:cs="Times New Roman"/>
                <w:color w:val="000000"/>
                <w:sz w:val="20"/>
                <w:szCs w:val="20"/>
              </w:rPr>
              <w:t xml:space="preserve"> </w:t>
            </w:r>
            <w:r>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1147A4" w14:textId="7220703C"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D</w:t>
            </w:r>
            <w:r>
              <w:rPr>
                <w:rFonts w:ascii="Times New Roman" w:eastAsia="Yu Gothic" w:hAnsi="Times New Roman" w:cs="Times New Roman"/>
                <w:color w:val="000000"/>
                <w:sz w:val="20"/>
                <w:szCs w:val="20"/>
              </w:rPr>
              <w:t>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F62CBA" w14:textId="625F147B"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B</w:t>
            </w:r>
            <w:r>
              <w:rPr>
                <w:rFonts w:ascii="Times New Roman" w:eastAsia="Yu Gothic" w:hAnsi="Times New Roman" w:cs="Times New Roman"/>
                <w:color w:val="000000"/>
                <w:sz w:val="20"/>
                <w:szCs w:val="20"/>
              </w:rPr>
              <w:t>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1EC6B8" w14:textId="5651201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S</w:t>
            </w:r>
            <w:r>
              <w:rPr>
                <w:rFonts w:ascii="Times New Roman" w:eastAsia="Yu Gothic" w:hAnsi="Times New Roman" w:cs="Times New Roman"/>
                <w:color w:val="000000"/>
                <w:sz w:val="20"/>
                <w:szCs w:val="20"/>
              </w:rPr>
              <w:t>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BA50F2" w14:textId="334A4FDB"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014</w:t>
            </w:r>
            <w:r w:rsidR="003567FE">
              <w:rPr>
                <w:rFonts w:ascii="Times New Roman" w:eastAsia="Yu Gothic" w:hAnsi="Times New Roman" w:cs="Times New Roman"/>
                <w:color w:val="000000"/>
                <w:sz w:val="20"/>
                <w:szCs w:val="20"/>
              </w:rPr>
              <w:t>–</w:t>
            </w:r>
            <w:r>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3C00E0F"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69E82D7D" w14:textId="42A0C76E" w:rsidR="00E82161" w:rsidRPr="00FE1374"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{"citationID":"skdCHrGK","properties":{"formattedCitation":"(Hashihama et al. 2021)","plainCitation":"(Hashihama et al. 2021)","noteIndex":0},"citationItems":[{"id":2092,"uris":["http://zotero.org/users/7846282/items/R4HKQIJD"],"itemData":{"id":2092,"type":"article-journal","abstract":"Seasonal drawdown of dissolved inorganic carbon (DIC) in the subtropical upper ocean makes a significant contribution to net community production (NCP) globally. Although NCP requires macronutrient supply, surface macronutrients are chronically depleted, and their supply has been unable to balance the NCP demand. Here, we report nanomolar increases in surface nitrate plus nitrite (N+N, ~20 nM) and phosphate (PO4, ~15 nM) from summer to winter in the western subtropical North Pacific. Molar ratios of upward fluxes of DIC:N+N:PO4 to the euphotic zone (&lt; 100 m) were in near-stoichiometric balance with microbial C:N:P ratios (107~243:16~35:1). Comparison of these upward influxes with other atmospheric and marine sources demonstrated that total supply is largely driven by the other sources for C and N (93~96%), but not for P (10%), suggesting that nanomolar upward supply of P and its preferential recycling play a vital role in sustaining the NCP.","container-title":"Nature Communications","DOI":"10.1038/s41467-021-23837-y","ISSN":"2041-1723","issue":"1","journalAbbreviation":"Nat Commun","language":"en","license":"2021 The Author(s)","note":"number: 1\npublisher: Nature Publishing Group","page":"3462","source":"www.nature.com","title":"Nanomolar phosphate supply and its recycling drive net community production in the subtropical North Pacific","volume":"12","author":[{"family":"Hashihama","given":"Fuminori"},{"family":"Yasuda","given":"Ichiro"},{"family":"Kumabe","given":"Aki"},{"family":"Sato","given":"Mitsuhide"},{"family":"Sasaoka","given":"Hiroshi"},{"family":"Iida","given":"Yosuke"},{"family":"Shiozaki","given":"Takuhei"},{"family":"Saito","given":"Hiroaki"},{"family":"Kanda","given":"Jota"},{"family":"Furuya","given":"Ken"},{"family":"Boyd","given":"Philip W."},{"family":"Ishii","given":"Masao"}],"issued":{"date-parts":[["2021",6,8]]}}}],"schema":"https://github.com/citation-style-language/schema/raw/master/csl-citation.json"}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Hashihama et al. (2021)</w:t>
            </w:r>
            <w:r>
              <w:rPr>
                <w:rFonts w:ascii="Times New Roman" w:eastAsia="Yu Gothic" w:hAnsi="Times New Roman" w:cs="Times New Roman"/>
                <w:color w:val="000000"/>
                <w:sz w:val="20"/>
                <w:szCs w:val="20"/>
              </w:rPr>
              <w:fldChar w:fldCharType="end"/>
            </w:r>
          </w:p>
        </w:tc>
      </w:tr>
      <w:tr w:rsidR="00E82161" w:rsidRPr="00005F1A" w14:paraId="5EABCDA0"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701298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A3A1C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82E2F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498E4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E4C36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29901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8AF49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D52987" w14:textId="44E65F3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A70B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A70A662" w14:textId="7526AC55" w:rsidR="00E82161" w:rsidRPr="00FD2BBD" w:rsidRDefault="00E82161" w:rsidP="00E82161">
            <w:pPr>
              <w:jc w:val="center"/>
              <w:rPr>
                <w:rFonts w:ascii="Times New Roman" w:eastAsia="Yu Gothic" w:hAnsi="Times New Roman" w:cs="Times New Roman"/>
                <w:color w:val="000000"/>
                <w:sz w:val="20"/>
                <w:szCs w:val="20"/>
              </w:rPr>
            </w:pPr>
            <w:r w:rsidRPr="00FE137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{"citationID":"frEFGjpE","properties":{"formattedCitation":"(Haskell et al. 2020)","plainCitation":"(Haskell et al. 2020)","dontUpdate":true,"noteIndex":0},"citationItems":[{"id":746,"uris":["http://zotero.org/users/7846282/items/MM5XT7LW"],"itemData":{"id":746,"type":"article-journal","abstract":"Carbon export out of the surface ocean via the biological pump is a critical sink for atmospheric carbon dioxide. This process transports organic carbon to the deep ocean through sinking particulate organic carbon (POC) and the downward transport of suspended POC and dissolved organic carbon (DOC). Changes in the relative contribution of each pathway can signiﬁcantly affect the magnitude and efﬁciency of carbon export to depth. Ne</w:instrText>
            </w:r>
            <w:r>
              <w:rPr>
                <w:rFonts w:ascii="Times New Roman" w:eastAsia="Yu Gothic" w:hAnsi="Times New Roman" w:cs="Times New Roman" w:hint="eastAsia"/>
                <w:color w:val="000000"/>
                <w:sz w:val="20"/>
                <w:szCs w:val="20"/>
              </w:rPr>
              <w:instrText>t community production (NCP), an analog of carbon export under steady state assumptions, is typically estimated using budgets of biologically important chemical tracers in the upper ocean constrained by ship</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hint="eastAsia"/>
                <w:color w:val="000000"/>
                <w:sz w:val="20"/>
                <w:szCs w:val="20"/>
              </w:rPr>
              <w:instrText>board or autonomous platform observations. In t</w:instrText>
            </w:r>
            <w:r>
              <w:rPr>
                <w:rFonts w:ascii="Times New Roman" w:eastAsia="Yu Gothic" w:hAnsi="Times New Roman" w:cs="Times New Roman"/>
                <w:color w:val="000000"/>
                <w:sz w:val="20"/>
                <w:szCs w:val="20"/>
              </w:rPr>
              <w:instrText>his study, we use measurements from biogeochemical proﬁling ﬂoats, the Ocean Station Papa mooring, and recently developed algorithms for carbonate system parameters to constrain budgets for three tracers (nitrate, dissolved inorganic carbon, and total alkalinity) and estimate NCP in the Northeast Paciﬁc from 2009 to 2017. Using our multiple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tracer approach, and constraining end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member nutrient ratios of the POC and DOC produced, we not only calculate regional NCP throughout the annual cycle and across mul</w:instrText>
            </w:r>
            <w:r>
              <w:rPr>
                <w:rFonts w:ascii="Times New Roman" w:eastAsia="Yu Gothic" w:hAnsi="Times New Roman" w:cs="Times New Roman" w:hint="eastAsia"/>
                <w:color w:val="000000"/>
                <w:sz w:val="20"/>
                <w:szCs w:val="20"/>
              </w:rPr>
              <w:instrText>tiple depth horizons, but also partition this quantity into particulate and dissolved portions. We also use a particle backscatter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hint="eastAsia"/>
                <w:color w:val="000000"/>
                <w:sz w:val="20"/>
                <w:szCs w:val="20"/>
              </w:rPr>
              <w:instrText>based approach to estimate POC attenuation with depth and present a new method to constrain particle export across deeper ho</w:instrText>
            </w:r>
            <w:r>
              <w:rPr>
                <w:rFonts w:ascii="Times New Roman" w:eastAsia="Yu Gothic" w:hAnsi="Times New Roman" w:cs="Times New Roman"/>
                <w:color w:val="000000"/>
                <w:sz w:val="20"/>
                <w:szCs w:val="20"/>
              </w:rPr>
              <w:instrText>rizons and estimate in situ export efﬁciency. Our results agree well with previously published estimates of regional carbon export annually and suggest that the approaches presented here could be used to assess the magnitude and efﬁciency of carbon export in other regions of the world's oceans. Plain Language Summary “Carbon export” refers to the amount of carbon dioxide that is removed from the atmosphere by organisms in the surface ocean and subsequently transported into the deep sea, either through sinking particles (more efﬁcient process) or downward mixing (less efﬁcient process), making the ocean a natural sink for atmospheric carbon dioxide and signiﬁcantly inﬂuencing ocean chemistry. The relative proportion of export through each pathway signiﬁcantly affects the overall efﬁciency of this process and has implications for the pattern of carbon export globally. Measuring carbon export throughout the year traditionally requires persistent ship</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observations, which can be costly and perilous for researchers. Instead, carbon export is often estimated by budgeting nutrient distributions and changes through time, as they are also controlled by the same processes. These measurements can now be made remotely using autonomous biogeochemical proﬁling ﬂoats. Here, we present a new approach utilizing multiple chemical budgets to estimate carbon export over a decade in the Northeast Paciﬁc, which can be combined to partition export occurring through sinking particles and downward mixing. Our results are supported by previously published estimates of carbon export and suggest that this method has the potential to be applied to other parts of the ocean.","container-title":"Global Biogeochemical Cycles","DOI":"10.1029/2020GB006599","ISSN":"0886-6236, 1944-9224","issue":"10","journalAbbreviation":"Global Biogeochem. Cycles","language":"en","source":"DOI.org (Crossref)","title":"Annual Net Community Production of Particulate and Dissolved Organic Carbon From a Decade of Biogeochemical Profiling Float Observations in the Northeast Pacific","URL":"https://onlinelibrary.wiley.com/doi/10.1029/2020GB006599","volume":"34","author":[{"family":"Haskell","given":"W. Z."},{"family":"Fassbender","given":"A. J."},{"family":"Long","given":"J. S."},{"family":"Plant","given":"J. N."}],"accessed":{"date-parts":[["2021",4,18]]},"issued":{"date-parts":[["2020",10]]}}}],"schema":"https://github.com/citation-style-language/schema/raw/master/csl-citation.json"} </w:instrText>
            </w:r>
            <w:r w:rsidRPr="00FE1374">
              <w:rPr>
                <w:rFonts w:ascii="Times New Roman" w:eastAsia="Yu Gothic" w:hAnsi="Times New Roman" w:cs="Times New Roman"/>
                <w:color w:val="000000"/>
                <w:sz w:val="20"/>
                <w:szCs w:val="20"/>
              </w:rPr>
              <w:fldChar w:fldCharType="separate"/>
            </w:r>
            <w:r w:rsidRPr="00FE1374">
              <w:rPr>
                <w:rFonts w:ascii="Times New Roman" w:eastAsia="Yu Gothic" w:hAnsi="Times New Roman" w:cs="Times New Roman"/>
                <w:noProof/>
                <w:color w:val="000000"/>
                <w:sz w:val="20"/>
                <w:szCs w:val="20"/>
              </w:rPr>
              <w:t xml:space="preserve">Haskell et al. </w:t>
            </w:r>
            <w:r>
              <w:rPr>
                <w:rFonts w:ascii="Times New Roman" w:eastAsia="Yu Gothic" w:hAnsi="Times New Roman" w:cs="Times New Roman"/>
                <w:noProof/>
                <w:color w:val="000000"/>
                <w:sz w:val="20"/>
                <w:szCs w:val="20"/>
              </w:rPr>
              <w:t>(</w:t>
            </w:r>
            <w:r w:rsidRPr="00FE1374">
              <w:rPr>
                <w:rFonts w:ascii="Times New Roman" w:eastAsia="Yu Gothic" w:hAnsi="Times New Roman" w:cs="Times New Roman"/>
                <w:noProof/>
                <w:color w:val="000000"/>
                <w:sz w:val="20"/>
                <w:szCs w:val="20"/>
              </w:rPr>
              <w:t>2020)</w:t>
            </w:r>
            <w:r w:rsidRPr="00FE1374">
              <w:rPr>
                <w:rFonts w:ascii="Times New Roman" w:eastAsia="Yu Gothic" w:hAnsi="Times New Roman" w:cs="Times New Roman"/>
                <w:color w:val="000000"/>
                <w:sz w:val="20"/>
                <w:szCs w:val="20"/>
              </w:rPr>
              <w:fldChar w:fldCharType="end"/>
            </w:r>
          </w:p>
        </w:tc>
      </w:tr>
      <w:tr w:rsidR="00E82161" w:rsidRPr="00005F1A" w14:paraId="6E2092DA"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D15F1E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EEAE3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9F739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0.50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2327E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BD8E0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FF3B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A402F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12FC93" w14:textId="54DFDF4E"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2009</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705F6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F07ED1E" w14:textId="47E2C914" w:rsidR="00E82161" w:rsidRPr="00FD2BBD" w:rsidRDefault="00E82161" w:rsidP="00E82161">
            <w:pPr>
              <w:jc w:val="center"/>
              <w:rPr>
                <w:rFonts w:ascii="Times New Roman" w:eastAsia="Yu Gothic" w:hAnsi="Times New Roman" w:cs="Times New Roman"/>
                <w:color w:val="000000"/>
                <w:sz w:val="20"/>
                <w:szCs w:val="20"/>
              </w:rPr>
            </w:pPr>
            <w:r w:rsidRPr="00FE137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{"citationID":"B1QwQPk9","properties":{"formattedCitation":"(Haskell et al. 2020)","plainCitation":"(Haskell et al. 2020)","dontUpdate":true,"noteIndex":0},"citationItems":[{"id":746,"uris":["http://zotero.org/users/7846282/items/MM5XT7LW"],"itemData":{"id":746,"type":"article-journal","abstract":"Carbon export out of the surface ocean via the biological pump is a critical sink for atmospheric carbon dioxide. This process transports organic carbon to the deep ocean through sinking particulate organic carbon (POC) and the downward transport of suspended POC and dissolved organic carbon (DOC). Changes in the relative contribution of each pathway can signiﬁcantly affect the magnitude and efﬁciency of carbon export to depth. Ne</w:instrText>
            </w:r>
            <w:r>
              <w:rPr>
                <w:rFonts w:ascii="Times New Roman" w:eastAsia="Yu Gothic" w:hAnsi="Times New Roman" w:cs="Times New Roman" w:hint="eastAsia"/>
                <w:color w:val="000000"/>
                <w:sz w:val="20"/>
                <w:szCs w:val="20"/>
              </w:rPr>
              <w:instrText>t community production (NCP), an analog of carbon export under steady state assumptions, is typically estimated using budgets of biologically important chemical tracers in the upper ocean constrained by ship</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hint="eastAsia"/>
                <w:color w:val="000000"/>
                <w:sz w:val="20"/>
                <w:szCs w:val="20"/>
              </w:rPr>
              <w:instrText>board or autonomous platform observations. In t</w:instrText>
            </w:r>
            <w:r>
              <w:rPr>
                <w:rFonts w:ascii="Times New Roman" w:eastAsia="Yu Gothic" w:hAnsi="Times New Roman" w:cs="Times New Roman"/>
                <w:color w:val="000000"/>
                <w:sz w:val="20"/>
                <w:szCs w:val="20"/>
              </w:rPr>
              <w:instrText>his study, we use measurements from biogeochemical proﬁling ﬂoats, the Ocean Station Papa mooring, and recently developed algorithms for carbonate system parameters to constrain budgets for three tracers (nitrate, dissolved inorganic carbon, and total alkalinity) and estimate NCP in the Northeast Paciﬁc from 2009 to 2017. Using our multiple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tracer approach, and constraining end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member nutrient ratios of the POC and DOC produced, we not only calculate regional NCP throughout the annual cycle and across mul</w:instrText>
            </w:r>
            <w:r>
              <w:rPr>
                <w:rFonts w:ascii="Times New Roman" w:eastAsia="Yu Gothic" w:hAnsi="Times New Roman" w:cs="Times New Roman" w:hint="eastAsia"/>
                <w:color w:val="000000"/>
                <w:sz w:val="20"/>
                <w:szCs w:val="20"/>
              </w:rPr>
              <w:instrText>tiple depth horizons, but also partition this quantity into particulate and dissolved portions. We also use a particle backscatter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hint="eastAsia"/>
                <w:color w:val="000000"/>
                <w:sz w:val="20"/>
                <w:szCs w:val="20"/>
              </w:rPr>
              <w:instrText>based approach to estimate POC attenuation with depth and present a new method to constrain particle export across deeper ho</w:instrText>
            </w:r>
            <w:r>
              <w:rPr>
                <w:rFonts w:ascii="Times New Roman" w:eastAsia="Yu Gothic" w:hAnsi="Times New Roman" w:cs="Times New Roman"/>
                <w:color w:val="000000"/>
                <w:sz w:val="20"/>
                <w:szCs w:val="20"/>
              </w:rPr>
              <w:instrText>rizons and estimate in situ export efﬁciency. Our results agree well with previously published estimates of regional carbon export annually and suggest that the approaches presented here could be used to assess the magnitude and efﬁciency of carbon export in other regions of the world's oceans. Plain Language Summary “Carbon export” refers to the amount of carbon dioxide that is removed from the atmosphere by organisms in the surface ocean and subsequently transported into the deep sea, either through sinking particles (more efﬁcient process) or downward mixing (less efﬁcient process), making the ocean a natural sink for atmospheric carbon dioxide and signiﬁcantly inﬂuencing ocean chemistry. The relative proportion of export through each pathway signiﬁcantly affects the overall efﬁciency of this process and has implications for the pattern of carbon export globally. Measuring carbon export throughout the year traditionally requires persistent ship</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observations, which can be costly and perilous for researchers. Instead, carbon export is often estimated by budgeting nutrient distributions and changes through time, as they are also controlled by the same processes. These measurements can now be made remotely using autonomous biogeochemical proﬁling ﬂoats. Here, we present a new approach utilizing multiple chemical budgets to estimate carbon export over a decade in the Northeast Paciﬁc, which can be combined to partition export occurring through sinking particles and downward mixing. Our results are supported by previously published estimates of carbon export and suggest that this method has the potential to be applied to other parts of the ocean.","container-title":"Global Biogeochemical Cycles","DOI":"10.1029/2020GB006599","ISSN":"0886-6236, 1944-9224","issue":"10","journalAbbreviation":"Global Biogeochem. Cycles","language":"en","source":"DOI.org (Crossref)","title":"Annual Net Community Production of Particulate and Dissolved Organic Carbon From a Decade of Biogeochemical Profiling Float Observations in the Northeast Pacific","URL":"https://onlinelibrary.wiley.com/doi/10.1029/2020GB006599","volume":"34","author":[{"family":"Haskell","given":"W. Z."},{"family":"Fassbender","given":"A. J."},{"family":"Long","given":"J. S."},{"family":"Plant","given":"J. N."}],"accessed":{"date-parts":[["2021",4,18]]},"issued":{"date-parts":[["2020",10]]}}}],"schema":"https://github.com/citation-style-language/schema/raw/master/csl-citation.json"} </w:instrText>
            </w:r>
            <w:r w:rsidRPr="00FE1374">
              <w:rPr>
                <w:rFonts w:ascii="Times New Roman" w:eastAsia="Yu Gothic" w:hAnsi="Times New Roman" w:cs="Times New Roman"/>
                <w:color w:val="000000"/>
                <w:sz w:val="20"/>
                <w:szCs w:val="20"/>
              </w:rPr>
              <w:fldChar w:fldCharType="separate"/>
            </w:r>
            <w:r w:rsidRPr="00FE1374">
              <w:rPr>
                <w:rFonts w:ascii="Times New Roman" w:eastAsia="Yu Gothic" w:hAnsi="Times New Roman" w:cs="Times New Roman"/>
                <w:noProof/>
                <w:color w:val="000000"/>
                <w:sz w:val="20"/>
                <w:szCs w:val="20"/>
              </w:rPr>
              <w:t xml:space="preserve">Haskell et al. </w:t>
            </w:r>
            <w:r>
              <w:rPr>
                <w:rFonts w:ascii="Times New Roman" w:eastAsia="Yu Gothic" w:hAnsi="Times New Roman" w:cs="Times New Roman"/>
                <w:noProof/>
                <w:color w:val="000000"/>
                <w:sz w:val="20"/>
                <w:szCs w:val="20"/>
              </w:rPr>
              <w:t>(</w:t>
            </w:r>
            <w:r w:rsidRPr="00FE1374">
              <w:rPr>
                <w:rFonts w:ascii="Times New Roman" w:eastAsia="Yu Gothic" w:hAnsi="Times New Roman" w:cs="Times New Roman"/>
                <w:noProof/>
                <w:color w:val="000000"/>
                <w:sz w:val="20"/>
                <w:szCs w:val="20"/>
              </w:rPr>
              <w:t>2020)</w:t>
            </w:r>
            <w:r w:rsidRPr="00FE1374">
              <w:rPr>
                <w:rFonts w:ascii="Times New Roman" w:eastAsia="Yu Gothic" w:hAnsi="Times New Roman" w:cs="Times New Roman"/>
                <w:color w:val="000000"/>
                <w:sz w:val="20"/>
                <w:szCs w:val="20"/>
              </w:rPr>
              <w:fldChar w:fldCharType="end"/>
            </w:r>
          </w:p>
        </w:tc>
      </w:tr>
      <w:tr w:rsidR="00E82161" w:rsidRPr="00005F1A" w14:paraId="77B9F4A1"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3DF16E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7DDF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2.52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FDA80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2.26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25231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BFE27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5F3F5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0E36E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5D72F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106445"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8E36C2D" w14:textId="01F744BD"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{"citationID":"ZzH0slbT","properties":{"formattedCitation":"(Hendricks et al. 2005)","plainCitation":"(Hendricks et al. 2005)","dontUpdate":true,"noteIndex":0},"citationItems":[{"id":2514,"uris":["http://zotero.org/users/7846282/items/XLLFPYIQ"],"itemData":{"id":2514,"type":"article-journal","abstract":"As a contribution to the study of equatorial Pacific biogeochemistry, we measured the O2/Ar ratio and the triple isotope composition (18O, 17O, and 16O) of O2 along six meridional lines in the equatorial Pacific (8°N–8°S at 95°W, 110°W, 125°W, 140°W, 155°W, and 170°W). O2/Ar ratios and δ18O were close to equilibrium values within the mixed layer and followed the general trend of increasing δ18O with decreasing O2/Ar at greater depths. The 17Δ (≈δ17O–0.5δ18O) constrains the fraction of photosynthetic O2; 17Δ was slightly elevated with respect to equilibrium within the mixed layer due to local photosynthetic production. In aphotic zone waters above 250 m depth the average 17Δ values were higher than in the mixed layer. There are four sources of this photosynthetic signal in the dark ocean: production in the euphotic zone prior to subduction in the distant source regions, production below the mixed layer during travel to the equatorial zone, diapycnal mixing with shallower waters bearing photosynthetic O2, and accumulation of photosynthetic O2 produced at very low rates below the 1% light level. Our results also constrain biological production rates within the mixed layer at several locations along 95°W and 110°W. Our average rate of 14C production (53 ± 34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agreed well with other estimates in the equatorial Pacific, while our average rate of net C production (6.9 ± 6.2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and f ratio (0.12 ± 0.11) were somewhat lower than other estimates. Adding δ18O and 17Δ as tracers to three-dimensional biogeochemical ocean GCMs and comparing results with observations will extend our understanding of metabolic rates in the study region.","container-title":"Journal of Geophysical Research: Oceans","DOI":"10.1029/2004JC002735","ISSN":"2156-2202","issue":"C12","language":"en","license":"Copyright 2005 by the American Geophysical Union.","note":"_eprint: https://onlinelibrary.wiley.com/doi/pdf/10.1029/2004JC002735","source":"Wiley Online Library","title":"Triple oxygen isotope composition of dissolved O2 in the equatorial Pacific: A tracer of mixing, production, and respiration","title-short":"Triple oxygen isotope composition of dissolved O2 in the equatorial Pacific","URL":"https://onlinelibrary.wiley.com/doi/abs/10.1029/2004JC002735","volume":"110","author":[{"family":"Hendricks","given":"Melissa B."},{"family":"Bender","given":"Michael L."},{"family":"Barnett","given":"Bruce A."},{"family":"Strutton","given":"Peter"},{"family":"Chavez","given":"Francisco P."}],"accessed":{"date-parts":[["2023",7,27]]},"issued":{"date-parts":[["2005"]]}}}],"schema":"https://github.com/citation-style-language/schema/raw/master/csl-citation.json"}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Hendricks et al. (2005)</w:t>
            </w:r>
            <w:r>
              <w:rPr>
                <w:rFonts w:ascii="Times New Roman" w:eastAsia="Yu Gothic" w:hAnsi="Times New Roman" w:cs="Times New Roman"/>
                <w:color w:val="000000"/>
                <w:sz w:val="20"/>
                <w:szCs w:val="20"/>
              </w:rPr>
              <w:fldChar w:fldCharType="end"/>
            </w:r>
          </w:p>
        </w:tc>
      </w:tr>
      <w:tr w:rsidR="00E82161" w:rsidRPr="00005F1A" w14:paraId="37B93191"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D4CB14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3A683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3.80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BC8A8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1.80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1C2023" w14:textId="62936E8B"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(70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lastRenderedPageBreak/>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099B2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9323F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Subsurface </w:t>
            </w:r>
            <w:r w:rsidRPr="00FD2BBD">
              <w:rPr>
                <w:rFonts w:ascii="Times New Roman" w:eastAsia="Yu Gothic" w:hAnsi="Times New Roman" w:cs="Times New Roman"/>
                <w:color w:val="000000"/>
                <w:sz w:val="20"/>
                <w:szCs w:val="20"/>
              </w:rPr>
              <w:lastRenderedPageBreak/>
              <w:t>change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D7253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BBF6E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EFB53FC"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AD1A524" w14:textId="377D3E6B"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{"citationID":"Bzwtkd80","properties":{"formattedCitation":"(Hennon et al. 2016)","plainCitation":"(Hennon et al. 2016)","dontUpdate":true,"noteIndex":0},"citationItems":[{"id":2403,"uris":["http://zotero.org/users/7846282/items/N2GEJHMY"],"itemData":{"id":2403,"type":"article-journal","abstract":"We employ profiling floats with dissolved oxygen sensors to observe in situ temporal oxygen evolution below the mixed layer, allowing us to characterize net respiration of organic carbon in eight distinct regions over the globe. Export and export efficiency are generally high in locations with strong seasonal variability and low in locations of weak seasonality. Vertically integrated respiration is weakly, yet significantly, correlated with remote observations of chlorophyll, net primary production, and planktonic community size structure. These correlations suggest that regimes of high net primary production and large phytoplankton fuel elevated respiration at depth. Several regions of float-based observations intersect with sites of other detailed observations (e.g., Hawaii and Sargasso Sea), which allows us to compare our results to independent studies. We find that there is good agreement among export production estimates at highly seasonal locations, and that float-based observations may be biased low at weakly seasonal locations. We posit that the reason for the low-latitude discrepancy is the relative steady state of oxygen concentration caused by weak seasonality and shallow wintertime mixed layer depths.","container-title":"Global Biogeochemical Cycles","DOI":"10.1002/2016GB005380","ISSN":"1944-9224","issue":"6","language":"en","license":"©2016. American Geophysical Union. All Rights Reserved.","note":"_eprint: https://onlinelibrary.wiley.com/doi/pdf/10.1002/2016GB005380","page":"920-932","source":"Wiley Online Library","title":"Profiling float-based observations of net respiration beneath the mixed layer","volume":"30","author":[{"family":"Hennon","given":"Tyler D."},{"family":"Riser","given":"Stephen C."},{"family":"Mecking","given":"Sabine"}],"issued":{"date-parts":[["2016"]]}}}],"schema":"https://github.com/citation-style-language/schema/raw/master/csl-citation.json"}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hAnsi="Times New Roman" w:cs="Times New Roman"/>
                <w:color w:val="000000"/>
                <w:sz w:val="20"/>
              </w:rPr>
              <w:t>Hennon et al. (2016)</w:t>
            </w:r>
            <w:r>
              <w:rPr>
                <w:rFonts w:ascii="Times New Roman" w:eastAsia="Yu Gothic" w:hAnsi="Times New Roman" w:cs="Times New Roman"/>
                <w:color w:val="000000"/>
                <w:sz w:val="20"/>
                <w:szCs w:val="20"/>
              </w:rPr>
              <w:fldChar w:fldCharType="end"/>
            </w:r>
          </w:p>
        </w:tc>
      </w:tr>
      <w:tr w:rsidR="00E82161" w:rsidRPr="00005F1A" w14:paraId="36AE7537"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FFDC4F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14.5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7AA7A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7E7CA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81A58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B7299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C37CF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9EEEC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3AD4E2" w14:textId="2B8685C2"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2014</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05A95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South China Sea</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73EFE4C" w14:textId="4F77973F"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{"citationID":"AnNon2RY","properties":{"formattedCitation":"(Huang et al. 2018)","plainCitation":"(Huang et al. 2018)","dontUpdate":true,"noteIndex":0},"citationItems":[{"id":2412,"uris":["http://zotero.org/users/7846282/items/WP5S69SB"],"itemData":{"id":2412,"type":"article-journal","abstract":"For the first time, the net community production (NCP) was estimated over a complete annual cycle in the basin of the South China Sea (SCS) using in situ oxygen measurements from an Argo profiling float and an oxygen mass balance model. The annual NCP from July 2014 to July 2015 was estimated to be 2.7molCm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(calculated to the deepest winter mixed layer depth of 56m), with the uncertainties ranging from 0.9 ~ 2.2molCm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NCP estimates followed a monsoonal pattern with higher values in the cold season (November to April) when northeast monsoon prevailed and low values in the warm season (June to September) when this area was dominated by the southwest monsoon. Most of the net heterotrophic events occurred in the warm season. The magnitude and seasonal pattern derived from our results agree with previous export production studies based on discrete measurements. Comparison with satellite-derived NCP revealed that the results derived with NPP from Carbon-based Production Model (CbPM) were closer to the Argo measurements than the results derived with NPP from Vertically Generalized Production Model (VGPM) in magnitude; while the VGPM-based approach did a better job in reproducing the seasonal cycle of NCP in this area. This novel approach provides the possibilities to study the carbon cycle in the SCS with a much higher temporal and spatial resolution, as well as more insights for metabolic state in the oligotrophic subtropical gyres.","container-title":"Deep Sea Research Part I: Oceanographic Research Papers","DOI":"10.1016/j.dsr.2017.11.002","ISSN":"0967-0637","journalAbbreviation":"Deep Sea Research Part I: Oceanographic Research Papers","language":"en","page":"54-61","source":"ScienceDirect","title":"Net community production in the South China Sea Basin estimated from in situ O2 measurements on an Argo profiling float","volume":"131","author":[{"family":"Huang","given":"Yibin"},{"family":"Yang","given":"Bo"},{"family":"Chen","given":"Bingzhang"},{"family":"Qiu","given":"Guoqiang"},{"family":"Wang","given":"Haili"},{"family":"Huang","given":"Bangqin"}],"issued":{"date-parts":[["2018",1,1]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Huang et al. (2018)</w:t>
            </w:r>
            <w:r>
              <w:rPr>
                <w:rFonts w:ascii="Times New Roman" w:eastAsia="Yu Gothic" w:hAnsi="Times New Roman" w:cs="Times New Roman"/>
                <w:color w:val="000000"/>
                <w:sz w:val="20"/>
                <w:szCs w:val="20"/>
              </w:rPr>
              <w:fldChar w:fldCharType="end"/>
            </w:r>
          </w:p>
        </w:tc>
      </w:tr>
      <w:tr w:rsidR="00E82161" w:rsidRPr="00005F1A" w14:paraId="6710B220"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57011F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6D1E5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310C7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1.50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B8723E"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03B12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AF29C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E1F17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F90A9D" w14:textId="62C635D2"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3567FE">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19259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FC3012C" w14:textId="40B08CFC" w:rsidR="00E82161" w:rsidRPr="00FD2BBD" w:rsidRDefault="00E82161" w:rsidP="00E82161">
            <w:pPr>
              <w:jc w:val="center"/>
              <w:rPr>
                <w:rFonts w:ascii="Times New Roman" w:eastAsia="Yu Gothic" w:hAnsi="Times New Roman" w:cs="Times New Roman"/>
                <w:color w:val="000000"/>
                <w:sz w:val="20"/>
                <w:szCs w:val="20"/>
              </w:rPr>
            </w:pPr>
            <w:r w:rsidRPr="006F3CC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{"citationID":"SG9bDiuW","properties":{"formattedCitation":"(Huang et al. 2022)","plainCitation":"(Huang et al. 2022)","dontUpdate":true,"noteIndex":0},"citationItems":[{"id":2043,"uris":["http://zotero.org/users/7846282/items/WAVHA8Q8"],"itemData":{"id":2043,"type":"article-journal","abstract":"We leverage observations from chemical and bio-optical sensors mounted on a biogeochemical profiling float in the Northeast Pacific Ocean to quantify the cycling and export potential of distinct biogenic carbon pools, including particulate inorganic carbon (PIC), particulate organic carbon (POC), and dissolved organic carbon (DOC). Year-round observations reveal complex carbon cycle dynamics among these carbon pools. Net DOC production peaked during bloom initiation, about 3 months prior to the summer peak in POC production. We validate the float estimates of DOC cycling with seasonal accumulation and removal rates derived from ship-board DOC observations over the same period. By combining chemical and bio-optical tracers of POC cycling, we estimate the instantaneous POC sinking flux (). The cooccurrence of DOC consumption and POC production and sinking during fall and winter resolves the regional conundrum of a persistent particle sinking flux observed by sediment traps during a season that is known to be heterotrophic. PIC production is small, and uncertainties are large. By combining float-based estimates of instantaneous net primary production (NPP) and , we quantify a real-time carbon export ratio ([/NPP] × 100%) for the euphotic zone. Elevated export ratios during summer are associated with an increase in the fraction of particles larger than 100 μm in size. Elevated export ratios during winter are associated with the physical redistribution of particles through seasonal deep mixing. Our study demonstrates how the combined use of multiple sensors on biogeochemical profiling floats can provide more nuanced information about upper ocean carbon cycle dynamics.","container-title":"Global Biogeochemical Cycles","DOI":"10.1029/2021GB007178","ISSN":"1944-9224","issue":"2","language":"en","note":"_eprint: https://onlinelibrary.wiley.com/doi/pdf/10.1029/2021GB007178","page":"e2021GB007178","source":"Wiley Online Library","title":"Partitioning the Export of Distinct Biogenic Carbon Pools in the Northeast Pacific Ocean Using a Biogeochemical Profiling Float","volume":"36","author":[{"family":"Huang","given":"Yibin"},{"family":"Fassbender","given":"Andrea J."},{"family":"Long","given":"Jacqueline S."},{"family":"Johannessen","given":"Sophia"},{"family":"Bernardi Bif","given":"Mariana"}],"issued":{"date-parts":[["2022"]]}}}],"schema":"https://github.com/citation-style-language/schema/raw/master/csl-citation.json"} </w:instrText>
            </w:r>
            <w:r w:rsidRPr="006F3CC1">
              <w:rPr>
                <w:rFonts w:ascii="Times New Roman" w:eastAsia="Yu Gothic" w:hAnsi="Times New Roman" w:cs="Times New Roman"/>
                <w:color w:val="000000"/>
                <w:sz w:val="20"/>
                <w:szCs w:val="20"/>
              </w:rPr>
              <w:fldChar w:fldCharType="separate"/>
            </w:r>
            <w:r w:rsidRPr="006F3CC1">
              <w:rPr>
                <w:rFonts w:ascii="Times New Roman" w:eastAsia="Yu Gothic" w:hAnsi="Times New Roman" w:cs="Times New Roman"/>
                <w:noProof/>
                <w:color w:val="000000"/>
                <w:sz w:val="20"/>
                <w:szCs w:val="20"/>
              </w:rPr>
              <w:t xml:space="preserve">Huang et al. </w:t>
            </w:r>
            <w:r>
              <w:rPr>
                <w:rFonts w:ascii="Times New Roman" w:eastAsia="Yu Gothic" w:hAnsi="Times New Roman" w:cs="Times New Roman"/>
                <w:noProof/>
                <w:color w:val="000000"/>
                <w:sz w:val="20"/>
                <w:szCs w:val="20"/>
              </w:rPr>
              <w:t>(</w:t>
            </w:r>
            <w:r w:rsidRPr="006F3CC1">
              <w:rPr>
                <w:rFonts w:ascii="Times New Roman" w:eastAsia="Yu Gothic" w:hAnsi="Times New Roman" w:cs="Times New Roman"/>
                <w:noProof/>
                <w:color w:val="000000"/>
                <w:sz w:val="20"/>
                <w:szCs w:val="20"/>
              </w:rPr>
              <w:t>2022)</w:t>
            </w:r>
            <w:r w:rsidRPr="006F3CC1">
              <w:rPr>
                <w:rFonts w:ascii="Times New Roman" w:eastAsia="Yu Gothic" w:hAnsi="Times New Roman" w:cs="Times New Roman"/>
                <w:color w:val="000000"/>
                <w:sz w:val="20"/>
                <w:szCs w:val="20"/>
              </w:rPr>
              <w:fldChar w:fldCharType="end"/>
            </w:r>
          </w:p>
        </w:tc>
      </w:tr>
      <w:tr w:rsidR="00E82161" w:rsidRPr="00005F1A" w14:paraId="56EEB1F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DCD4B6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D3200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81D7A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3A492D"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162FB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308C2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7E128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9AAF9F" w14:textId="690BAB0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503F1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891A835" w14:textId="3A512030" w:rsidR="00E82161" w:rsidRPr="00FD2BBD" w:rsidRDefault="00E82161" w:rsidP="00E82161">
            <w:pPr>
              <w:jc w:val="center"/>
              <w:rPr>
                <w:rFonts w:ascii="Times New Roman" w:eastAsia="Yu Gothic" w:hAnsi="Times New Roman" w:cs="Times New Roman"/>
                <w:color w:val="000000"/>
                <w:sz w:val="20"/>
                <w:szCs w:val="20"/>
              </w:rPr>
            </w:pPr>
            <w:r w:rsidRPr="006F3CC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{"citationID":"IaaDaKay","properties":{"formattedCitation":"(Huang et al. 2022)","plainCitation":"(Huang et al. 2022)","dontUpdate":true,"noteIndex":0},"citationItems":[{"id":2043,"uris":["http://zotero.org/users/7846282/items/WAVHA8Q8"],"itemData":{"id":2043,"type":"article-journal","abstract":"We leverage observations from chemical and bio-optical sensors mounted on a biogeochemical profiling float in the Northeast Pacific Ocean to quantify the cycling and export potential of distinct biogenic carbon pools, including particulate inorganic carbon (PIC), particulate organic carbon (POC), and dissolved organic carbon (DOC). Year-round observations reveal complex carbon cycle dynamics among these carbon pools. Net DOC production peaked during bloom initiation, about 3 months prior to the summer peak in POC production. We validate the float estimates of DOC cycling with seasonal accumulation and removal rates derived from ship-board DOC observations over the same period. By combining chemical and bio-optical tracers of POC cycling, we estimate the instantaneous POC sinking flux (). The cooccurrence of DOC consumption and POC production and sinking during fall and winter resolves the regional conundrum of a persistent particle sinking flux observed by sediment traps during a season that is known to be heterotrophic. PIC production is small, and uncertainties are large. By combining float-based estimates of instantaneous net primary production (NPP) and , we quantify a real-time carbon export ratio ([/NPP] × 100%) for the euphotic zone. Elevated export ratios during summer are associated with an increase in the fraction of particles larger than 100 μm in size. Elevated export ratios during winter are associated with the physical redistribution of particles through seasonal deep mixing. Our study demonstrates how the combined use of multiple sensors on biogeochemical profiling floats can provide more nuanced information about upper ocean carbon cycle dynamics.","container-title":"Global Biogeochemical Cycles","DOI":"10.1029/2021GB007178","ISSN":"1944-9224","issue":"2","language":"en","note":"_eprint: https://onlinelibrary.wiley.com/doi/pdf/10.1029/2021GB007178","page":"e2021GB007178","source":"Wiley Online Library","title":"Partitioning the Export of Distinct Biogenic Carbon Pools in the Northeast Pacific Ocean Using a Biogeochemical Profiling Float","volume":"36","author":[{"family":"Huang","given":"Yibin"},{"family":"Fassbender","given":"Andrea J."},{"family":"Long","given":"Jacqueline S."},{"family":"Johannessen","given":"Sophia"},{"family":"Bernardi Bif","given":"Mariana"}],"issued":{"date-parts":[["2022"]]}}}],"schema":"https://github.com/citation-style-language/schema/raw/master/csl-citation.json"} </w:instrText>
            </w:r>
            <w:r w:rsidRPr="006F3CC1">
              <w:rPr>
                <w:rFonts w:ascii="Times New Roman" w:eastAsia="Yu Gothic" w:hAnsi="Times New Roman" w:cs="Times New Roman"/>
                <w:color w:val="000000"/>
                <w:sz w:val="20"/>
                <w:szCs w:val="20"/>
              </w:rPr>
              <w:fldChar w:fldCharType="separate"/>
            </w:r>
            <w:r w:rsidRPr="006F3CC1">
              <w:rPr>
                <w:rFonts w:ascii="Times New Roman" w:eastAsia="Yu Gothic" w:hAnsi="Times New Roman" w:cs="Times New Roman"/>
                <w:noProof/>
                <w:color w:val="000000"/>
                <w:sz w:val="20"/>
                <w:szCs w:val="20"/>
              </w:rPr>
              <w:t xml:space="preserve">Huang et al. </w:t>
            </w:r>
            <w:r>
              <w:rPr>
                <w:rFonts w:ascii="Times New Roman" w:eastAsia="Yu Gothic" w:hAnsi="Times New Roman" w:cs="Times New Roman"/>
                <w:noProof/>
                <w:color w:val="000000"/>
                <w:sz w:val="20"/>
                <w:szCs w:val="20"/>
              </w:rPr>
              <w:t>(</w:t>
            </w:r>
            <w:r w:rsidRPr="006F3CC1">
              <w:rPr>
                <w:rFonts w:ascii="Times New Roman" w:eastAsia="Yu Gothic" w:hAnsi="Times New Roman" w:cs="Times New Roman"/>
                <w:noProof/>
                <w:color w:val="000000"/>
                <w:sz w:val="20"/>
                <w:szCs w:val="20"/>
              </w:rPr>
              <w:t>2022)</w:t>
            </w:r>
            <w:r w:rsidRPr="006F3CC1">
              <w:rPr>
                <w:rFonts w:ascii="Times New Roman" w:eastAsia="Yu Gothic" w:hAnsi="Times New Roman" w:cs="Times New Roman"/>
                <w:color w:val="000000"/>
                <w:sz w:val="20"/>
                <w:szCs w:val="20"/>
              </w:rPr>
              <w:fldChar w:fldCharType="end"/>
            </w:r>
          </w:p>
        </w:tc>
      </w:tr>
      <w:tr w:rsidR="00E82161" w:rsidRPr="00005F1A" w14:paraId="602B281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A862F0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C7A17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89743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3B7D93"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4D615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9B565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4D03E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9A9D57" w14:textId="7FAD216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692DAD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AE2217A" w14:textId="1DD39CD5" w:rsidR="00E82161" w:rsidRPr="00FD2BBD" w:rsidRDefault="00E82161" w:rsidP="00E82161">
            <w:pPr>
              <w:jc w:val="center"/>
              <w:rPr>
                <w:rFonts w:ascii="Times New Roman" w:eastAsia="Yu Gothic" w:hAnsi="Times New Roman" w:cs="Times New Roman"/>
                <w:color w:val="000000"/>
                <w:sz w:val="20"/>
                <w:szCs w:val="20"/>
              </w:rPr>
            </w:pPr>
            <w:r w:rsidRPr="006F3CC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{"citationID":"Rl2u1xvV","properties":{"formattedCitation":"(Huang et al. 2022)","plainCitation":"(Huang et al. 2022)","dontUpdate":true,"noteIndex":0},"citationItems":[{"id":2043,"uris":["http://zotero.org/users/7846282/items/WAVHA8Q8"],"itemData":{"id":2043,"type":"article-journal","abstract":"We leverage observations from chemical and bio-optical sensors mounted on a biogeochemical profiling float in the Northeast Pacific Ocean to quantify the cycling and export potential of distinct biogenic carbon pools, including particulate inorganic carbon (PIC), particulate organic carbon (POC), and dissolved organic carbon (DOC). Year-round observations reveal complex carbon cycle dynamics among these carbon pools. Net DOC production peaked during bloom initiation, about 3 months prior to the summer peak in POC production. We validate the float estimates of DOC cycling with seasonal accumulation and removal rates derived from ship-board DOC observations over the same period. By combining chemical and bio-optical tracers of POC cycling, we estimate the instantaneous POC sinking flux (). The cooccurrence of DOC consumption and POC production and sinking during fall and winter resolves the regional conundrum of a persistent particle sinking flux observed by sediment traps during a season that is known to be heterotrophic. PIC production is small, and uncertainties are large. By combining float-based estimates of instantaneous net primary production (NPP) and , we quantify a real-time carbon export ratio ([/NPP] × 100%) for the euphotic zone. Elevated export ratios during summer are associated with an increase in the fraction of particles larger than 100 μm in size. Elevated export ratios during winter are associated with the physical redistribution of particles through seasonal deep mixing. Our study demonstrates how the combined use of multiple sensors on biogeochemical profiling floats can provide more nuanced information about upper ocean carbon cycle dynamics.","container-title":"Global Biogeochemical Cycles","DOI":"10.1029/2021GB007178","ISSN":"1944-9224","issue":"2","language":"en","note":"_eprint: https://onlinelibrary.wiley.com/doi/pdf/10.1029/2021GB007178","page":"e2021GB007178","source":"Wiley Online Library","title":"Partitioning the Export of Distinct Biogenic Carbon Pools in the Northeast Pacific Ocean Using a Biogeochemical Profiling Float","volume":"36","author":[{"family":"Huang","given":"Yibin"},{"family":"Fassbender","given":"Andrea J."},{"family":"Long","given":"Jacqueline S."},{"family":"Johannessen","given":"Sophia"},{"family":"Bernardi Bif","given":"Mariana"}],"issued":{"date-parts":[["2022"]]}}}],"schema":"https://github.com/citation-style-language/schema/raw/master/csl-citation.json"} </w:instrText>
            </w:r>
            <w:r w:rsidRPr="006F3CC1">
              <w:rPr>
                <w:rFonts w:ascii="Times New Roman" w:eastAsia="Yu Gothic" w:hAnsi="Times New Roman" w:cs="Times New Roman"/>
                <w:color w:val="000000"/>
                <w:sz w:val="20"/>
                <w:szCs w:val="20"/>
              </w:rPr>
              <w:fldChar w:fldCharType="separate"/>
            </w:r>
            <w:r w:rsidRPr="006F3CC1">
              <w:rPr>
                <w:rFonts w:ascii="Times New Roman" w:eastAsia="Yu Gothic" w:hAnsi="Times New Roman" w:cs="Times New Roman"/>
                <w:noProof/>
                <w:color w:val="000000"/>
                <w:sz w:val="20"/>
                <w:szCs w:val="20"/>
              </w:rPr>
              <w:t xml:space="preserve">Huang et al. </w:t>
            </w:r>
            <w:r>
              <w:rPr>
                <w:rFonts w:ascii="Times New Roman" w:eastAsia="Yu Gothic" w:hAnsi="Times New Roman" w:cs="Times New Roman"/>
                <w:noProof/>
                <w:color w:val="000000"/>
                <w:sz w:val="20"/>
                <w:szCs w:val="20"/>
              </w:rPr>
              <w:t>(</w:t>
            </w:r>
            <w:r w:rsidRPr="006F3CC1">
              <w:rPr>
                <w:rFonts w:ascii="Times New Roman" w:eastAsia="Yu Gothic" w:hAnsi="Times New Roman" w:cs="Times New Roman"/>
                <w:noProof/>
                <w:color w:val="000000"/>
                <w:sz w:val="20"/>
                <w:szCs w:val="20"/>
              </w:rPr>
              <w:t>2022)</w:t>
            </w:r>
            <w:r w:rsidRPr="006F3CC1">
              <w:rPr>
                <w:rFonts w:ascii="Times New Roman" w:eastAsia="Yu Gothic" w:hAnsi="Times New Roman" w:cs="Times New Roman"/>
                <w:color w:val="000000"/>
                <w:sz w:val="20"/>
                <w:szCs w:val="20"/>
              </w:rPr>
              <w:fldChar w:fldCharType="end"/>
            </w:r>
          </w:p>
        </w:tc>
      </w:tr>
      <w:tr w:rsidR="00E82161" w:rsidRPr="00005F1A" w14:paraId="78F85FF7"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D03820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A1278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765B2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0.80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93E3B3"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931F8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TA</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2D14D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849E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C2332E" w14:textId="2FE761E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321D8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DA408F4" w14:textId="63D30DB9" w:rsidR="00E82161" w:rsidRPr="00FD2BBD" w:rsidRDefault="00E82161" w:rsidP="00E82161">
            <w:pPr>
              <w:jc w:val="center"/>
              <w:rPr>
                <w:rFonts w:ascii="Times New Roman" w:eastAsia="Yu Gothic" w:hAnsi="Times New Roman" w:cs="Times New Roman"/>
                <w:color w:val="000000"/>
                <w:sz w:val="20"/>
                <w:szCs w:val="20"/>
              </w:rPr>
            </w:pPr>
            <w:r w:rsidRPr="006F3CC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{"citationID":"2IuoGiQm","properties":{"formattedCitation":"(Huang et al. 2022)","plainCitation":"(Huang et al. 2022)","dontUpdate":true,"noteIndex":0},"citationItems":[{"id":2043,"uris":["http://zotero.org/users/7846282/items/WAVHA8Q8"],"itemData":{"id":2043,"type":"article-journal","abstract":"We leverage observations from chemical and bio-optical sensors mounted on a biogeochemical profiling float in the Northeast Pacific Ocean to quantify the cycling and export potential of distinct biogenic carbon pools, including particulate inorganic carbon (PIC), particulate organic carbon (POC), and dissolved organic carbon (DOC). Year-round observations reveal complex carbon cycle dynamics among these carbon pools. Net DOC production peaked during bloom initiation, about 3 months prior to the summer peak in POC production. We validate the float estimates of DOC cycling with seasonal accumulation and removal rates derived from ship-board DOC observations over the same period. By combining chemical and bio-optical tracers of POC cycling, we estimate the instantaneous POC sinking flux (). The cooccurrence of DOC consumption and POC production and sinking during fall and winter resolves the regional conundrum of a persistent particle sinking flux observed by sediment traps during a season that is known to be heterotrophic. PIC production is small, and uncertainties are large. By combining float-based estimates of instantaneous net primary production (NPP) and , we quantify a real-time carbon export ratio ([/NPP] × 100%) for the euphotic zone. Elevated export ratios during summer are associated with an increase in the fraction of particles larger than 100 μm in size. Elevated export ratios during winter are associated with the physical redistribution of particles through seasonal deep mixing. Our study demonstrates how the combined use of multiple sensors on biogeochemical profiling floats can provide more nuanced information about upper ocean carbon cycle dynamics.","container-title":"Global Biogeochemical Cycles","DOI":"10.1029/2021GB007178","ISSN":"1944-9224","issue":"2","language":"en","note":"_eprint: https://onlinelibrary.wiley.com/doi/pdf/10.1029/2021GB007178","page":"e2021GB007178","source":"Wiley Online Library","title":"Partitioning the Export of Distinct Biogenic Carbon Pools in the Northeast Pacific Ocean Using a Biogeochemical Profiling Float","volume":"36","author":[{"family":"Huang","given":"Yibin"},{"family":"Fassbender","given":"Andrea J."},{"family":"Long","given":"Jacqueline S."},{"family":"Johannessen","given":"Sophia"},{"family":"Bernardi Bif","given":"Mariana"}],"issued":{"date-parts":[["2022"]]}}}],"schema":"https://github.com/citation-style-language/schema/raw/master/csl-citation.json"} </w:instrText>
            </w:r>
            <w:r w:rsidRPr="006F3CC1">
              <w:rPr>
                <w:rFonts w:ascii="Times New Roman" w:eastAsia="Yu Gothic" w:hAnsi="Times New Roman" w:cs="Times New Roman"/>
                <w:color w:val="000000"/>
                <w:sz w:val="20"/>
                <w:szCs w:val="20"/>
              </w:rPr>
              <w:fldChar w:fldCharType="separate"/>
            </w:r>
            <w:r w:rsidRPr="006F3CC1">
              <w:rPr>
                <w:rFonts w:ascii="Times New Roman" w:eastAsia="Yu Gothic" w:hAnsi="Times New Roman" w:cs="Times New Roman"/>
                <w:noProof/>
                <w:color w:val="000000"/>
                <w:sz w:val="20"/>
                <w:szCs w:val="20"/>
              </w:rPr>
              <w:t xml:space="preserve">Huang et al. </w:t>
            </w:r>
            <w:r>
              <w:rPr>
                <w:rFonts w:ascii="Times New Roman" w:eastAsia="Yu Gothic" w:hAnsi="Times New Roman" w:cs="Times New Roman"/>
                <w:noProof/>
                <w:color w:val="000000"/>
                <w:sz w:val="20"/>
                <w:szCs w:val="20"/>
              </w:rPr>
              <w:t>(</w:t>
            </w:r>
            <w:r w:rsidRPr="006F3CC1">
              <w:rPr>
                <w:rFonts w:ascii="Times New Roman" w:eastAsia="Yu Gothic" w:hAnsi="Times New Roman" w:cs="Times New Roman"/>
                <w:noProof/>
                <w:color w:val="000000"/>
                <w:sz w:val="20"/>
                <w:szCs w:val="20"/>
              </w:rPr>
              <w:t>2022)</w:t>
            </w:r>
            <w:r w:rsidRPr="006F3CC1">
              <w:rPr>
                <w:rFonts w:ascii="Times New Roman" w:eastAsia="Yu Gothic" w:hAnsi="Times New Roman" w:cs="Times New Roman"/>
                <w:color w:val="000000"/>
                <w:sz w:val="20"/>
                <w:szCs w:val="20"/>
              </w:rPr>
              <w:fldChar w:fldCharType="end"/>
            </w:r>
          </w:p>
        </w:tc>
      </w:tr>
      <w:tr w:rsidR="00E82161" w:rsidRPr="00005F1A" w14:paraId="1E73DD8B"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4FB8436C" w14:textId="7C40485A"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2.5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FF5728" w14:textId="7CE2B66C"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.67</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0BF79F6" w14:textId="16225980"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1</w:t>
            </w:r>
            <w:r>
              <w:rPr>
                <w:rFonts w:ascii="Times New Roman" w:eastAsia="Yu Gothic" w:hAnsi="Times New Roman" w:cs="Times New Roman"/>
                <w:color w:val="000000"/>
                <w:sz w:val="20"/>
                <w:szCs w:val="20"/>
              </w:rPr>
              <w:t>.42</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B6C9E1" w14:textId="45E0463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M</w:t>
            </w:r>
            <w:r>
              <w:rPr>
                <w:rFonts w:ascii="Times New Roman" w:eastAsia="Yu Gothic" w:hAnsi="Times New Roman" w:cs="Times New Roman"/>
                <w:color w:val="000000"/>
                <w:sz w:val="20"/>
                <w:szCs w:val="20"/>
              </w:rPr>
              <w:t>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6B8BB6" w14:textId="673B7F8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T</w:t>
            </w:r>
            <w:r>
              <w:rPr>
                <w:rFonts w:ascii="Times New Roman" w:eastAsia="Yu Gothic" w:hAnsi="Times New Roman" w:cs="Times New Roman"/>
                <w:color w:val="000000"/>
                <w:sz w:val="20"/>
                <w:szCs w:val="20"/>
              </w:rPr>
              <w:t>CO</w:t>
            </w:r>
            <w:r w:rsidRPr="0010373B">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7DBB030" w14:textId="43A66AE1"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B</w:t>
            </w:r>
            <w:r>
              <w:rPr>
                <w:rFonts w:ascii="Times New Roman" w:eastAsia="Yu Gothic" w:hAnsi="Times New Roman" w:cs="Times New Roman"/>
                <w:color w:val="000000"/>
                <w:sz w:val="20"/>
                <w:szCs w:val="20"/>
              </w:rPr>
              <w:t>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031101" w14:textId="7642FEA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S</w:t>
            </w:r>
            <w:r>
              <w:rPr>
                <w:rFonts w:ascii="Times New Roman" w:eastAsia="Yu Gothic" w:hAnsi="Times New Roman" w:cs="Times New Roman"/>
                <w:color w:val="000000"/>
                <w:sz w:val="20"/>
                <w:szCs w:val="20"/>
              </w:rPr>
              <w:t>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B03EF5" w14:textId="5D64B91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1</w:t>
            </w:r>
            <w:r>
              <w:rPr>
                <w:rFonts w:ascii="Times New Roman" w:eastAsia="Yu Gothic" w:hAnsi="Times New Roman" w:cs="Times New Roman"/>
                <w:color w:val="000000"/>
                <w:sz w:val="20"/>
                <w:szCs w:val="20"/>
              </w:rPr>
              <w:t>997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66C36E9" w14:textId="47D111E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W</w:t>
            </w:r>
            <w:r>
              <w:rPr>
                <w:rFonts w:ascii="Times New Roman" w:eastAsia="Yu Gothic" w:hAnsi="Times New Roman" w:cs="Times New Roman"/>
                <w:color w:val="000000"/>
                <w:sz w:val="20"/>
                <w:szCs w:val="20"/>
              </w:rPr>
              <w:t>OCE P09</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108376DE" w14:textId="209DC704" w:rsidR="00E82161"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{"citationID":"TEwhNgdc","properties":{"formattedCitation":"(Ishii et al. 2001)","plainCitation":"(Ishii et al. 2001)","noteIndex":0},"citationItems":[{"id":2200,"uris":["http://zotero.org/users/7846282/items/ZSYXLFFB"],"itemData":{"id":2200,"type":"article-journal","abstract":"Seasonal variation in total inorganic carbon (TCO2) in surface waters of the western North Pacific (137°–152°E) subtropical gyre was analyzed on the basis of measurements of TCO2 and partial pressure of CO2 (pCO2sw). The controlling processes including vertical mixing, horizontal advection, and net air–sea CO2 transport, as well as biological activity, were quantified. The seasonal increase in normalized TCO2 (NTCO2) from autumn to winter, ranging from 19 to 37 μmol 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northern part of the subtropical gyre between 24°N and 30°N, was predominantly accounted for by the upward supply of TCO2 due to enhanced vertical mixing. The contribution of horizontal advection, estimated from monthly meridional NTCO2 distributions and the monthly advection field of the Meteorological Research Institute (MRI)'s 3D-ocean general circulation model, was insignificant. Analyses of the mixed-layer NTCO2 budget revealed that biological activity was playing an important role in the decrease in surface NTCO2 from winter to summer. Annual net community production reached 48±19 gC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between 24°N and 30°N, and 19±16 gC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2 between 15°N and 23°N.","container-title":"Marine Chemistry","DOI":"10.1016/S0304-4203(01)00023-8","ISSN":"0304-4203","issue":"1","journalAbbreviation":"Marine Chemistry","language":"en","page":"17-32","source":"ScienceDirect","title":"Seasonal variation in total inorganic carbon and its controlling processes in surface waters of the western North Pacific subtropical gyre","volume":"75","author":[{"family":"Ishii","given":"Masao"},{"family":"Inoue","given":"Hisayuki Y"},{"family":"Matsueda","given":"Hidekazu"},{"family":"Saito","given":"Shu"},{"family":"Fushimi","given":"Katsuhiko"},{"family":"Nemoto","given":"Kazuhiro"},{"family":"Yano","given":"Toshihiko"},{"family":"Nagai","given":"Hideki"},{"family":"Midorikawa","given":"Takashi"}],"issued":{"date-parts":[["2001",7,1]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(Ishii et al. 2001)</w:t>
            </w:r>
            <w:r>
              <w:rPr>
                <w:rFonts w:ascii="Times New Roman" w:eastAsia="Yu Gothic" w:hAnsi="Times New Roman" w:cs="Times New Roman"/>
                <w:color w:val="000000"/>
                <w:sz w:val="20"/>
                <w:szCs w:val="20"/>
              </w:rPr>
              <w:fldChar w:fldCharType="end"/>
            </w:r>
          </w:p>
        </w:tc>
      </w:tr>
      <w:tr w:rsidR="00E82161" w:rsidRPr="00005F1A" w14:paraId="2FA1F897"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FF992C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80549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39706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0.80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9A19E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E1724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5E9540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49424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812877" w14:textId="5AA3D3ED"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FA225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4035A0A" w14:textId="7FD15C4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{"citationID":"edu019HV","properties":{"formattedCitation":"(Keeling et al. 2004)","plainCitation":"(Keeling et al. 2004)","dontUpdate":true,"noteIndex":0},"citationItems":[{"id":2505,"uris":["http://zotero.org/users/7846282/items/SCEPZHSR"],"itemData":{"id":2505,"type":"article-journal","abstract":"Long-term trends and average seasonal variability in the upper ocean carbon cycle are investigated at Station ALOHA, the site of the U.S. JGOFS Hawaii Ocean Time series program (HOT), on the basis of a 14-year time series (1988–2002) of dissolved inorganic carbon (DIC), alkalinity, and 13C/12C ratio of DIC data. Salinity-normalized DIC (sDIC) and computed oceanic pCO2 show distinct upward trends of 1.2 ± 0.1 μmol 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2.5 ± 0.1 μatm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while the 13C/12C isotopic ratio of DIC (expressed as δ13Coc) decreases at a mean rate of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0.027 ± 0.001‰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More than half of the rates of change in sDIC and oceanic pCO2, and most of the change in 13C/12C, are attributed to the uptake of isotopically light anthropogenic CO2 from the atmosphere. The residual trends appear to be caused mainly by a regional change in the net freshwater budget, perhaps associated with a regime change of the North Pacific climate system near 1997. Computed oceanic pCO2 is below atmospheric pCO2 for nearly the entire year, leading to an annual mean surface ocean pCO2 undersaturation of about 18 μatm, and to an annual uptake of CO2 from the atmosphere, which we compute to be 1.0 ± 0.1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We estimate that about 30% of this flux relates to the uptake of anthropogenic CO2, and the remainder to biologically mediated export of organic carbon. Using a modified version of the diagnostic model of Gruber et al. [1998], constrained by δ13Coc, we infer net community production of organic carbon (NCP) to be the dominant process generating the observed seasonal variability in sDIC. The annual integral of NCP, 2.3 ± 0.8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is comparable to previous estimates of biological production in the subtropical North Pacific. Annually integrated fluxes of air-sea gas exchange and NCP at Station ALOHA are each about two thirds of those computed for the upper ocean near Bermuda using similar methods of estimation [Gruber et al., 1998, 2002]. However, the seasonal amplitudes of sDIC and δ13Coc near Hawaii are only half as large as near Bermuda, because air-sea gas exchange and NCP tend to oppose each other near Hawaii, but reinforce each other near Bermuda.","container-title":"Global Biogeochemical Cycles","DOI":"10.1029/2004GB002227","ISSN":"1944-9224","issue":"4","language":"en","license":"Copyright 2004 by the American Geophysical Union.","note":"_eprint: https://onlinelibrary.wiley.com/doi/pdf/10.1029/2004GB002227","source":"Wiley Online Library","title":"Seasonal and long-term dynamics of the upper ocean carbon cycle at Station ALOHA near Hawaii","URL":"https://onlinelibrary.wiley.com/doi/abs/10.1029/2004GB002227","volume":"18","author":[{"family":"Keeling","given":"Charles D."},{"family":"Brix","given":"Holger"},{"family":"Gruber","given":"Nicolas"}],"accessed":{"date-parts":[["2023",7,27]]},"issued":{"date-parts":[["2004"]]}}}],"schema":"https://github.com/citation-style-language/schema/raw/master/csl-citation.json"}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Keeling et al. (2004)</w:t>
            </w:r>
            <w:r>
              <w:rPr>
                <w:rFonts w:ascii="Times New Roman" w:eastAsia="Yu Gothic" w:hAnsi="Times New Roman" w:cs="Times New Roman"/>
                <w:color w:val="000000"/>
                <w:sz w:val="20"/>
                <w:szCs w:val="20"/>
              </w:rPr>
              <w:fldChar w:fldCharType="end"/>
            </w:r>
          </w:p>
        </w:tc>
      </w:tr>
      <w:tr w:rsidR="00E82161" w:rsidRPr="00005F1A" w14:paraId="3528E2C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D7EA76E" w14:textId="5A061259"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42.5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EA09F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3.90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8C3A5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0.73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5A7FD7E" w14:textId="079845F0"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(50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B4A05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78141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Subsurface change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A7216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B83F1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59E9D7"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66CC0B0" w14:textId="7FA29C4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{"citationID":"iGy968sW","properties":{"formattedCitation":"(Martz et al. 2008)","plainCitation":"(Martz et al. 2008)","dontUpdate":true,"noteIndex":0},"citationItems":[{"id":2400,"uris":["http://zotero.org/users/7846282/items/LBB3XTFK"],"itemData":{"id":2400,"type":"article-journal","abstract":"We estimated rates of production and export in the South Pacific (80°W to 180°W in a zonal band between 35°S and 50°S) using 1.5 yr of oxygen measurements from profiling floats. Export production, calculated from oxygen utilization rates below the compensation depth from December to April, was 10.7 ± 2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(n = 36, 95% CI). The corresponding satellite net primary production was 46 ± 4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yielding a regional e-ratio of 0.23 ± 0.05. Averaging oxygen utilization rates resulted in a net cancellation of most water mass changes related to advection and float migration. The composite vertical profile of remineralization rates, obtained by binning 36 rate profiles, agreed with published measurements based on oxygen utilization rates in hydrographic surveys and fits the classic form of a particulate organic carbon (POC) attenuation function. However, the disagreement between oxygen-based remineralization rates and those obtained by sediment traps suggests fundamental differences between these two methods. Using float data to constrain a one-dimensional mixed-layer model, the annual net community production at 45°S, 144°W was 2.5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Spatial trends in export production coinciding with the New Zealand shelf and Subtropical Front are identified.","container-title":"Limnology and Oceanography","DOI":"10.4319/lo.2008.53.5_part_2.2094","ISSN":"1939-5590","issue":"5part2","language":"en","license":"© 2008, by the Association for the Sciences of Limnology and Oceanography, Inc.","note":"_eprint: https://onlinelibrary.wiley.com/doi/pdf/10.4319/lo.2008.53.5_part_2.2094","page":"2094-2111","source":"Wiley Online Library","title":"Ocean metabolism observed with oxygen sensors on profiling floats in the South Pacific","volume":"53","author":[{"family":"Martz","given":"Todd R."},{"family":"Johnson","given":"Kenneth S."},{"family":"Riser","given":"Stephen C."}],"issued":{"date-parts":[["2008"]]}}}],"schema":"https://github.com/citation-style-language/schema/raw/master/csl-citation.json"}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Martz et al. (2008)</w:t>
            </w:r>
            <w:r>
              <w:rPr>
                <w:rFonts w:ascii="Times New Roman" w:eastAsia="Yu Gothic" w:hAnsi="Times New Roman" w:cs="Times New Roman"/>
                <w:color w:val="000000"/>
                <w:sz w:val="20"/>
                <w:szCs w:val="20"/>
              </w:rPr>
              <w:fldChar w:fldCharType="end"/>
            </w:r>
          </w:p>
        </w:tc>
      </w:tr>
      <w:tr w:rsidR="00E82161" w:rsidRPr="00005F1A" w14:paraId="219E09A2"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37098A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48.0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9E663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2.90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C504E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0.20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55919F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T min. layer</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45AD4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14B45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Drawdown</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572EA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A53CE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1DE593"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1FCFDB6" w14:textId="344E46FE"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{"citationID":"eZ1ZDI3u","properties":{"formattedCitation":"(Midorikawa et al. 2002)","plainCitation":"(Midorikawa et al. 2002)","dontUpdate":true,"noteIndex":0},"citationItems":[{"id":2406,"uris":["http://zotero.org/users/7846282/items/V69LWL9H"],"itemData":{"id":2406,"type":"article-journal","abstract":"The distributions of the partial pressure of CO2, pCO2sea, total concentration of dissolved CO2 species, DIC, and nutrients in the upper 300m in water column along 165°E in the western subarctic North Pacific were investigated in June and September, 1997. The high levels of pCO2sea observed north of 40.5°N in June decreased in September. The region north of 47°N changed from being a source for atmospheric CO2 in June to a sink in September. The surface mixed-layer depth decreased from June to September and the concentrations of DIC and nutrients in the mixed layer greatly decreased during that period. Vertical observations at 48°N, 165°E in the Western Subarctic Gyre showed the occurrence of a dichothermal structure, characterized by a temperature minimum (Tmin) layer, in both June and September. The concentrations of DIC and nutrients in the wintertime mixed layer were estimated from those in the Tmin layer in June with a correction for particle decomposition based on the apparent oxygen utilization. The vertically integrated seasonal deficits of DIC and nutrients from winter to June and June to September were calculated from the differences in the concentrations between the respective times. The calculation of the carbon budget indicated that about a half of the DIC deficit (3.9±0.4molCm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estimated for the period from winter to September would take place during each period. Seasonal DIC deficits were primarily due to a large CO2 efflux (1.4±0.4molCm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from sea to air during the earlier period and biological consumption (2.4±0.2molCm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during the later period. A small influx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0.4±0.2molCm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of CO2 was estimated for the period from June to September, consistent with the seasonal changes in pCO2sea in this region. The net CO2 flux from winter to September was estimated to be 1.0±0.4molCm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The seasonally integrated net community production (NCP) was estimated to be 2.9±0.2molCm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2 from winter to September, and 83% of NCP occurred between June and September. A supply of DIC due to the continual deep vertical mixing and a low biological production during winter through June resulted in the high DIC concentration in surface waters and the high CO2 efflux during this period.","container-title":"Deep Sea Research Part I: Oceanographic Research Papers","DOI":"10.1016/S0967-0637(01)00054-1","ISSN":"0967-0637","issue":"2","journalAbbreviation":"Deep Sea Research Part I: Oceanographic Research Papers","language":"en","page":"339-362","source":"ScienceDirect","title":"Estimation of seasonal net community production and air–sea CO2 flux based on the carbon budget above the temperature minimum layer in the western subarctic North Pacific","volume":"49","author":[{"family":"Midorikawa","given":"Takashi"},{"family":"Umeda","given":"Takafumi"},{"family":"Hiraishi","given":"Naotaka"},{"family":"Ogawa","given":"Kan"},{"family":"Nemoto","given":"Kazuhiro"},{"family":"Kubo","given":"Naoshi"},{"family":"Ishii","given":"Masao"}],"issued":{"date-parts":[["2002",2,1]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Midorikawa et al. (2002)</w:t>
            </w:r>
            <w:r>
              <w:rPr>
                <w:rFonts w:ascii="Times New Roman" w:eastAsia="Yu Gothic" w:hAnsi="Times New Roman" w:cs="Times New Roman"/>
                <w:color w:val="000000"/>
                <w:sz w:val="20"/>
                <w:szCs w:val="20"/>
              </w:rPr>
              <w:fldChar w:fldCharType="end"/>
            </w:r>
          </w:p>
        </w:tc>
      </w:tr>
      <w:tr w:rsidR="00E82161" w:rsidRPr="00005F1A" w14:paraId="41A5532D"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FCB2F4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46.9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E0A23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BBC40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0.80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5C85F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8CB9A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BA78A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B49C9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E7ACC9" w14:textId="35FAC5B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DC7EC1"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19F75C86" w14:textId="7729551C" w:rsidR="00E82161" w:rsidRPr="00FD2BBD" w:rsidRDefault="00E82161" w:rsidP="00E82161">
            <w:pPr>
              <w:jc w:val="center"/>
              <w:rPr>
                <w:rFonts w:ascii="Times New Roman" w:eastAsia="Yu Gothic" w:hAnsi="Times New Roman" w:cs="Times New Roman"/>
                <w:color w:val="000000"/>
                <w:sz w:val="20"/>
                <w:szCs w:val="20"/>
              </w:rPr>
            </w:pPr>
            <w:r w:rsidRPr="00BD12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{"citationID":"Hi5MnJhi","properties":{"formattedCitation":"(Palevsky et al. 2016)","plainCitation":"(Palevsky et al. 2016)","dontUpdate":true,"noteIndex":0},"citationItems":[{"id":1853,"uris":["http://zotero.org/users/7846282/items/NGHMWG2Q"],"itemData":{"id":1853,"type":"article-journal","abstract":"We measured triple oxygen isotopes and oxygen/argon dissolved gas ratios as nonincubation-based geochemical tracers of gross oxygen production (GOP) and net community production (NCP) on 16 container ship transects across the North Pacific from 2008 to 2012. We estimate rates and efficiency of biological carbon export throughout the full annual cycle across the North Pacific basin (35°N–50°N, 142°E–125°W) by constructing mixed layer budgets that account for physical and biological influences on these tracers. During the productive season from spring to fall, GOP and NCP are highest in the Kuroshio region west of 170°E and decrease eastward across the basin. However, deep winter mixed layers (&gt;200 m) west of 160°W ventilate 40–90% of this seasonally exported carbon, while only 10% of seasonally exported carbon east of 160°W is ventilated in winter where mixed layers are &lt;120 m. As a result, despite higher annual GOP in the west than the east, the annual carbon export (sequestration) rate and efficiency decrease westward across the basin from export of 2.3 ±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east of 160°W to 0.5 ± 0.7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west of 170°E. Existing productivity rate estimates from time series stations are consistent with our regional productivity rate estimates in the eastern but not western North Pacific. These results highlight the need to estimate productivity rates over broad spatial areas and throughout the full annual cycle including during winter ventilation in order to accurately estimate the rate and efficiency of carbon sequestration via the ocean's biological pump.","container-title":"Global Biogeochemical Cycles","DOI":"10.1002/2015GB005318","ISSN":"1944-9224","issue":"2","language":"en","note":"_eprint: https://onlinelibrary.wiley.com/doi/pdf/10.1002/2015GB005318","page":"361-380","source":"Wiley Online Library","title":"The annual cycle of gross primary production, net community production, and export efficiency across the North Pacific Ocean","volume":"30","author":[{"family":"Palevsky","given":"Hilary I."},{"family":"Quay","given":"Paul D."},{"family":"Lockwood","given":"Deirdre E."},{"family":"Nicholson","given":"David P."}],"issued":{"date-parts":[["2016"]]}}}],"schema":"https://github.com/citation-style-language/schema/raw/master/csl-citation.json"} </w:instrText>
            </w:r>
            <w:r w:rsidRPr="00BD12B1">
              <w:rPr>
                <w:rFonts w:ascii="Times New Roman" w:eastAsia="Yu Gothic" w:hAnsi="Times New Roman" w:cs="Times New Roman"/>
                <w:color w:val="000000"/>
                <w:sz w:val="20"/>
                <w:szCs w:val="20"/>
              </w:rPr>
              <w:fldChar w:fldCharType="separate"/>
            </w:r>
            <w:r w:rsidRPr="00BD12B1">
              <w:rPr>
                <w:rFonts w:ascii="Times New Roman" w:eastAsia="Yu Gothic" w:hAnsi="Times New Roman" w:cs="Times New Roman"/>
                <w:noProof/>
                <w:color w:val="000000"/>
                <w:sz w:val="20"/>
                <w:szCs w:val="20"/>
              </w:rPr>
              <w:t xml:space="preserve">Palevsky et al. </w:t>
            </w:r>
            <w:r>
              <w:rPr>
                <w:rFonts w:ascii="Times New Roman" w:eastAsia="Yu Gothic" w:hAnsi="Times New Roman" w:cs="Times New Roman"/>
                <w:noProof/>
                <w:color w:val="000000"/>
                <w:sz w:val="20"/>
                <w:szCs w:val="20"/>
              </w:rPr>
              <w:t>(</w:t>
            </w:r>
            <w:r w:rsidRPr="00BD12B1">
              <w:rPr>
                <w:rFonts w:ascii="Times New Roman" w:eastAsia="Yu Gothic" w:hAnsi="Times New Roman" w:cs="Times New Roman"/>
                <w:noProof/>
                <w:color w:val="000000"/>
                <w:sz w:val="20"/>
                <w:szCs w:val="20"/>
              </w:rPr>
              <w:t>2016)</w:t>
            </w:r>
            <w:r w:rsidRPr="00BD12B1">
              <w:rPr>
                <w:rFonts w:ascii="Times New Roman" w:eastAsia="Yu Gothic" w:hAnsi="Times New Roman" w:cs="Times New Roman"/>
                <w:color w:val="000000"/>
                <w:sz w:val="20"/>
                <w:szCs w:val="20"/>
              </w:rPr>
              <w:fldChar w:fldCharType="end"/>
            </w:r>
          </w:p>
        </w:tc>
      </w:tr>
      <w:tr w:rsidR="00E82161" w:rsidRPr="00005F1A" w14:paraId="4DC4D88B"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FC3470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42.1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88346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4F25F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713B3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F8B04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904A3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7C34C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F01F92F" w14:textId="707FA7BD"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C144B5"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675BC47" w14:textId="6F801697" w:rsidR="00E82161" w:rsidRPr="00FD2BBD" w:rsidRDefault="00E82161" w:rsidP="00E82161">
            <w:pPr>
              <w:jc w:val="center"/>
              <w:rPr>
                <w:rFonts w:ascii="Times New Roman" w:eastAsia="Yu Gothic" w:hAnsi="Times New Roman" w:cs="Times New Roman"/>
                <w:color w:val="000000"/>
                <w:sz w:val="20"/>
                <w:szCs w:val="20"/>
              </w:rPr>
            </w:pPr>
            <w:r w:rsidRPr="00BD12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{"citationID":"ID2A5to1","properties":{"formattedCitation":"(Palevsky et al. 2016)","plainCitation":"(Palevsky et al. 2016)","dontUpdate":true,"noteIndex":0},"citationItems":[{"id":1853,"uris":["http://zotero.org/users/7846282/items/NGHMWG2Q"],"itemData":{"id":1853,"type":"article-journal","abstract":"We measured triple oxygen isotopes and oxygen/argon dissolved gas ratios as nonincubation-based geochemical tracers of gross oxygen production (GOP) and net community production (NCP) on 16 container ship transects across the North Pacific from 2008 to 2012. We estimate rates and efficiency of biological carbon export throughout the full annual cycle across the North Pacific basin (35°N–50°N, 142°E–125°W) by constructing mixed layer budgets that account for physical and biological influences on these tracers. During the productive season from spring to fall, GOP and NCP are highest in the Kuroshio region west of 170°E and decrease eastward across the basin. However, deep winter mixed layers (&gt;200 m) west of 160°W ventilate 40–90% of this seasonally exported carbon, while only 10% of seasonally exported carbon east of 160°W is ventilated in winter where mixed layers are &lt;120 m. As a result, despite higher annual GOP in the west than the east, the annual carbon export (sequestration) rate and efficiency decrease westward across the basin from export of 2.3 ±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east of 160°W to 0.5 ± 0.7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west of 170°E. Existing productivity rate estimates from time series stations are consistent with our regional productivity rate estimates in the eastern but not western North Pacific. These results highlight the need to estimate productivity rates over broad spatial areas and throughout the full annual cycle including during winter ventilation in order to accurately estimate the rate and efficiency of carbon sequestration via the ocean's biological pump.","container-title":"Global Biogeochemical Cycles","DOI":"10.1002/2015GB005318","ISSN":"1944-9224","issue":"2","language":"en","note":"_eprint: https://onlinelibrary.wiley.com/doi/pdf/10.1002/2015GB005318","page":"361-380","source":"Wiley Online Library","title":"The annual cycle of gross primary production, net community production, and export efficiency across the North Pacific Ocean","volume":"30","author":[{"family":"Palevsky","given":"Hilary I."},{"family":"Quay","given":"Paul D."},{"family":"Lockwood","given":"Deirdre E."},{"family":"Nicholson","given":"David P."}],"issued":{"date-parts":[["2016"]]}}}],"schema":"https://github.com/citation-style-language/schema/raw/master/csl-citation.json"} </w:instrText>
            </w:r>
            <w:r w:rsidRPr="00BD12B1">
              <w:rPr>
                <w:rFonts w:ascii="Times New Roman" w:eastAsia="Yu Gothic" w:hAnsi="Times New Roman" w:cs="Times New Roman"/>
                <w:color w:val="000000"/>
                <w:sz w:val="20"/>
                <w:szCs w:val="20"/>
              </w:rPr>
              <w:fldChar w:fldCharType="separate"/>
            </w:r>
            <w:r w:rsidRPr="00BD12B1">
              <w:rPr>
                <w:rFonts w:ascii="Times New Roman" w:eastAsia="Yu Gothic" w:hAnsi="Times New Roman" w:cs="Times New Roman"/>
                <w:noProof/>
                <w:color w:val="000000"/>
                <w:sz w:val="20"/>
                <w:szCs w:val="20"/>
              </w:rPr>
              <w:t xml:space="preserve">Palevsky et al. </w:t>
            </w:r>
            <w:r>
              <w:rPr>
                <w:rFonts w:ascii="Times New Roman" w:eastAsia="Yu Gothic" w:hAnsi="Times New Roman" w:cs="Times New Roman"/>
                <w:noProof/>
                <w:color w:val="000000"/>
                <w:sz w:val="20"/>
                <w:szCs w:val="20"/>
              </w:rPr>
              <w:t>(</w:t>
            </w:r>
            <w:r w:rsidRPr="00BD12B1">
              <w:rPr>
                <w:rFonts w:ascii="Times New Roman" w:eastAsia="Yu Gothic" w:hAnsi="Times New Roman" w:cs="Times New Roman"/>
                <w:noProof/>
                <w:color w:val="000000"/>
                <w:sz w:val="20"/>
                <w:szCs w:val="20"/>
              </w:rPr>
              <w:t>2016)</w:t>
            </w:r>
            <w:r w:rsidRPr="00BD12B1">
              <w:rPr>
                <w:rFonts w:ascii="Times New Roman" w:eastAsia="Yu Gothic" w:hAnsi="Times New Roman" w:cs="Times New Roman"/>
                <w:color w:val="000000"/>
                <w:sz w:val="20"/>
                <w:szCs w:val="20"/>
              </w:rPr>
              <w:fldChar w:fldCharType="end"/>
            </w:r>
          </w:p>
        </w:tc>
      </w:tr>
      <w:tr w:rsidR="00E82161" w:rsidRPr="00005F1A" w14:paraId="32C41927"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0CDC75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41.9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164141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64846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0.50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37A5E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E463E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D8D48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5F244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007A35" w14:textId="6C52E89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5D3419"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4A46BB1" w14:textId="026500B8" w:rsidR="00E82161" w:rsidRPr="00FD2BBD" w:rsidRDefault="00E82161" w:rsidP="00E82161">
            <w:pPr>
              <w:jc w:val="center"/>
              <w:rPr>
                <w:rFonts w:ascii="Times New Roman" w:eastAsia="Yu Gothic" w:hAnsi="Times New Roman" w:cs="Times New Roman"/>
                <w:color w:val="000000"/>
                <w:sz w:val="20"/>
                <w:szCs w:val="20"/>
              </w:rPr>
            </w:pPr>
            <w:r w:rsidRPr="00BD12B1">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{"citationID":"BlhaAhe5","properties":{"formattedCitation":"(Palevsky et al. 2016)","plainCitation":"(Palevsky et al. 2016)","dontUpdate":true,"noteIndex":0},"citationItems":[{"id":1853,"uris":["http://zotero.org/users/7846282/items/NGHMWG2Q"],"itemData":{"id":1853,"type":"article-journal","abstract":"We measured triple oxygen isotopes and oxygen/argon dissolved gas ratios as nonincubation-based geochemical tracers of gross oxygen production (GOP) and net community production (NCP) on 16 container ship transects across the North Pacific from 2008 to 2012. We estimate rates and efficiency of biological carbon export throughout the full annual cycle across the North Pacific basin (35°N–50°N, 142°E–125°W) by constructing mixed layer budgets that account for physical and biological influences on these tracers. During the productive season from spring to fall, GOP and NCP are highest in the Kuroshio region west of 170°E and decrease eastward across the basin. However, deep winter mixed layers (&gt;200 m) west of 160°W ventilate 40–90% of this seasonally exported carbon, while only 10% of seasonally exported carbon east of 160°W is ventilated in winter where mixed layers are &lt;120 m. As a result, despite higher annual GOP in the west than the east, the annual carbon export (sequestration) rate and efficiency decrease westward across the basin from export of 2.3 ±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east of 160°W to 0.5 ± 0.7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west of 170°E. Existing productivity rate estimates from time series stations are consistent with our regional productivity rate estimates in the eastern but not western North Pacific. These results highlight the need to estimate productivity rates over broad spatial areas and throughout the full annual cycle including during winter ventilation in order to accurately estimate the rate and efficiency of carbon sequestration via the ocean's biological pump.","container-title":"Global Biogeochemical Cycles","DOI":"10.1002/2015GB005318","ISSN":"1944-9224","issue":"2","language":"en","note":"_eprint: https://onlinelibrary.wiley.com/doi/pdf/10.1002/2015GB005318","page":"361-380","source":"Wiley Online Library","title":"The annual cycle of gross primary production, net community production, and export efficiency across the North Pacific Ocean","volume":"30","author":[{"family":"Palevsky","given":"Hilary I."},{"family":"Quay","given":"Paul D."},{"family":"Lockwood","given":"Deirdre E."},{"family":"Nicholson","given":"David P."}],"issued":{"date-parts":[["2016"]]}}}],"schema":"https://github.com/citation-style-language/schema/raw/master/csl-citation.json"} </w:instrText>
            </w:r>
            <w:r w:rsidRPr="00BD12B1">
              <w:rPr>
                <w:rFonts w:ascii="Times New Roman" w:eastAsia="Yu Gothic" w:hAnsi="Times New Roman" w:cs="Times New Roman"/>
                <w:color w:val="000000"/>
                <w:sz w:val="20"/>
                <w:szCs w:val="20"/>
              </w:rPr>
              <w:fldChar w:fldCharType="separate"/>
            </w:r>
            <w:r w:rsidRPr="00BD12B1">
              <w:rPr>
                <w:rFonts w:ascii="Times New Roman" w:eastAsia="Yu Gothic" w:hAnsi="Times New Roman" w:cs="Times New Roman"/>
                <w:noProof/>
                <w:color w:val="000000"/>
                <w:sz w:val="20"/>
                <w:szCs w:val="20"/>
              </w:rPr>
              <w:t xml:space="preserve">Palevsky et al. </w:t>
            </w:r>
            <w:r>
              <w:rPr>
                <w:rFonts w:ascii="Times New Roman" w:eastAsia="Yu Gothic" w:hAnsi="Times New Roman" w:cs="Times New Roman"/>
                <w:noProof/>
                <w:color w:val="000000"/>
                <w:sz w:val="20"/>
                <w:szCs w:val="20"/>
              </w:rPr>
              <w:t>(</w:t>
            </w:r>
            <w:r w:rsidRPr="00BD12B1">
              <w:rPr>
                <w:rFonts w:ascii="Times New Roman" w:eastAsia="Yu Gothic" w:hAnsi="Times New Roman" w:cs="Times New Roman"/>
                <w:noProof/>
                <w:color w:val="000000"/>
                <w:sz w:val="20"/>
                <w:szCs w:val="20"/>
              </w:rPr>
              <w:t>2016)</w:t>
            </w:r>
            <w:r w:rsidRPr="00BD12B1">
              <w:rPr>
                <w:rFonts w:ascii="Times New Roman" w:eastAsia="Yu Gothic" w:hAnsi="Times New Roman" w:cs="Times New Roman"/>
                <w:color w:val="000000"/>
                <w:sz w:val="20"/>
                <w:szCs w:val="20"/>
              </w:rPr>
              <w:fldChar w:fldCharType="end"/>
            </w:r>
          </w:p>
        </w:tc>
      </w:tr>
      <w:tr w:rsidR="00E82161" w:rsidRPr="00005F1A" w14:paraId="0661F4F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EEFFD9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DFC08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E8CF1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1.20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5D37A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2C4E5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C64F8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6E695F0" w14:textId="796917A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Sea</w:t>
            </w:r>
            <w:r w:rsidR="00EA1B57">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glider</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12D720" w14:textId="43B17DC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2008</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D3D6A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1DE409F" w14:textId="2848DDAF"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{"citationID":"vYJWidKu","properties":{"formattedCitation":"(Pelland et al. 2018)","plainCitation":"(Pelland et al. 2018)","dontUpdate":true,"noteIndex":0},"citationItems":[{"id":2180,"uris":["http://zotero.org/users/7846282/items/WYZ8W677"],"itemData":{"id":2180,"type":"article-journal","abstract":"Understanding variability in annual net community production (NCP) and factors affecting its estimation are important priorities for the study of ocean biogeochemistry. The time evolution of dissolved oxygen is useful proxy for NCP if the physical tendency can be isolated and removed; a key challenge is the resolution of the terms contributing to this tendency. Here oxygen balances are examined in the upper 200 m at Ocean Station Papa (50°N, 145°W) using data from Seaglider surveys June 2008 to January 2010. Sampling of horizontal gradients of oxygen, temperature, and salinity during these surveys allows the inference of monthly three-dimensional advection and turbulent diffusion of oxygen. The resulting monthly oxygen balances show strong variability with depth, with similarities to the temperature balances shallower than 100 m and salinity balances deeper. The estimated annual NCP of 2.2 ± 1.2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the top 120 m is in agreement with contemporary studies in the subarctic North Pacific Ocean. Horizontal advection in the surface layer is found to be small as previously assumed but important at greater depths: Assuming zero horizontal advection in the top 120 m would have resulted in an overestimate of annual NCP by 50%. Horizontal and vertical advection together dominated the oxygen balance in the permanent pycnocline. Results emphasize the three-dimensional nature of the oxygen balance, even in this relatively quiescent location, and further demonstrate the viability of autonomous spatial surveys for resolving physical oxygen transport terms.","container-title":"Journal of Geophysical Research: Oceans","DOI":"10.1029/2018JC014091","ISSN":"2169-9291","issue":"9","language":"en","note":"_eprint: https://onlinelibrary.wiley.com/doi/pdf/10.1029/2018JC014091","page":"6408-6427","source":"Wiley Online Library","title":"Seaglider Surveys at Ocean Station Papa: Oxygen Kinematics and Upper-Ocean Metabolism","title-short":"Seaglider Surveys at Ocean Station Papa","volume":"123","author":[{"family":"Pelland","given":"Noel A."},{"family":"Eriksen","given":"Charles C."},{"family":"Emerson","given":"Steven R."},{"family":"Cronin","given":"Meghan F."}],"issued":{"date-parts":[["2018"]]}}}],"schema":"https://github.com/citation-style-language/schema/raw/master/csl-citation.json"}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Pelland et al. (2018)</w:t>
            </w:r>
            <w:r>
              <w:rPr>
                <w:rFonts w:ascii="Times New Roman" w:eastAsia="Yu Gothic" w:hAnsi="Times New Roman" w:cs="Times New Roman"/>
                <w:color w:val="000000"/>
                <w:sz w:val="20"/>
                <w:szCs w:val="20"/>
              </w:rPr>
              <w:fldChar w:fldCharType="end"/>
            </w:r>
          </w:p>
        </w:tc>
      </w:tr>
      <w:tr w:rsidR="00E82161" w:rsidRPr="00005F1A" w14:paraId="544787AB"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3FD561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DBE38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B5917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9A0B4B" w14:textId="0895AAC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(35</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B03BA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EC3AD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9B5D5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59CF9D" w14:textId="0B326F6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2009</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7EAC9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7B05F5F" w14:textId="4B2EA63C" w:rsidR="00E82161" w:rsidRPr="00FD2BBD" w:rsidRDefault="00E82161" w:rsidP="00E82161">
            <w:pPr>
              <w:jc w:val="center"/>
              <w:rPr>
                <w:rFonts w:ascii="Times New Roman" w:eastAsia="Yu Gothic" w:hAnsi="Times New Roman" w:cs="Times New Roman"/>
                <w:color w:val="000000"/>
                <w:sz w:val="20"/>
                <w:szCs w:val="20"/>
              </w:rPr>
            </w:pPr>
            <w:r w:rsidRPr="007E7F3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{"citationID":"WpkM2fwM","properties":{"formattedCitation":"(Plant et al. 2016)","plainCitation":"(Plant et al. 2016)","dontUpdate":true,"noteIndex":0},"citationItems":[{"id":745,"uris":["http://zotero.org/users/7846282/items/DD4CEXQ8"],"itemData":{"id":745,"type":"article-journal","abstract":"Six proﬁling ﬂoats equipped with nitrate and oxygen sensors were deployed at Ocean Station P in the Gulf of Alaska. The resulting six calendar years and 10 ﬂoat years of nitrate and oxygen data were used to determine an average annual cycle for net community production (NCP) in the top 35 m of the water column. NCP became positive in February as soon as the mixing activity in the surface layer began to weaken, but nearly 3 months before the traditionally deﬁned mixed layer began to shoal from its winter time maximum. NCP displayed two maxima, one toward the end of May and another in August with a summertime minimum in June corresponding to the historical peak in mesozooplankton biomass. The average annual NCP was determined to be 1.5 ± 0.6 mol C mÀ2 yrÀ1 using nitrate and 1.5 ± 0.7 mol C mÀ2 yrÀ1 using oxygen. The results from oxygen data proved to be quite sensitive to the gas exchange model used as well as the accuracy of the oxygen measurement. Gas exchange models optimized for carbon dioxide ﬂux generally ignore transport due to gas exchange through the injection of bubbles, and these models yield NCP values that are two to three time higher than the nitrate-based estimates. If nitrate and oxygen NCP rates are assumed to be related by the Redﬁeld model, we show that the oxygen gas exchange model can be optimized by tuning the exchange terms to reproduce the nitrate NCP annual cycle.","container-title":"Global Biogeochemical Cycles","DOI":"10.1002/2015GB005349","ISSN":"08866236","issue":"6","journalAbbreviation":"Global Biogeochem. Cycles","language":"en","page":"859-879","source":"DOI.org (Crossref)","title":"Net community production at Ocean Station Papa observed with nitrate and oxygen sensors on profiling floats: NCP AT OCEAN STATION PAPA","title-short":"Net community production at Ocean Station Papa observed with nitrate and oxygen sensors on profiling floats","volume":"30","author":[{"family":"Plant","given":"Joshua N."},{"family":"Johnson","given":"Kenneth S."},{"family":"Sakamoto","given":"Carole M."},{"family":"Jannasch","given":"Hans W."},{"family":"Coletti","given":"Luke J."},{"family":"Riser","given":"Stephen C."},{"family":"Swift","given":"Dana D."}],"issued":{"date-parts":[["2016",6]]}}}],"schema":"https://github.com/citation-style-language/schema/raw/master/csl-citation.json"} </w:instrText>
            </w:r>
            <w:r w:rsidRPr="007E7F38">
              <w:rPr>
                <w:rFonts w:ascii="Times New Roman" w:eastAsia="Yu Gothic" w:hAnsi="Times New Roman" w:cs="Times New Roman"/>
                <w:color w:val="000000"/>
                <w:sz w:val="20"/>
                <w:szCs w:val="20"/>
              </w:rPr>
              <w:fldChar w:fldCharType="separate"/>
            </w:r>
            <w:r w:rsidRPr="007E7F38">
              <w:rPr>
                <w:rFonts w:ascii="Times New Roman" w:eastAsia="Yu Gothic" w:hAnsi="Times New Roman" w:cs="Times New Roman"/>
                <w:noProof/>
                <w:color w:val="000000"/>
                <w:sz w:val="20"/>
                <w:szCs w:val="20"/>
              </w:rPr>
              <w:t xml:space="preserve">Plant et al. </w:t>
            </w:r>
            <w:r>
              <w:rPr>
                <w:rFonts w:ascii="Times New Roman" w:eastAsia="Yu Gothic" w:hAnsi="Times New Roman" w:cs="Times New Roman"/>
                <w:noProof/>
                <w:color w:val="000000"/>
                <w:sz w:val="20"/>
                <w:szCs w:val="20"/>
              </w:rPr>
              <w:t>(</w:t>
            </w:r>
            <w:r w:rsidRPr="007E7F38">
              <w:rPr>
                <w:rFonts w:ascii="Times New Roman" w:eastAsia="Yu Gothic" w:hAnsi="Times New Roman" w:cs="Times New Roman"/>
                <w:noProof/>
                <w:color w:val="000000"/>
                <w:sz w:val="20"/>
                <w:szCs w:val="20"/>
              </w:rPr>
              <w:t>2016)</w:t>
            </w:r>
            <w:r w:rsidRPr="007E7F38">
              <w:rPr>
                <w:rFonts w:ascii="Times New Roman" w:eastAsia="Yu Gothic" w:hAnsi="Times New Roman" w:cs="Times New Roman"/>
                <w:color w:val="000000"/>
                <w:sz w:val="20"/>
                <w:szCs w:val="20"/>
              </w:rPr>
              <w:fldChar w:fldCharType="end"/>
            </w:r>
          </w:p>
        </w:tc>
      </w:tr>
      <w:tr w:rsidR="00E82161" w:rsidRPr="00005F1A" w14:paraId="595958CC"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17FC85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359A8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752C1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1.40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29577B" w14:textId="60D5611E"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(35</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0DDD7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F587D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689DF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800A6D" w14:textId="28E8291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2009</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1CFCA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6161CBD" w14:textId="0B5D6995" w:rsidR="00E82161" w:rsidRPr="00FD2BBD" w:rsidRDefault="00E82161" w:rsidP="00E82161">
            <w:pPr>
              <w:jc w:val="center"/>
              <w:rPr>
                <w:rFonts w:ascii="Times New Roman" w:eastAsia="Yu Gothic" w:hAnsi="Times New Roman" w:cs="Times New Roman"/>
                <w:color w:val="000000"/>
                <w:sz w:val="20"/>
                <w:szCs w:val="20"/>
              </w:rPr>
            </w:pPr>
            <w:r w:rsidRPr="007E7F3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{"citationID":"cgCULUQc","properties":{"formattedCitation":"(Plant et al. 2016)","plainCitation":"(Plant et al. 2016)","dontUpdate":true,"noteIndex":0},"citationItems":[{"id":745,"uris":["http://zotero.org/users/7846282/items/DD4CEXQ8"],"itemData":{"id":745,"type":"article-journal","abstract":"Six proﬁling ﬂoats equipped with nitrate and oxygen sensors were deployed at Ocean Station P in the Gulf of Alaska. The resulting six calendar years and 10 ﬂoat years of nitrate and oxygen data were used to determine an average annual cycle for net community production (NCP) in the top 35 m of the water column. NCP became positive in February as soon as the mixing activity in the surface layer began to weaken, but nearly 3 months before the traditionally deﬁned mixed layer began to shoal from its winter time maximum. NCP displayed two maxima, one toward the end of May and another in August with a summertime minimum in June corresponding to the historical peak in mesozooplankton biomass. The average annual NCP was determined to be 1.5 ± 0.6 mol C mÀ2 yrÀ1 using nitrate and 1.5 ± 0.7 mol C mÀ2 yrÀ1 using oxygen. The results from oxygen data proved to be quite sensitive to the gas exchange model used as well as the accuracy of the oxygen measurement. Gas exchange models optimized for carbon dioxide ﬂux generally ignore transport due to gas exchange through the injection of bubbles, and these models yield NCP values that are two to three time higher than the nitrate-based estimates. If nitrate and oxygen NCP rates are assumed to be related by the Redﬁeld model, we show that the oxygen gas exchange model can be optimized by tuning the exchange terms to reproduce the nitrate NCP annual cycle.","container-title":"Global Biogeochemical Cycles","DOI":"10.1002/2015GB005349","ISSN":"08866236","issue":"6","journalAbbreviation":"Global Biogeochem. Cycles","language":"en","page":"859-879","source":"DOI.org (Crossref)","title":"Net community production at Ocean Station Papa observed with nitrate and oxygen sensors on profiling floats: NCP AT OCEAN STATION PAPA","title-short":"Net community production at Ocean Station Papa observed with nitrate and oxygen sensors on profiling floats","volume":"30","author":[{"family":"Plant","given":"Joshua N."},{"family":"Johnson","given":"Kenneth S."},{"family":"Sakamoto","given":"Carole M."},{"family":"Jannasch","given":"Hans W."},{"family":"Coletti","given":"Luke J."},{"family":"Riser","given":"Stephen C."},{"family":"Swift","given":"Dana D."}],"issued":{"date-parts":[["2016",6]]}}}],"schema":"https://github.com/citation-style-language/schema/raw/master/csl-citation.json"} </w:instrText>
            </w:r>
            <w:r w:rsidRPr="007E7F38">
              <w:rPr>
                <w:rFonts w:ascii="Times New Roman" w:eastAsia="Yu Gothic" w:hAnsi="Times New Roman" w:cs="Times New Roman"/>
                <w:color w:val="000000"/>
                <w:sz w:val="20"/>
                <w:szCs w:val="20"/>
              </w:rPr>
              <w:fldChar w:fldCharType="separate"/>
            </w:r>
            <w:r w:rsidRPr="007E7F38">
              <w:rPr>
                <w:rFonts w:ascii="Times New Roman" w:eastAsia="Yu Gothic" w:hAnsi="Times New Roman" w:cs="Times New Roman"/>
                <w:noProof/>
                <w:color w:val="000000"/>
                <w:sz w:val="20"/>
                <w:szCs w:val="20"/>
              </w:rPr>
              <w:t xml:space="preserve">Plant et al. </w:t>
            </w:r>
            <w:r>
              <w:rPr>
                <w:rFonts w:ascii="Times New Roman" w:eastAsia="Yu Gothic" w:hAnsi="Times New Roman" w:cs="Times New Roman"/>
                <w:noProof/>
                <w:color w:val="000000"/>
                <w:sz w:val="20"/>
                <w:szCs w:val="20"/>
              </w:rPr>
              <w:t>(</w:t>
            </w:r>
            <w:r w:rsidRPr="007E7F38">
              <w:rPr>
                <w:rFonts w:ascii="Times New Roman" w:eastAsia="Yu Gothic" w:hAnsi="Times New Roman" w:cs="Times New Roman"/>
                <w:noProof/>
                <w:color w:val="000000"/>
                <w:sz w:val="20"/>
                <w:szCs w:val="20"/>
              </w:rPr>
              <w:t>2016)</w:t>
            </w:r>
            <w:r w:rsidRPr="007E7F38">
              <w:rPr>
                <w:rFonts w:ascii="Times New Roman" w:eastAsia="Yu Gothic" w:hAnsi="Times New Roman" w:cs="Times New Roman"/>
                <w:color w:val="000000"/>
                <w:sz w:val="20"/>
                <w:szCs w:val="20"/>
              </w:rPr>
              <w:fldChar w:fldCharType="end"/>
            </w:r>
          </w:p>
        </w:tc>
      </w:tr>
      <w:tr w:rsidR="00E82161" w:rsidRPr="00005F1A" w14:paraId="2A21ABE5"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3EB30F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C136E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2.48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646CA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1.24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A9EF2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447AD5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D2A3A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DDE3F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68026F9" w14:textId="6D7D486B"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1994</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63CB8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8853A7C" w14:textId="09C1D2BF"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{"citationID":"WdxVuo6F","properties":{"formattedCitation":"(Quay and Stutsman 2003)","plainCitation":"(Quay and Stutsman 2003)","dontUpdate":true,"noteIndex":0},"citationItems":[{"id":2502,"uris":["http://zotero.org/users/7846282/items/DAQXVZSC"],"itemData":{"id":2502,"type":"article-journal","abstract":"The rate of biological organic carbon export at the time series station ALOHA in the subtropical N. Pacific (23°N158°W) has been estimated from monthly measurements of dissolved inorganic carbon (DIC) and the δ13C of the DIC in the surface layer between 1994 and 1999. The most consistent feature of the annual DIC and δ13C cycles occurs during summer (April–September) when there is a 14μmolkg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decrease in DIC and a 0.1‰ increase in δ13C. During this period, when the mixed layer depth is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50m, the DIC decrease corresponds to a loss of 4.9mmolm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The mean pCO2 of the surface ocean during the summer is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10μatm lower than atmospheric pCO2 yielding a net air–sea CO2 invasion of 1.6±1.0mmolm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Horizontal advection, as a result of Ekman and geostrophic velocities, yields a DIC loss of 1.1±0.7mmolm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Insignificant alkalinity changes indicate that CaCO3 loss is negligible. Surface layer DIC and DI13C budgets were used to solve for two carbon fluxes, the net community production (NCP) and the upward supply of DIC resulting from vertical mixing at the base of the mixed layer. During the summer, the calculated rates of NCP and upward DIC supply are 7.2±2.9 and 1.8±3.9mmolm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respectively. Thus the measured DIC and δ13C changes during the summer at ALOHA indicate that the DIC draw down is primarily the result of NCP exceeding DIC supplied via air–sea CO2 exchange and vertical diffusion. Over an annual cycle, the DIC and DIC13 budgets indicate that NCP at 6.8±3.4mmolm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is approximately balanced by the upward DIC flux of 6.5±4.8mmolm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resulting from vertical mixing. These NCP rates agree well with previously published estimates at ALOHA of 6–7.4mmolm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Extrapolating a NCP rate of 7mmolm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ALOHA to the global subtropical ocean yields a rate of 6.3GtCyr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that represents more than half of the estimated global ocean organic carbon export rate of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11GtCyr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1.","container-title":"Deep Sea Research Part I: Oceanographic Research Papers","DOI":"10.1016/S0967-0637(03)00116-X","ISSN":"0967-0637","issue":"9","journalAbbreviation":"Deep Sea Research Part I: Oceanographic Research Papers","language":"en","page":"1045-1061","source":"ScienceDirect","title":"Surface layer carbon budget for the subtropical N. Pacific: δ13C constraints at station ALOHA","title-short":"Surface layer carbon budget for the subtropical N. Pacific","volume":"50","author":[{"family":"Quay","given":"Paul"},{"family":"Stutsman","given":"John"}],"issued":{"date-parts":[["2003",9,1]]}}}],"schema":"https://github.com/citation-style-language/schema/raw/master/csl-citation.json"}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Quay and Stutsman (2003)</w:t>
            </w:r>
            <w:r>
              <w:rPr>
                <w:rFonts w:ascii="Times New Roman" w:eastAsia="Yu Gothic" w:hAnsi="Times New Roman" w:cs="Times New Roman"/>
                <w:color w:val="000000"/>
                <w:sz w:val="20"/>
                <w:szCs w:val="20"/>
              </w:rPr>
              <w:fldChar w:fldCharType="end"/>
            </w:r>
          </w:p>
        </w:tc>
      </w:tr>
      <w:tr w:rsidR="00E82161" w:rsidRPr="00005F1A" w14:paraId="2160F088"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08BA33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01565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3.72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59130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3BE25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66662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6A353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87942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4AB572" w14:textId="7A5034BE"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2006</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1F88C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BCEA370" w14:textId="353CD390"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{"citationID":"WGJCuQmf","properties":{"formattedCitation":"(Quay et al. 2010)","plainCitation":"(Quay et al. 2010)","dontUpdate":true,"noteIndex":0},"citationItems":[{"id":2480,"uris":["http://zotero.org/users/7846282/items/LHHA5AK7"],"itemData":{"id":2480,"type":"article-journal","abstract":"Primary production (PP) rates were estimated using concurrent 14C and 18O bottle incubations and a non-incubation oxygen isotope (17Δ) based method during monthly cruises to the time series station ALOHA in the subtropical N. Pacific Ocean between March, 2006 and February, 2008. The mean gross oxygen production (GOP) rate in the photic layer (0–200m) at ALOHA was estimated at 103 ± 43 and 78 ± 17 mmol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the 17Δ and 18O methods, respectively. In comparison, the mean 14C-PP rate (daytime incubations) in the photic layer was 42 ± 7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(502 ± 84 mg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Seasonal and depth variability (% change) for GOP rate was 2–3 times that for 14C-PP. The non-incubation 17Δ-GOP rates consistently exceeded the incubation 18O-GOP rates by 25–60%, and possible methodological biases were evaluated. A supersaturation of the dissolved O2/Ar gas ratio was measured every month yielding a mean annual value of 101.3 ± 0.1% and indicating a consistent net autotrophic condition in the mixed layer at ALOHA. The mean annual net community production (NCP) rate at ALOHA estimated from dissolved O2/Ar gas ratio was 14 ± 4 mmol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(120 ± 33 mg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or 3.7 ± 1.0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for the mixed layer. A NCP/GOP ratio of 0.19 ± 0.08 determined from 17Δ and O2/Ar measurements indicated that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 xml:space="preserve">20% of gross photosynthetic production was available for export and harvest.","container-title":"Global Biogeochemical Cycles","DOI":"10.1029/2009GB003665","ISSN":"1944-9224","issue":"3","language":"en","license":"Copyright 2010 by the American Geophysical Union.","note":"_eprint: https://onlinelibrary.wiley.com/doi/pdf/10.1029/2009GB003665","source":"Wiley Online Library","title":"Measuring primary production rates in the ocean: Enigmatic results between incubation and non-incubation methods at Station ALOHA","title-short":"Measuring primary production rates in the ocean","URL":"https://onlinelibrary.wiley.com/doi/abs/10.1029/2009GB003665","volume":"24","author":[{"family":"Quay","given":"P. D."},{"family":"Peacock","given":"C."},{"family":"Björkman","given":"K."},{"family":"Karl","given":"D. M."}],"accessed":{"date-parts":[["2023",7,27]]},"issued":{"date-parts":[["2010"]]}}}],"schema":"https://github.com/citation-style-language/schema/raw/master/csl-citation.json"}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Quay et al. (2010)</w:t>
            </w:r>
            <w:r>
              <w:rPr>
                <w:rFonts w:ascii="Times New Roman" w:eastAsia="Yu Gothic" w:hAnsi="Times New Roman" w:cs="Times New Roman"/>
                <w:color w:val="000000"/>
                <w:sz w:val="20"/>
                <w:szCs w:val="20"/>
              </w:rPr>
              <w:fldChar w:fldCharType="end"/>
            </w:r>
          </w:p>
        </w:tc>
      </w:tr>
      <w:tr w:rsidR="00E82161" w:rsidRPr="00005F1A" w14:paraId="1F61817D"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8A1FF4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31.0, 30.0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CC21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1.66, 1.77</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2D7D3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0.60, 0.70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28B74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0B65D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4F0DD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D40E4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33E98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93651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P02</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C9A1D43" w14:textId="063CA5A9"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{"citationID":"h4UHetvP","properties":{"formattedCitation":"(Quay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26F225B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ECA545B" w14:textId="2AAD608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22.5, 17.5,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 xml:space="preserve">12.5,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17.5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13347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2.02, 3.06, 1.91, 1.36</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CFF05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0.80, 1.20, 0.70, 0.50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43841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2FE57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83C98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D7D14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85884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C92D8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P16N</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8E4A746" w14:textId="711918A5"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{"citationID":"NHsYSSNX","properties":{"formattedCitation":"(Quay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313A609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019EC5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17.5, 12.5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8C5ED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2.61, 2.28</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1FD99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1.10, 0.50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EA59A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7D5A1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F708A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1349F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08EF5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D2539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P10</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CDE8FAA" w14:textId="4BD6CE14"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{"citationID":"bG6tPmeW","properties":{"formattedCitation":"(Quay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5A3DEE2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54D7811" w14:textId="667D870D"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lastRenderedPageBreak/>
              <w:t>–</w:t>
            </w:r>
            <w:r w:rsidR="00E82161" w:rsidRPr="00FD2BBD">
              <w:rPr>
                <w:rFonts w:ascii="Times New Roman" w:eastAsia="Yu Gothic" w:hAnsi="Times New Roman" w:cs="Times New Roman"/>
                <w:color w:val="000000"/>
                <w:sz w:val="20"/>
                <w:szCs w:val="20"/>
              </w:rPr>
              <w:t xml:space="preserve">12.0,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12.0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803DAF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1.36, 2.39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F36DA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0.70, 1.00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C25D2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7DB2C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40934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5EBE7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BECE5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FF1FB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GEOTRACES EPZT</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870CB8F" w14:textId="543D51C9"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{"citationID":"EBInEbXw","properties":{"formattedCitation":"(Quay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7742CA78"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5C2ED72" w14:textId="4DBFA887"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37.5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1C1AD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1.92, 0.90, 0.60, 1.04</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3E573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0.80, 0.40, 0.20, 0.40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A499C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ACDF3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FCB62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E48FD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701D1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19460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8A0AE12" w14:textId="0E96FBBF"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{"citationID":"dAr93EQG","properties":{"formattedCitation":"(Quay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072550FF"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3D4743A" w14:textId="445CDCDD"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25.0,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35.0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7BA56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1.00, 0.79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84E2B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0.40, 0.30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FB5EC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6FC44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EC96BF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3F1DC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66F0C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2EE73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P16S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A681CC9" w14:textId="703026E5"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{"citationID":"DqDmss3N","properties":{"formattedCitation":"(Quay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2C7177BE"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25A8B35" w14:textId="03069A71"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32.5, 27.5, 22.5, 17.5, 12.5, 7.5, 0.0,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 xml:space="preserve">7.5,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 xml:space="preserve">12.5,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 xml:space="preserve">17.5,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 xml:space="preserve">22.5,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 xml:space="preserve">27.5, </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32.5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9B5B5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2.10, 1.83, 1.96, 2.50, 3.70, 3.50, 3.00, 2.57, 1.28, 1.30, 1.16, 0.70, 0.59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0B6EA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0.80, 0.70, 0.80, 0.80, 1.50, 1.40, 1.20, 1.00, 0.50, 0.50, 0.50, 0.30, 0.20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A0949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707CB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6CF32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B949B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4D681D" w14:textId="2F5F9221"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2004</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4A005B0"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A071304" w14:textId="218E2472" w:rsidR="00E82161" w:rsidRPr="00FD2BBD" w:rsidRDefault="00E82161" w:rsidP="00E82161">
            <w:pPr>
              <w:jc w:val="center"/>
              <w:rPr>
                <w:rFonts w:ascii="Times New Roman" w:eastAsia="Yu Gothic" w:hAnsi="Times New Roman" w:cs="Times New Roman"/>
                <w:color w:val="000000"/>
                <w:sz w:val="20"/>
                <w:szCs w:val="20"/>
              </w:rPr>
            </w:pPr>
            <w:r w:rsidRPr="00A647A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{"citationID":"8JKfCAZy","properties":{"formattedCitation":"(Quay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A647AA">
              <w:rPr>
                <w:rFonts w:ascii="Times New Roman" w:eastAsia="Yu Gothic" w:hAnsi="Times New Roman" w:cs="Times New Roman"/>
                <w:color w:val="000000"/>
                <w:sz w:val="20"/>
                <w:szCs w:val="20"/>
              </w:rPr>
              <w:fldChar w:fldCharType="separate"/>
            </w:r>
            <w:r w:rsidRPr="00A647AA">
              <w:rPr>
                <w:rFonts w:ascii="Times New Roman" w:eastAsia="Yu Gothic" w:hAnsi="Times New Roman" w:cs="Times New Roman"/>
                <w:noProof/>
                <w:color w:val="000000"/>
                <w:sz w:val="20"/>
                <w:szCs w:val="20"/>
              </w:rPr>
              <w:t>Quay et al. (2020)</w:t>
            </w:r>
            <w:r w:rsidRPr="00A647AA">
              <w:rPr>
                <w:rFonts w:ascii="Times New Roman" w:eastAsia="Yu Gothic" w:hAnsi="Times New Roman" w:cs="Times New Roman"/>
                <w:color w:val="000000"/>
                <w:sz w:val="20"/>
                <w:szCs w:val="20"/>
              </w:rPr>
              <w:fldChar w:fldCharType="end"/>
            </w:r>
          </w:p>
        </w:tc>
      </w:tr>
      <w:tr w:rsidR="00E82161" w:rsidRPr="00005F1A" w14:paraId="7E813CC4"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98B5FCB" w14:textId="0075D4DC"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E6B6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2.45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FDD2F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1.48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9256AB" w14:textId="1424F2B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M</w:t>
            </w:r>
            <w:r>
              <w:rPr>
                <w:rFonts w:ascii="Times New Roman" w:eastAsia="Yu Gothic" w:hAnsi="Times New Roman" w:cs="Times New Roman"/>
                <w:color w:val="000000"/>
                <w:sz w:val="20"/>
                <w:szCs w:val="20"/>
              </w:rPr>
              <w:t>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13C64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AA315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Drawdown</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339C2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Mooring</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F9DA2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322804"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A35D6E0" w14:textId="194C73E1"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{"citationID":"cGnejurm","properties":{"formattedCitation":"(Shadwick et al. 2015)","plainCitation":"(Shadwick et al. 2015)","dontUpdate":true,"noteIndex":0},"citationItems":[{"id":2409,"uris":["http://zotero.org/users/7846282/items/87ZP7UNV"],"itemData":{"id":2409,"type":"article-journal","abstract":"The Subantarctic Zone (SAZ), which covers the northern half of the Southern Ocean between the Subtropical and Subantarctic Fronts, is important for air-sea CO2 exchange, ventilation of the lower thermocline, and nutrient supply for global ocean productivity. Here we present the first high-resolution autonomous observations of mixed layer CO2 partial pressure (pCO2) and hydrographic properties covering a full annual cycle in the SAZ. The amplitude of the seasonal cycle in pCO2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 xml:space="preserve">60 μatm), from near-atmospheric equilibrium in late winter to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330 μatm in midsummer, results from opposing physical and biological drivers. Decomposing these contributions demonstrates that the biological control on pCO2 (up to 100 μatm), is 4 times larger than the thermal component and driven by annual net community production of 2.45 ± 1.47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After the summer biological pCO2 depletion, the return to near-atmospheric equilibrium proceeds slowly, driven in part by autumn entrainment into a deepening mixed layer and achieving full equilibration in late winter and early spring as respiration and advection complete the annual cycle. The shutdown of winter convection and associated mixed layer shoaling proceeds intermittently, appearing to frustrate the initiation of production. Horizontal processes, identified from salinity anomalies, are associated with biological pCO2 signatures but with differing impacts in winter (when they reflect far-field variations in dissolved inorganic carbon and/or biomass) and summer (when they suggest promotion of local production by the relief of silicic acid or iron limitation). These results provide clarity on SAZ seasonal carbon cycling and demonstrate that the magnitude of the seasonal pCO2 cycle is twice as large as that in the subarctic high-nutrient, low-chlorophyll waters, which can inform the selection of optimal global models in this region.","container-title":"Global Biogeochemical Cycles","DOI":"10.1002/2014GB004906","ISSN":"1944-9224","issue":"2","language":"en","license":"©2015. American Geophysical Union. All Rights Reserved.","note":"_eprint: https://onlinelibrary.wiley.com/doi/pdf/10.1002/2014GB004906","page":"223-238","source":"Wiley Online Library","title":"Seasonality of biological and physical controls on surface ocean CO2 from hourly observations at the Southern Ocean Time Series site south of Australia","volume":"29","author":[{"family":"Shadwick","given":"E. H."},{"family":"Trull","given":"T. W."},{"family":"Tilbrook","given":"B."},{"family":"Sutton","given":"A. J."},{"family":"Schulz","given":"E."},{"family":"Sabine","given":"C. L."}],"issued":{"date-parts":[["2015"]]}}}],"schema":"https://github.com/citation-style-language/schema/raw/master/csl-citation.json"}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Shadwick et al. (2015)</w:t>
            </w:r>
            <w:r>
              <w:rPr>
                <w:rFonts w:ascii="Times New Roman" w:eastAsia="Yu Gothic" w:hAnsi="Times New Roman" w:cs="Times New Roman"/>
                <w:color w:val="000000"/>
                <w:sz w:val="20"/>
                <w:szCs w:val="20"/>
              </w:rPr>
              <w:fldChar w:fldCharType="end"/>
            </w:r>
          </w:p>
        </w:tc>
      </w:tr>
      <w:tr w:rsidR="00E82161" w:rsidRPr="00005F1A" w14:paraId="36CF4DFD"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57E799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0BA67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FE12C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0.50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2407B5"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487E4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CFC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2217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OUR</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F6216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6C418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1B0BC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FA061A9" w14:textId="77437BCD"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{"citationID":"wSDChz02","properties":{"formattedCitation":"(Sonnerup et al. 1999)","plainCitation":"(Sonnerup et al. 1999)","dontUpdate":true,"noteIndex":0},"citationItems":[{"id":2486,"uris":["http://zotero.org/users/7846282/items/DUZH5WIU"],"itemData":{"id":2486,"type":"article-journal","abstract":"Thermocline ventilation rates for the subtropical North Pacific are determined using a 1-dimensional (meridional) along-isopycnal advective–diffusive model tuned to chlorofluorocarbon (CFC) concentrations measured along 152°W in 1991 during WOCE P16. Mean southward advection rates in the subtropics range from 1.03 to 0.56cms-1 between σθ=25.5 and 26.6. Model-derived ventilation times for the subtropical gyre increase from about 10 to 27 years for that isopycnal range. Oxygen utilization rates (OURs) determined using the advective-diffusive model decrease with depth from 6.6 to 3.2μmolkg-1 yr-1 between σθ=25.5 and 26.6. Extrapolation of the OUR versus depth trend to the base of the euphotic zone with the 1/Z power function of Martin et al. (1987) and integration from 500 to 100m depth implies a carbon export rate from the overlying euphotic zone of 2.2±0.5molesCm-2 yr-1 at 30°N, 152°W. Analysis of the WOCE radiocarbon and salinity distributions indicates that zonal and cross-isopycnal transport terms would have to be considered in modeling these tracers in the subtropical North Pacific.","container-title":"Deep Sea Research Part I: Oceanographic Research Papers","DOI":"10.1016/S0967-0637(98)00092-2","ISSN":"0967-0637","issue":"5","journalAbbreviation":"Deep Sea Research Part I: Oceanographic Research Papers","language":"en","page":"777-805","source":"ScienceDirect","title":"Thermocline ventilation and oxygen utilization rates in the subtropical North Pacific based on CFC distributions during WOCE","volume":"46","author":[{"family":"Sonnerup","given":"Rolf E"},{"family":"Quay","given":"Paul D"},{"family":"Bullister","given":"John L"}],"issued":{"date-parts":[["1999",5,1]]}}}],"schema":"https://github.com/citation-style-language/schema/raw/master/csl-citation.json"}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Sonnerup et al. (1999)</w:t>
            </w:r>
            <w:r>
              <w:rPr>
                <w:rFonts w:ascii="Times New Roman" w:eastAsia="Yu Gothic" w:hAnsi="Times New Roman" w:cs="Times New Roman"/>
                <w:color w:val="000000"/>
                <w:sz w:val="20"/>
                <w:szCs w:val="20"/>
              </w:rPr>
              <w:fldChar w:fldCharType="end"/>
            </w:r>
          </w:p>
        </w:tc>
      </w:tr>
      <w:tr w:rsidR="00E82161" w:rsidRPr="00005F1A" w14:paraId="517468DD"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92F513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49.9, 47.9, 47.0, 46.0, 46.0, 43.9, 42.0, 42.0, 41.9, 40.0, 40.0, 40.0, 38.0, 37.0, 36.0, 33.9, 30.0, 28.0, 26.0, 22.0, 20.0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4B125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0.48, 1.18, 2.13, 2.68, 1.45, 2.29, 2.15, 1.77, 4.01, 3.91, 3.51, 2.32, 2.53, 2.62, 3.93, 3.64, 3.88, 3.66, 2.70, 2.58, 2.92</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0B039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0.15, 0.30, 0.57, 1.03, 0.25, 0.29, 0.31, 0.17, 0.63, 0.88, 0.71, 0.23, 0.69, 0.44, 0.49, 0.70, 0.49, 0.51, 0.31, 0.37, 0.48</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94D6D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022DE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CFC, SF</w:t>
            </w:r>
            <w:r w:rsidRPr="00FD2BBD">
              <w:rPr>
                <w:rFonts w:ascii="Times New Roman" w:eastAsia="Yu Gothic" w:hAnsi="Times New Roman" w:cs="Times New Roman"/>
                <w:color w:val="000000"/>
                <w:sz w:val="20"/>
                <w:szCs w:val="20"/>
                <w:vertAlign w:val="subscript"/>
              </w:rPr>
              <w:t>6</w:t>
            </w:r>
            <w:r w:rsidRPr="00FD2BBD">
              <w:rPr>
                <w:rFonts w:ascii="Times New Roman" w:eastAsia="Yu Gothic" w:hAnsi="Times New Roman" w:cs="Times New Roman"/>
                <w:color w:val="000000"/>
                <w:sz w:val="20"/>
                <w:szCs w:val="20"/>
              </w:rPr>
              <w:t>, 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A6C05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OUR</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2CCA6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5CB4B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68EBE21"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D20E169" w14:textId="5136A9DC"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{"citationID":"YesBqS1B","properties":{"formattedCitation":"(Sonnerup et al. 2013)","plainCitation":"(Sonnerup et al. 2013)","dontUpdate":true,"noteIndex":0},"citationItems":[{"id":2212,"uris":["http://zotero.org/users/7846282/items/YRT9H57A"],"itemData":{"id":2212,"type":"article-journal","abstract":"Depth profiles of dissolved chlorofluorocarbon-11 (CFC-11) and sulfur hexafluoride (SF6) were measured during a September 2008 cruise in the Northeast Pacific Ocean. For each water sample, the two tracers were used in concert to estimate likely mean ages and widths of parameterized 1-D transit time distributions (TTDs). In shallow waters (&lt;250m), the TTDs’ mean ages were relatively loosely constrained due to the slow decrease of atmospheric CFC-11 since 1994. In the main thermocline (25.0–26.6σθ,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300–550m), the CFC-11/SF6 tracer pair constrained TTDs’ mean ages to within±10%. Deeper than 26.8σθ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 xml:space="preserve">600m), SF6 levels in 2008 were too low for the CFC-11/SF6 tracer pair to constrain the TTDs’ mean ages. Within the main thermocline of the subtropical North Pacific Ocean (20°–37°N along 152°W), the TTDs’ mean ages were used to estimate Oxygen Utilization Rates (OURs) of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11μmolkg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on 25.0–25.5σθ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160m), attenuating to very low rates (0.12μmolkg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by 26.8–27.0σθ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600m). Depth integration of the in-situ OURs implied an average carbon remineralization rate of 1.7±0.3molCm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this region and depth range, somewhat lower than other independent estimates. Along the 152°W section, depth integrating the apparent OURs implied carbon remineralization rates of 2.5–3.5molCm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20°N to 30°N, 3.5–4.0molCm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30°N to 40°N, and 2–2.7molCm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north of 45°N.","container-title":"Deep Sea Research Part I: Oceanographic Research Papers","DOI":"10.1016/j.dsr.2012.10.013","ISSN":"0967-0637","journalAbbreviation":"Deep Sea Research Part I: Oceanographic Research Papers","language":"en","page":"61-71","source":"ScienceDirect","title":"Transit time distributions and oxygen utilization rates in the Northeast Pacific Ocean from chlorofluorocarbons and sulfur hexafluoride","volume":"72","author":[{"family":"Sonnerup","given":"Rolf E."},{"family":"Mecking","given":"Sabine"},{"family":"Bullister","given":"John L."}],"issued":{"date-parts":[["2013",2,1]]}}}],"schema":"https://github.com/citation-style-language/schema/raw/master/csl-citation.json"}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Sonnerup et al. (2013)</w:t>
            </w:r>
            <w:r>
              <w:rPr>
                <w:rFonts w:ascii="Times New Roman" w:eastAsia="Yu Gothic" w:hAnsi="Times New Roman" w:cs="Times New Roman"/>
                <w:color w:val="000000"/>
                <w:sz w:val="20"/>
                <w:szCs w:val="20"/>
              </w:rPr>
              <w:fldChar w:fldCharType="end"/>
            </w:r>
          </w:p>
        </w:tc>
      </w:tr>
      <w:tr w:rsidR="00E82161" w:rsidRPr="00005F1A" w14:paraId="04AF4F9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9C288CE" w14:textId="43832225"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30.4,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31.6,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32.8,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33.9,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35.1,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36.3,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36.9,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38.0,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38.6,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39.2,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39.8,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40.3,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40.9,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42.1,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42.7,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43.9,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44.4,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45.0,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45.6,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46.2,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46.8,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47.4,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47.9,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49.0,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49.7,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50.3,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51.4,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52.6,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53.2,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53.8,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54.3,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55.5,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56.7,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57.8,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58.8,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59.7</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0735C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1.85, 1.77, 2.02, 1.79, 1.27, 1.72, 1.69, 1.69, 1.68, 1.65, 1.96, 2.00, 1.45, 1.88, 1.95, 2.14, 1.85, 1.80, 2.36, 2.19, 2.49, 1.90, 2.48, 2.36, 1.83, 2.41, 2.04, 2.78, 3.03, 2.96, 2.97, 3.66, 3.32, 2.68, 2.32, 3.58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A7FA0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0.19, 0.16, 0.22, 0.10, 0.03, 0.17, 0.41, 0.16, 0.24, 0.13, 0.31, 0.25, 0.11, 0.21, 0.10, 0.25, 0.19, 0.22, 0.29, 0.33, 0.45, 0.46, 0.40, 0.39, 0.36, 0.36, 0.38, 0.42, 0.54, 0.54, 0.55, 0.54, 0.48, 0.43, 0.32, 0.78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3092E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7F603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CFC, SF</w:t>
            </w:r>
            <w:r w:rsidRPr="00FD2BBD">
              <w:rPr>
                <w:rFonts w:ascii="Times New Roman" w:eastAsia="Yu Gothic" w:hAnsi="Times New Roman" w:cs="Times New Roman"/>
                <w:color w:val="000000"/>
                <w:sz w:val="20"/>
                <w:szCs w:val="20"/>
                <w:vertAlign w:val="subscript"/>
              </w:rPr>
              <w:t>6</w:t>
            </w:r>
            <w:r w:rsidRPr="00FD2BBD">
              <w:rPr>
                <w:rFonts w:ascii="Times New Roman" w:eastAsia="Yu Gothic" w:hAnsi="Times New Roman" w:cs="Times New Roman"/>
                <w:color w:val="000000"/>
                <w:sz w:val="20"/>
                <w:szCs w:val="20"/>
              </w:rPr>
              <w:t>, 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9BB4D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OUR</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765EA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1AC4F9" w14:textId="18C1CA4C"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2007</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03722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93F1902" w14:textId="4D6C916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{"citationID":"i1rUt1xw","properties":{"formattedCitation":"(Sonnerup et al. 2015)","plainCitation":"(Sonnerup et al. 2015)","dontUpdate":true,"noteIndex":0},"citationItems":[{"id":1929,"uris":["http://zotero.org/users/7846282/items/2Z4AJJ6W"],"itemData":{"id":1929,"type":"article-journal","abstract":"Chlorofluorocarbons-11 (CFC-11), CFC-12, and sulfur hexafluoride (SF6) were measured during the December 2007 to February 2008 CLIVAR/Repeat Hydrography (RH) P18 section along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103°W in the Southeast Pacific Ocean. Transit-time distributions (TTDs) of 1-D transport that matched all three tracers were consistent with high Peclet number flow ventilating the subtropical mode water and the main subtropical thermocline (30°S–42°S, 200–800 m). In the subtropics, TTDs with predominantly advective transport predicted decadal increases in CFC-12 and CFC-11 consistent with those observed comparing 1994 WOCE with 2007/2008 CLIVAR/RH data, indicating steady ventilation in this region, and consistent with the near-zero changes observed in dissolved oxygen. The mean transport timescales from the tracer-tuned TTDs were used to estimate apparent oxygen utilization rates (OURs) on the order of 8–20 μmol 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at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 xml:space="preserve">200 m depth, attenuating to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2 μmol 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typically by 500 m depth in this region. Depth-integrated over the thermocline, these OURs implied carbon export rates from the overlying sea surface on the order of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1.8 moles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30°S to 45°S, 2–2.5 moles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45°S to 52°S, and 2.5–3.5 moles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from 52°S to 60°S.","container-title":"Journal of Geophysical Research: Oceans","DOI":"10.1002/2015JC010781","ISSN":"2169-9291","issue":"5","language":"en","note":"_eprint: https://onlinelibrary.wiley.com/doi/pdf/10.1002/2015JC010781","page":"3761-3776","source":"Wiley Online Library","title":"Transit time distributions and oxygen utilization rates from chlorofluorocarbons and sulfur hexafluoride in the Southeast Pacific Ocean","volume":"120","author":[{"family":"Sonnerup","given":"Rolf E."},{"family":"Mecking","given":"Sabine"},{"family":"Bullister","given":"John L."},{"family":"Warner","given":"Mark J."}],"issued":{"date-parts":[["2015"]]}}}],"schema":"https://github.com/citation-style-language/schema/raw/master/csl-citation.json"}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Sonnerup et al. (2015)</w:t>
            </w:r>
            <w:r>
              <w:rPr>
                <w:rFonts w:ascii="Times New Roman" w:eastAsia="Yu Gothic" w:hAnsi="Times New Roman" w:cs="Times New Roman"/>
                <w:color w:val="000000"/>
                <w:sz w:val="20"/>
                <w:szCs w:val="20"/>
              </w:rPr>
              <w:fldChar w:fldCharType="end"/>
            </w:r>
          </w:p>
        </w:tc>
      </w:tr>
      <w:tr w:rsidR="00E82161" w:rsidRPr="00005F1A" w14:paraId="5FDF3831"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C03CF8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3D539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BBE69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0.20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8A5E4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Surface</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4F12A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8B29C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CE3EA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45C56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B330F4"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669B205" w14:textId="6ECB28B7"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{"citationID":"lYBwJO5c","properties":{"formattedCitation":"(Stanley et al. 2010)","plainCitation":"(Stanley et al. 2010)","dontUpdate":true,"noteIndex":0},"citationItems":[{"id":2517,"uris":["http://zotero.org/users/7846282/items/SKIAALB5"],"itemData":{"id":2517,"type":"article-journal","abstract":"Net community production (NCP) and gross primary production (GPP) are two key metrics for quantifying the biological carbon cycle. In this study, we present a detailed characterization of NCP and GPP in the western equatorial Pacific during August and September 2006. We use continuous measurements of dissolved gases (O2 and Ar) in the surface water in order to quantify NCP at subkilometer scale resolution. We constrain GPP in discrete samples using the triple isotopic composition of O2. We find the average NCP in the western equatorial Pacific is 5.9 ± 0.9 mmol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(equivalent to 1.5 ± 0.2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with error estimates reflecting 1σ confidence levels) and the average GPP is 121 ± 34 mmol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(equivalent to 32 ± 9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The measurements reveal significant spatial variability on length scales as small as 50 km. The NCP/GPP ratio is 5.7% ± 1.8%. We also present results for NCP and GPP in the coastal area off Papua New Guinea and for GPP in the central Pacific along the equator.","container-title":"Global Biogeochemical Cycles","DOI":"10.1029/2009GB003651","ISSN":"1944-9224","issue":"4","language":"en","license":"Copyright 2010 by the American Geophysical Union.","note":"_eprint: https://onlinelibrary.wiley.com/doi/pdf/10.1029/2009GB003651","source":"Wiley Online Library","title":"Net community production and gross primary production rates in the western equatorial Pacific","URL":"https://onlinelibrary.wiley.com/doi/abs/10.1029/2009GB003651","volume":"24","author":[{"family":"Stanley","given":"Rachel H. R."},{"family":"Kirkpatrick","given":"John B."},{"family":"Cassar","given":"Nicolas"},{"family":"Barnett","given":"Bruce A."},{"family":"Bender","given":"Michael L."}],"accessed":{"date-parts":[["2023",7,27]]},"issued":{"date-parts":[["2010"]]}}}],"schema":"https://github.com/citation-style-language/schema/raw/master/csl-citation.json"}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Stanley et al. (2010)</w:t>
            </w:r>
            <w:r>
              <w:rPr>
                <w:rFonts w:ascii="Times New Roman" w:eastAsia="Yu Gothic" w:hAnsi="Times New Roman" w:cs="Times New Roman"/>
                <w:color w:val="000000"/>
                <w:sz w:val="20"/>
                <w:szCs w:val="20"/>
              </w:rPr>
              <w:fldChar w:fldCharType="end"/>
            </w:r>
          </w:p>
        </w:tc>
      </w:tr>
      <w:tr w:rsidR="00E82161" w:rsidRPr="00005F1A" w14:paraId="4459770E"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322CF189" w14:textId="02944153"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4</w:t>
            </w:r>
            <w:r>
              <w:rPr>
                <w:rFonts w:ascii="Times New Roman" w:eastAsia="Yu Gothic" w:hAnsi="Times New Roman" w:cs="Times New Roman"/>
                <w:color w:val="000000"/>
                <w:sz w:val="20"/>
                <w:szCs w:val="20"/>
              </w:rPr>
              <w:t>7.0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3AE53F" w14:textId="7F836AA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1</w:t>
            </w:r>
            <w:r>
              <w:rPr>
                <w:rFonts w:ascii="Times New Roman" w:eastAsia="Yu Gothic" w:hAnsi="Times New Roman" w:cs="Times New Roman"/>
                <w:color w:val="000000"/>
                <w:sz w:val="20"/>
                <w:szCs w:val="20"/>
              </w:rPr>
              <w:t>.49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795882" w14:textId="6C67FD8F"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0</w:t>
            </w:r>
            <w:r>
              <w:rPr>
                <w:rFonts w:ascii="Times New Roman" w:eastAsia="Yu Gothic" w:hAnsi="Times New Roman" w:cs="Times New Roman"/>
                <w:color w:val="000000"/>
                <w:sz w:val="20"/>
                <w:szCs w:val="20"/>
              </w:rPr>
              <w:t>.42</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455D08" w14:textId="3CDEA19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50EA6C4" w14:textId="546BFC9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D</w:t>
            </w:r>
            <w:r>
              <w:rPr>
                <w:rFonts w:ascii="Times New Roman" w:eastAsia="Yu Gothic" w:hAnsi="Times New Roman" w:cs="Times New Roman"/>
                <w:color w:val="000000"/>
                <w:sz w:val="20"/>
                <w:szCs w:val="20"/>
              </w:rPr>
              <w:t>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E208325" w14:textId="607A9C5F"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540965" w14:textId="0594B24C"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S</w:t>
            </w:r>
            <w:r>
              <w:rPr>
                <w:rFonts w:ascii="Times New Roman" w:eastAsia="Yu Gothic" w:hAnsi="Times New Roman" w:cs="Times New Roman"/>
                <w:color w:val="000000"/>
                <w:sz w:val="20"/>
                <w:szCs w:val="20"/>
              </w:rPr>
              <w:t>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F93132" w14:textId="5D7A8BD1"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004</w:t>
            </w:r>
            <w:r w:rsidR="00C746FA">
              <w:rPr>
                <w:rFonts w:ascii="Times New Roman" w:eastAsia="Yu Gothic" w:hAnsi="Times New Roman" w:cs="Times New Roman"/>
                <w:color w:val="000000"/>
                <w:sz w:val="20"/>
                <w:szCs w:val="20"/>
              </w:rPr>
              <w:t>–</w:t>
            </w:r>
            <w:r>
              <w:rPr>
                <w:rFonts w:ascii="Times New Roman" w:eastAsia="Yu Gothic" w:hAnsi="Times New Roman" w:cs="Times New Roman"/>
                <w:color w:val="000000"/>
                <w:sz w:val="20"/>
                <w:szCs w:val="20"/>
              </w:rPr>
              <w:t>2013</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E12C46" w14:textId="63CD1FCA"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K</w:t>
            </w:r>
            <w:r>
              <w:rPr>
                <w:rFonts w:ascii="Times New Roman" w:eastAsia="Yu Gothic" w:hAnsi="Times New Roman" w:cs="Times New Roman"/>
                <w:color w:val="000000"/>
                <w:sz w:val="20"/>
                <w:szCs w:val="20"/>
              </w:rPr>
              <w:t>2</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256C3C7E" w14:textId="71794A17" w:rsidR="00E82161"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{"citationID":"NH15lnnP","properties":{"formattedCitation":"(Wakita et al. 2016)","plainCitation":"(Wakita et al. 2016)","dontUpdate":true,"noteIndex":0},"citationItems":[{"id":2645,"uris":["http://zotero.org/users/7846282/items/CEUEKRZU"],"itemData":{"id":2645,"type":"article-journal","abstract":"The annual flux of biologically produced organic carbon from surface waters is equivalent to annual net community production (NCP) at a steady state and equals the export of particulate and dissolved organic carbon (POC and DOC, respectively) to the ocean interior. NCP was estimated from carbon budgets of salinity-normalized dissolved inorganic carbon (nDIC) inventories at two time-series stations in the western subarctic (K2) and subtropical (S1) North Pacific Ocean. By using quasi-monthly biogeochemical observations from 2004 to 2013, monthly mean nDIC inventories were integrated from the surface to the annual maximum mixed layer depth and corrected for changes due to net air–sea CO2 exchange, net CaCO3 production, vertical diffusion from the upper thermocline, and horizontal advection. The annual organic carbon flux at K2 (1.49 ± 0.42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was lower than S1 (2.81 ± 0.53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(p &lt; 0.001 based on t test). These fluxes consist of three components: vertically exported POC fluxes (K2: 1.43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S1: 2.49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vertical diffusive DOC fluxes (K2: 0.03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S1: 0.25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suspended POC fluxes (K2: 0.03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S1: 0.07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The estimated POC export flux at K2 was comparable to the sum of the POC flux observed with drifting sediment traps and active carbon flux exported by migrating zooplankton. The export fluxes at both stations were higher than those reported at other time-series sites (ALOHA, the Bermuda Atlantic Time-series Study, and Ocean Station Papa).","container-title":"Journal of Oceanography","DOI":"10.1007/s10872-016-0379-8","ISSN":"1573-868X","issue":"5","journalAbbreviation":"J Oceanogr","language":"en","page":"665-685","source":"Springer Link","title":"Biological organic carbon export estimated from the annual carbon budget observed in the surface waters of the western subarctic and subtropical North Pacific Ocean from 2004 to 2013","volume":"72","author":[{"family":"Wakita","given":"Masahide"},{"family":"Honda","given":"Makio C."},{"family":"Matsumoto","given":"Kazuhiko"},{"family":"Fujiki","given":"Tetsuichi"},{"family":"Kawakami","given":"Hajime"},{"family":"Yasunaka","given":"Sayaka"},{"family":"Sasai","given":"Yoshikazu"},{"family":"Sukigara","given":"Chiho"},{"family":"Uchimiya","given":"Mario"},{"family":"Kitamura","given":"Minoru"},{"family":"Kobari","given":"Toru"},{"family":"Mino","given":"Yoshihisa"},{"family":"Nagano","given":"Akira"},{"family":"Watanabe","given":"Shuichi"},{"family":"Saino","given":"Toshiro"}],"issued":{"date-parts":[["2016",10,1]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Wakita et al. (2016)</w:t>
            </w:r>
            <w:r>
              <w:rPr>
                <w:rFonts w:ascii="Times New Roman" w:eastAsia="Yu Gothic" w:hAnsi="Times New Roman" w:cs="Times New Roman"/>
                <w:color w:val="000000"/>
                <w:sz w:val="20"/>
                <w:szCs w:val="20"/>
              </w:rPr>
              <w:fldChar w:fldCharType="end"/>
            </w:r>
          </w:p>
        </w:tc>
      </w:tr>
      <w:tr w:rsidR="00E82161" w:rsidRPr="00005F1A" w14:paraId="5BFF4D33"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1AE5D0EE" w14:textId="032F3DD6"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3</w:t>
            </w:r>
            <w:r>
              <w:rPr>
                <w:rFonts w:ascii="Times New Roman" w:eastAsia="Yu Gothic" w:hAnsi="Times New Roman" w:cs="Times New Roman"/>
                <w:color w:val="000000"/>
                <w:sz w:val="20"/>
                <w:szCs w:val="20"/>
              </w:rPr>
              <w:t>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8CEDDC" w14:textId="0E3FEE9F"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.81</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8E01FE" w14:textId="7D84D0E2"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0</w:t>
            </w:r>
            <w:r>
              <w:rPr>
                <w:rFonts w:ascii="Times New Roman" w:eastAsia="Yu Gothic" w:hAnsi="Times New Roman" w:cs="Times New Roman"/>
                <w:color w:val="000000"/>
                <w:sz w:val="20"/>
                <w:szCs w:val="20"/>
              </w:rPr>
              <w:t>.53</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EF247F" w14:textId="43E9970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57F0F5" w14:textId="29694B7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D</w:t>
            </w:r>
            <w:r>
              <w:rPr>
                <w:rFonts w:ascii="Times New Roman" w:eastAsia="Yu Gothic" w:hAnsi="Times New Roman" w:cs="Times New Roman"/>
                <w:color w:val="000000"/>
                <w:sz w:val="20"/>
                <w:szCs w:val="20"/>
              </w:rPr>
              <w:t>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1C3B227" w14:textId="5ACDC3FF"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96897C" w14:textId="34B3AE9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S</w:t>
            </w:r>
            <w:r>
              <w:rPr>
                <w:rFonts w:ascii="Times New Roman" w:eastAsia="Yu Gothic" w:hAnsi="Times New Roman" w:cs="Times New Roman"/>
                <w:color w:val="000000"/>
                <w:sz w:val="20"/>
                <w:szCs w:val="20"/>
              </w:rPr>
              <w:t>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9255BE5" w14:textId="4152B25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004</w:t>
            </w:r>
            <w:r w:rsidR="00C746FA">
              <w:rPr>
                <w:rFonts w:ascii="Times New Roman" w:eastAsia="Yu Gothic" w:hAnsi="Times New Roman" w:cs="Times New Roman"/>
                <w:color w:val="000000"/>
                <w:sz w:val="20"/>
                <w:szCs w:val="20"/>
              </w:rPr>
              <w:t>–</w:t>
            </w:r>
            <w:r>
              <w:rPr>
                <w:rFonts w:ascii="Times New Roman" w:eastAsia="Yu Gothic" w:hAnsi="Times New Roman" w:cs="Times New Roman"/>
                <w:color w:val="000000"/>
                <w:sz w:val="20"/>
                <w:szCs w:val="20"/>
              </w:rPr>
              <w:lastRenderedPageBreak/>
              <w:t>2013</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435828" w14:textId="5EB076AD"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lastRenderedPageBreak/>
              <w:t>S</w:t>
            </w:r>
            <w:r>
              <w:rPr>
                <w:rFonts w:ascii="Times New Roman" w:eastAsia="Yu Gothic" w:hAnsi="Times New Roman" w:cs="Times New Roman"/>
                <w:color w:val="000000"/>
                <w:sz w:val="20"/>
                <w:szCs w:val="20"/>
              </w:rPr>
              <w:t>1</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7799A296" w14:textId="305DED86" w:rsidR="00E82161"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{"citationID":"6gOAOp2Q","properties":{"formattedCitation":"(Wakita et al. 2016)","plainCitation":"(Wakita et al. 2016)","dontUpdate":true,"noteIndex":0},"citationItems":[{"id":2645,"uris":["http://zotero.org/users/7846282/items/CEUEKRZU"],"itemData":{"id":2645,"type":"article-journal","abstract":"The annual flux of biologically produced organic carbon from surface waters is equivalent to annual net community production (NCP) at a steady state and equals the export of particulate and dissolved organic carbon (POC and DOC, respectively) to the ocean interior. NCP was estimated from carbon budgets of salinity-normalized dissolved inorganic carbon (nDIC) inventories at two time-series stations in the western subarctic (K2) and subtropical (S1) North Pacific Ocean. By using quasi-monthly biogeochemical observations from 2004 to 2013, monthly mean nDIC inventories were integrated from the surface to the annual maximum mixed layer depth and corrected for changes due to net air–sea CO2 exchange, net CaCO3 production, vertical diffusion from the upper thermocline, and horizontal advection. The annual organic carbon flux at K2 (1.49 ± 0.42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was lower than S1 (2.81 ± 0.53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(p &lt; 0.001 based on t test). These fluxes consist of three components: vertically exported POC fluxes (K2: 1.43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S1: 2.49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vertical diffusive DOC fluxes (K2: 0.03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S1: 0.25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suspended POC fluxes (K2: 0.03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S1: 0.07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The estimated POC export flux at K2 was comparable to the sum of the POC flux observed with drifting sediment traps and active carbon flux exported by migrating zooplankton. The export fluxes at both stations were higher than those reported at other time-series sites (ALOHA, the Bermuda Atlantic Time-series Study, and Ocean Station Papa).","container-title":"Journal of Oceanography","DOI":"10.1007/s10872-016-0379-8","ISSN":"1573-868X","issue":"5","journalAbbreviation":"J Oceanogr","language":"en","page":"665-685","source":"Springer Link","title":"Biological organic carbon export estimated from the annual carbon budget observed in the surface waters of the western subarctic and subtropical North Pacific Ocean from 2004 to 2013","volume":"72","author":[{"family":"Wakita","given":"Masahide"},{"family":"Honda","given":"Makio C."},{"family":"Matsumoto","given":"Kazuhiko"},{"family":"Fujiki","given":"Tetsuichi"},{"family":"Kawakami","given":"Hajime"},{"family":"Yasunaka","given":"Sayaka"},{"family":"Sasai","given":"Yoshikazu"},{"family":"Sukigara","given":"Chiho"},{"family":"Uchimiya","given":"Mario"},{"family":"Kitamura","given":"Minoru"},{"family":"Kobari","given":"Toru"},{"family":"Mino","given":"Yoshihisa"},{"family":"Nagano","given":"Akira"},{"family":"Watanabe","given":"Shuichi"},{"family":"Saino","given":"Toshiro"}],"issued":{"date-parts":[["2016",10,1]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Wakita et al. (2016)</w:t>
            </w:r>
            <w:r>
              <w:rPr>
                <w:rFonts w:ascii="Times New Roman" w:eastAsia="Yu Gothic" w:hAnsi="Times New Roman" w:cs="Times New Roman"/>
                <w:color w:val="000000"/>
                <w:sz w:val="20"/>
                <w:szCs w:val="20"/>
              </w:rPr>
              <w:fldChar w:fldCharType="end"/>
            </w:r>
          </w:p>
        </w:tc>
      </w:tr>
      <w:tr w:rsidR="00E82161" w:rsidRPr="00005F1A" w14:paraId="4B3F817E"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B566A8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40DED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B26B6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CEFAD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7A4C0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C338F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Drawdown</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6CBA0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28E8F8" w14:textId="1C9045D1"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1995</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7E50C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2EEB916" w14:textId="22E7FE06"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{"citationID":"5B0bAiA7","properties":{"formattedCitation":"(Wong et al. 2002)","plainCitation":"(Wong et al. 2002)","dontUpdate":true,"noteIndex":0},"citationItems":[{"id":2477,"uris":["http://zotero.org/users/7846282/items/DBGEPL7E"],"itemData":{"id":2477,"type":"article-journal","abstract":"The results of a 2-yr monitoring program in the North Pacific (March 1995–April 1997) using the commercial cargo carrier M/V Skaugran are presented in this paper. Seasonal changes in macronutrients (nitrate, phosphate and silicate), dissolved inorganic carbon (DIC) and total alkalinity (TA) were recorded in the surface waters of 12 major provinces of the North Pacific Ocean (35–55°N). North of the subarctic boundary (40°N), nitrate rarely decreased to below detection limit except in the more near-shore provinces, with nitrate concentrations remaining as high as 8–9μmolkg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summer in the northern provinces of the Bering Sea, the central and western subarctic Pacific. There were also strong latitudinal nutrient gradients. In most provinces of the subarctic Pacific, there was little interannual change in the nutrient cycles, except in the western subarctic Pacific where nitrate concentration fell to 2.6μmolkg</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summer of 1996. We suggest that this large nitrate depletion was due to enhanced diatom production triggered by the supply of iron from the Asian continent. The relationship between salinity-normalized TA and DIC revealed that calcification was low or negligible in the surface waters of the Bering Sea and the western subarctic Pacific. In contrast, the percent of CaCO3 production to organic carbon production was found to be at times as high as 70–75% in the eastern subarctic Pacific and the southern region off east Japan. This study also revealed east–west contrasts in the seasonal nutrient-depletion ratios. In the east, the elevated DIC:NO3 ratios and low Si(OH)4:NO3 ratios were due to high CaCO3 production and low diatom production in surface waters. On the contrary, in the western subarctic Pacific and the Bering Sea, the low Redfieldian DIC:NO3 ratios and the high Si(OH)4:NO3 ratios were due to low calcification and high diatom production. The annual new production was estimated from the seasonal drawdown of nitrate at the surface. It ranged from 10.1gCm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subtropical gyre to 76–83gCm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subarctic Pacific. Overall, horizontal advection was the major source of uncertainty in the estimation of new production. Finally, the net removal of carbon from the surface by the biological pump was then estimated to be 0.58GtCyr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north of 35°N in the Pacific Ocean. The subarctic North Pacific and the Bering Sea accounted for 93% of the carbon removal.","collection-title":"North  Pacific Biogeochemical Processes","container-title":"Deep Sea Research Part II: Topical Studies in Oceanography","DOI":"10.1016/S0967-0645(02)00193-5","ISSN":"0967-0645","issue":"24","journalAbbreviation":"Deep Sea Research Part II: Topical Studies in Oceanography","language":"en","page":"5317-5338","source":"ScienceDirect","title":"Seasonal cycles of nutrients and dissolved inorganic carbon at high and mid latitudes in the North Pacific Ocean during the Skaugran cruises: determination of new production and nutrient uptake ratios","title-short":"Seasonal cycles of nutrients and dissolved inorganic carbon at high and mid latitudes in the North Pacific Ocean during the Skaugran cruises","volume":"49","author":[{"family":"Wong","given":"C. S"},{"family":"Waser","given":"N. A. D"},{"family":"Nojiri","given":"Y"},{"family":"Whitney","given":"F. A"},{"family":"Page","given":"J. S"},{"family":"Zeng","given":"J"}],"issued":{"date-parts":[["2002",1,1]]}}}],"schema":"https://github.com/citation-style-language/schema/raw/master/csl-citation.json"}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Wong et al. (2002)</w:t>
            </w:r>
            <w:r>
              <w:rPr>
                <w:rFonts w:ascii="Times New Roman" w:eastAsia="Yu Gothic" w:hAnsi="Times New Roman" w:cs="Times New Roman"/>
                <w:color w:val="000000"/>
                <w:sz w:val="20"/>
                <w:szCs w:val="20"/>
              </w:rPr>
              <w:fldChar w:fldCharType="end"/>
            </w:r>
          </w:p>
        </w:tc>
      </w:tr>
      <w:tr w:rsidR="00E82161" w:rsidRPr="00005F1A" w14:paraId="06DBFEB2"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47D6E9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077C4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37943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3D2B4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B289A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57A85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E278F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4831CA" w14:textId="65D31BB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2012</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2013</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AAEEE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 (Float 8397)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799C93B8" w14:textId="7AD75508"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{"citationID":"EUIg53rH","properties":{"formattedCitation":"(Yang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69F26EB1"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02B416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78544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46BF9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304DA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20FFE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0605C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187A5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1AF7CF" w14:textId="6EDB55E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8A198B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 (Float 8397)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5A6B85A2" w14:textId="1BF01DC1"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{"citationID":"eQoRH4s5","properties":{"formattedCitation":"(Yang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38094244"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02DF23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B233F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7FB07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0.60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A0BD9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96EC5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F61B0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76B4D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03FD16" w14:textId="6F7B8CFB"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2014</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11073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 (Float 8497)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374DA03E" w14:textId="4001136D"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{"citationID":"AmjCJfeN","properties":{"formattedCitation":"(Yang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410342E6"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F434DF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19.0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1273B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EEFB4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2B39B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52410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94923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B9189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F090C7" w14:textId="71DC6201"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EEDFC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9294</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230CE6E9" w14:textId="3EB95B44"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{"citationID":"s9xFYKDq","properties":{"formattedCitation":"(Yang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6E4C9BE6"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2A3D2F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18.0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E18DD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0B8D2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34054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BAB63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EDB59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5B8E7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751856" w14:textId="2EA8C510"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33826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9305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3D1F2148" w14:textId="53A9CF86"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{"citationID":"mYHT9DmG","properties":{"formattedCitation":"(Yang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79B416E6"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168178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5B4AC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5122C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B07F7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15E6A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3E248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0D228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F308EF" w14:textId="1B9CC4AA"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AA9BE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9306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252AE586" w14:textId="197A3531"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{"citationID":"fODTSZd1","properties":{"formattedCitation":"(Yang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73E7BCDD"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31FEBF2" w14:textId="4D967C7D"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16.0,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16.0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AB99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0.60, 0.00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3637B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0.30, 0.30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05111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6DB1D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4C632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84345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D8F843" w14:textId="2132A66C"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2014</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B8EDD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8485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2D88CB30" w14:textId="548BB04C" w:rsidR="00E82161" w:rsidRPr="00FD2BBD" w:rsidRDefault="00E82161" w:rsidP="00E82161">
            <w:pPr>
              <w:jc w:val="center"/>
              <w:rPr>
                <w:rFonts w:ascii="Times New Roman" w:eastAsia="Yu Gothic" w:hAnsi="Times New Roman" w:cs="Times New Roman"/>
                <w:color w:val="000000"/>
                <w:sz w:val="20"/>
                <w:szCs w:val="20"/>
              </w:rPr>
            </w:pPr>
            <w:r w:rsidRPr="00A33DB4">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{"citationID":"07GozJPq","properties":{"formattedCitation":"(Yang et al. 2017)","plainCitation":"(Yang et al. 2017)","dontUpdate":true,"noteIndex":0},"citationItems":[{"id":359,"uris":["http://zotero.org/users/7846282/items/ZFRIS667"],"itemData":{"id":359,"type":"article-journal","abstract":"Annual net community production (ANCP) in the subtropical Pacific Ocean was determined by using annual oxygen measurements from Argo profiling floats with an upper water column oxygen mass balance model. ANCP was determined to be from 2.0 to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western subtropical North Pacific, 2.4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in the eastern subtropical North Pacific, and near zero in the subtropical South Pacific. Error analysis with the main sources of uncertainty being the accuracy of oxygen measurements and the parameterization of bubble fluxes in winter suggested an uncertainty of 0.3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in subtropical Pacific. The results are in good agreement with previous observations in locations where ANCP has been determined before. These are the first results from the western subtropical North Pacific and subtropical South Pacific where ANCP have not been evaluated before. ANCP for the subtropical South Pacific is significantly lower than in all other open ocean locations where it has been determined by mass balance. Comparison of our observations with net biological carbon export estimated from remote sensing algorithms indicates that observations from the subtropical North Pacific are higher than the satellite estimates, but those in the subtropical South Pacific are lower than satellite-determined carbon export.","container-title":"Global Biogeochemical Cycles","DOI":"10.1002/2016GB005545","ISSN":"1944-9224","issue":"4","language":"en","license":"©2017. American Geophysical Union. All Rights Reserved.","note":"_eprint: https://agupubs.onlinelibrary.wiley.com/doi/pdf/10.1002/2016GB005545","page":"728-744","source":"Wiley Online Library","title":"Annual net community production in the subtropical Pacific Ocean from in situ oxygen measurements on profiling floats","volume":"31","author":[{"family":"Yang","given":"Bo"},{"family":"Emerson","given":"Steven R."},{"family":"Bushinsky","given":"Seth M."}],"issued":{"date-parts":[["2017"]]}}}],"schema":"https://github.com/citation-style-language/schema/raw/master/csl-citation.json"} </w:instrText>
            </w:r>
            <w:r w:rsidRPr="00A33DB4">
              <w:rPr>
                <w:rFonts w:ascii="Times New Roman" w:eastAsia="Yu Gothic" w:hAnsi="Times New Roman" w:cs="Times New Roman"/>
                <w:color w:val="000000"/>
                <w:sz w:val="20"/>
                <w:szCs w:val="20"/>
              </w:rPr>
              <w:fldChar w:fldCharType="separate"/>
            </w:r>
            <w:r w:rsidRPr="00A33DB4">
              <w:rPr>
                <w:rFonts w:ascii="Times New Roman" w:eastAsia="Yu Gothic" w:hAnsi="Times New Roman" w:cs="Times New Roman"/>
                <w:noProof/>
                <w:color w:val="000000"/>
                <w:sz w:val="20"/>
                <w:szCs w:val="20"/>
              </w:rPr>
              <w:t>Yang et al. (2017)</w:t>
            </w:r>
            <w:r w:rsidRPr="00A33DB4">
              <w:rPr>
                <w:rFonts w:ascii="Times New Roman" w:eastAsia="Yu Gothic" w:hAnsi="Times New Roman" w:cs="Times New Roman"/>
                <w:color w:val="000000"/>
                <w:sz w:val="20"/>
                <w:szCs w:val="20"/>
              </w:rPr>
              <w:fldChar w:fldCharType="end"/>
            </w:r>
          </w:p>
        </w:tc>
      </w:tr>
      <w:tr w:rsidR="00E82161" w:rsidRPr="00005F1A" w14:paraId="4CFA4A42"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754B0243" w14:textId="74B2CF5E"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9A2C3CB" w14:textId="554EF0B0" w:rsidR="00E82161"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0.80</w:t>
            </w:r>
            <w:r w:rsidRPr="00FD2BBD">
              <w:rPr>
                <w:rFonts w:ascii="Times New Roman" w:eastAsia="Yu Gothic" w:hAnsi="Times New Roman" w:cs="Times New Roman"/>
                <w:color w:val="000000"/>
                <w:sz w:val="20"/>
                <w:szCs w:val="20"/>
              </w:rPr>
              <w:t xml:space="preserve">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43E1B89" w14:textId="3CECFF8A"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w:t>
            </w:r>
            <w:r>
              <w:rPr>
                <w:rFonts w:ascii="Times New Roman" w:eastAsia="Yu Gothic" w:hAnsi="Times New Roman" w:cs="Times New Roman"/>
                <w:color w:val="000000"/>
                <w:sz w:val="20"/>
                <w:szCs w:val="20"/>
              </w:rPr>
              <w:t>4</w:t>
            </w:r>
            <w:r w:rsidRPr="00FD2BBD">
              <w:rPr>
                <w:rFonts w:ascii="Times New Roman" w:eastAsia="Yu Gothic" w:hAnsi="Times New Roman" w:cs="Times New Roman"/>
                <w:color w:val="000000"/>
                <w:sz w:val="20"/>
                <w:szCs w:val="20"/>
              </w:rPr>
              <w:t xml:space="preserve">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DB339F9" w14:textId="13611EB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C3F22E" w14:textId="0FE3D781"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2E97C4" w14:textId="32CF29DC"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58117DC" w14:textId="5085A706"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7D5512" w14:textId="2F273D00"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w:t>
            </w:r>
            <w:r>
              <w:rPr>
                <w:rFonts w:ascii="Times New Roman" w:eastAsia="Yu Gothic" w:hAnsi="Times New Roman" w:cs="Times New Roman"/>
                <w:color w:val="000000"/>
                <w:sz w:val="20"/>
                <w:szCs w:val="20"/>
              </w:rPr>
              <w:t>3</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w:t>
            </w:r>
            <w:r>
              <w:rPr>
                <w:rFonts w:ascii="Times New Roman" w:eastAsia="Yu Gothic" w:hAnsi="Times New Roman" w:cs="Times New Roman"/>
                <w:color w:val="000000"/>
                <w:sz w:val="20"/>
                <w:szCs w:val="20"/>
              </w:rPr>
              <w:t>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358103" w14:textId="7B7925F0" w:rsidR="00E82161"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OSP (Float 8397)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tcPr>
          <w:p w14:paraId="2AA3121A" w14:textId="33C85DCB" w:rsidR="00E82161"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{"citationID":"Qa0np7iQ","properties":{"formattedCitation":"(Yang et al. 2018)","plainCitation":"(Yang et al. 2018)","dontUpdate":true,"noteIndex":0},"citationItems":[{"id":2365,"uris":["http://zotero.org/users/7846282/items/CLMWL69C"],"itemData":{"id":2365,"type":"article-journal","abstract":"A large anomalously warm water patch (the “Blob”) appeared in the NE Pacific Ocean in the winter of 2013–2014 and persisted through 2016 causing strong positive upper ocean temperature anomalies at Ocean Station Papa (OSP, 50</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&amp;thinsp;N, 145</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&amp;thinsp;W). The effect of the temperature anomalies on annual net community production (ANCP) was determined by upper ocean chemical mass balances of O2 and dissolved inorganic carbon (DIC) using data from a profiling float and a surface mooring. Year-round oxygen mass balance in the upper ocean (0 to 91–111&amp;thinsp;m) indicates that ANCP decreased after the first year when warmer water invaded this area and then returned to the “pre-Blob” value (2.4, 0.8, 2.1, and 1.6&amp;thinsp;mol&amp;thinsp;C&amp;thinsp;m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2012 to 2016, with a mean value of 1.7±0.7&amp;thinsp;mol&amp;thinsp;C&amp;thinsp;m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ANCP determined from the DIC mass balance has a mean value that is similar within the errors as that from the O2 mass balance but without a significant trend (2.0, 2.1, 2.6, and 3.0&amp;thinsp;mol&amp;thinsp;C&amp;thinsp;m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with a mean value of 2.4±0.6&amp;thinsp;mol&amp;thinsp;C&amp;thinsp;m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This is likely due to differences in the air–sea gas exchange, which is a major term for both mass balances. Oxygen has a residence time with respect to gas exchange of about 1 month while the CO2 gas exchange response time is more like a year. Therefore the biologically induced oxygen saturation anomaly responds fast enough to record annual changes, whereas that for CO2 does not. Phytoplankton pigment analysis from the upper ocean shows lower chlorophyll a concentrations and changes in plankton community composition (greater relative abundance of picoplankton) in the year after the warm water patch entered the area than in previous and subsequent years. Our analysis of multiple physical and biological processes that may have caused the ANCP decrease after warm water entered the area suggests that it was most likely due to the temperature-induced changes in biological processes.","container-title":"Biogeosciences","DOI":"10.5194/bg-15-6747-2018","ISSN":"1726-4170","issue":"21","language":"English","note":"publisher: Copernicus GmbH","page":"6747-6759","source":"Copernicus Online Journals","title":"The effect of the 2013–2016 high temperature anomaly in the subarctic Northeast Pacific (the “Blob”) on net community production","volume":"15","author":[{"family":"Yang","given":"Bo"},{"family":"Emerson","given":"Steven R."},{"family":"Peña","given":"M. Angelica"}],"issued":{"date-parts":[["2018",11,13]]}}}],"schema":"https://github.com/citation-style-language/schema/raw/master/csl-citation.json"}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Yang et al. (2018)</w:t>
            </w:r>
            <w:r>
              <w:rPr>
                <w:rFonts w:ascii="Times New Roman" w:eastAsia="Yu Gothic" w:hAnsi="Times New Roman" w:cs="Times New Roman"/>
                <w:color w:val="000000"/>
                <w:sz w:val="20"/>
                <w:szCs w:val="20"/>
              </w:rPr>
              <w:fldChar w:fldCharType="end"/>
            </w:r>
            <w:r>
              <w:rPr>
                <w:rFonts w:ascii="Times New Roman" w:eastAsia="Yu Gothic" w:hAnsi="Times New Roman" w:cs="Times New Roman"/>
                <w:color w:val="000000"/>
                <w:sz w:val="20"/>
                <w:szCs w:val="20"/>
              </w:rPr>
              <w:t xml:space="preserve"> </w:t>
            </w:r>
          </w:p>
        </w:tc>
      </w:tr>
      <w:tr w:rsidR="00E82161" w:rsidRPr="00005F1A" w14:paraId="4F3FB3D6" w14:textId="77777777" w:rsidTr="00930B8C">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4E71EBB6" w14:textId="7A235AD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5</w:t>
            </w:r>
            <w:r>
              <w:rPr>
                <w:rFonts w:ascii="Times New Roman" w:eastAsia="Yu Gothic" w:hAnsi="Times New Roman" w:cs="Times New Roman"/>
                <w:color w:val="000000"/>
                <w:sz w:val="20"/>
                <w:szCs w:val="20"/>
              </w:rPr>
              <w:t>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36C8D0C" w14:textId="69DAD97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.00, 2.10, 2.60, 3.00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66BB65C" w14:textId="5E2985F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w:t>
            </w:r>
            <w:r>
              <w:rPr>
                <w:rFonts w:ascii="Times New Roman" w:eastAsia="Yu Gothic" w:hAnsi="Times New Roman" w:cs="Times New Roman"/>
                <w:color w:val="000000"/>
                <w:sz w:val="20"/>
                <w:szCs w:val="20"/>
              </w:rPr>
              <w:t>, -, -,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D3FDFAF" w14:textId="65917D74"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750495" w14:textId="09599DF1"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D</w:t>
            </w:r>
            <w:r>
              <w:rPr>
                <w:rFonts w:ascii="Times New Roman" w:eastAsia="Yu Gothic" w:hAnsi="Times New Roman" w:cs="Times New Roman"/>
                <w:color w:val="000000"/>
                <w:sz w:val="20"/>
                <w:szCs w:val="20"/>
              </w:rPr>
              <w:t>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23D90F6" w14:textId="2A5E203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B</w:t>
            </w:r>
            <w:r>
              <w:rPr>
                <w:rFonts w:ascii="Times New Roman" w:eastAsia="Yu Gothic" w:hAnsi="Times New Roman" w:cs="Times New Roman"/>
                <w:color w:val="000000"/>
                <w:sz w:val="20"/>
                <w:szCs w:val="20"/>
              </w:rPr>
              <w:t>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EEF61F" w14:textId="196A5A0F"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M</w:t>
            </w:r>
            <w:r>
              <w:rPr>
                <w:rFonts w:ascii="Times New Roman" w:eastAsia="Yu Gothic" w:hAnsi="Times New Roman" w:cs="Times New Roman"/>
                <w:color w:val="000000"/>
                <w:sz w:val="20"/>
                <w:szCs w:val="20"/>
              </w:rPr>
              <w:t>ooring</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064EB6A" w14:textId="0F5BF29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2</w:t>
            </w:r>
            <w:r>
              <w:rPr>
                <w:rFonts w:ascii="Times New Roman" w:eastAsia="Yu Gothic" w:hAnsi="Times New Roman" w:cs="Times New Roman"/>
                <w:color w:val="000000"/>
                <w:sz w:val="20"/>
                <w:szCs w:val="20"/>
              </w:rPr>
              <w:t>012</w:t>
            </w:r>
            <w:r w:rsidR="00C746FA">
              <w:rPr>
                <w:rFonts w:ascii="Times New Roman" w:eastAsia="Yu Gothic" w:hAnsi="Times New Roman" w:cs="Times New Roman"/>
                <w:color w:val="000000"/>
                <w:sz w:val="20"/>
                <w:szCs w:val="20"/>
              </w:rPr>
              <w:t>–</w:t>
            </w:r>
            <w:r>
              <w:rPr>
                <w:rFonts w:ascii="Times New Roman" w:eastAsia="Yu Gothic" w:hAnsi="Times New Roman" w:cs="Times New Roman"/>
                <w:color w:val="000000"/>
                <w:sz w:val="20"/>
                <w:szCs w:val="20"/>
              </w:rPr>
              <w:t>2016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A8076A" w14:textId="00478072"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O</w:t>
            </w:r>
            <w:r>
              <w:rPr>
                <w:rFonts w:ascii="Times New Roman" w:eastAsia="Yu Gothic" w:hAnsi="Times New Roman" w:cs="Times New Roman"/>
                <w:color w:val="000000"/>
                <w:sz w:val="20"/>
                <w:szCs w:val="20"/>
              </w:rPr>
              <w:t>SP</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tcPr>
          <w:p w14:paraId="1B315968" w14:textId="576C3F84" w:rsidR="00E82161" w:rsidRPr="007F417C"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{"citationID":"HKdQ93XZ","properties":{"formattedCitation":"(Yang et al. 2018)","plainCitation":"(Yang et al. 2018)","dontUpdate":true,"noteIndex":0},"citationItems":[{"id":2365,"uris":["http://zotero.org/users/7846282/items/CLMWL69C"],"itemData":{"id":2365,"type":"article-journal","abstract":"A large anomalously warm water patch (the “Blob”) appeared in the NE Pacific Ocean in the winter of 2013–2014 and persisted through 2016 causing strong positive upper ocean temperature anomalies at Ocean Station Papa (OSP, 50</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&amp;thinsp;N, 145</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&amp;thinsp;W). The effect of the temperature anomalies on annual net community production (ANCP) was determined by upper ocean chemical mass balances of O2 and dissolved inorganic carbon (DIC) using data from a profiling float and a surface mooring. Year-round oxygen mass balance in the upper ocean (0 to 91–111&amp;thinsp;m) indicates that ANCP decreased after the first year when warmer water invaded this area and then returned to the “pre-Blob” value (2.4, 0.8, 2.1, and 1.6&amp;thinsp;mol&amp;thinsp;C&amp;thinsp;m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2012 to 2016, with a mean value of 1.7±0.7&amp;thinsp;mol&amp;thinsp;C&amp;thinsp;m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ANCP determined from the DIC mass balance has a mean value that is similar within the errors as that from the O2 mass balance but without a significant trend (2.0, 2.1, 2.6, and 3.0&amp;thinsp;mol&amp;thinsp;C&amp;thinsp;m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with a mean value of 2.4±0.6&amp;thinsp;mol&amp;thinsp;C&amp;thinsp;m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2&amp;thinsp;yr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This is likely due to differences in the air–sea gas exchange, which is a major term for both mass balances. Oxygen has a residence time with respect to gas exchange of about 1 month while the CO2 gas exchange response time is more like a year. Therefore the biologically induced oxygen saturation anomaly responds fast enough to record annual changes, whereas that for CO2 does not. Phytoplankton pigment analysis from the upper ocean shows lower chlorophyll a concentrations and changes in plankton community composition (greater relative abundance of picoplankton) in the year after the warm water patch entered the area than in previous and subsequent years. Our analysis of multiple physical and biological processes that may have caused the ANCP decrease after warm water entered the area suggests that it was most likely due to the temperature-induced changes in biological processes.","container-title":"Biogeosciences","DOI":"10.5194/bg-15-6747-2018","ISSN":"1726-4170","issue":"21","language":"English","note":"publisher: Copernicus GmbH","page":"6747-6759","source":"Copernicus Online Journals","title":"The effect of the 2013–2016 high temperature anomaly in the subarctic Northeast Pacific (the “Blob”) on net community production","volume":"15","author":[{"family":"Yang","given":"Bo"},{"family":"Emerson","given":"Steven R."},{"family":"Peña","given":"M. Angelica"}],"issued":{"date-parts":[["2018",11,13]]}}}],"schema":"https://github.com/citation-style-language/schema/raw/master/csl-citation.json"}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Yang et al. (2018)</w:t>
            </w:r>
            <w:r>
              <w:rPr>
                <w:rFonts w:ascii="Times New Roman" w:eastAsia="Yu Gothic" w:hAnsi="Times New Roman" w:cs="Times New Roman"/>
                <w:color w:val="000000"/>
                <w:sz w:val="20"/>
                <w:szCs w:val="20"/>
              </w:rPr>
              <w:fldChar w:fldCharType="end"/>
            </w:r>
          </w:p>
        </w:tc>
      </w:tr>
      <w:tr w:rsidR="00E82161" w:rsidRPr="00005F1A" w14:paraId="459961B1"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9E5BF4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E7728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22D68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8BE4C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D3D4C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9671C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9845B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B6AC68" w14:textId="5575FFD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2013</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00FD7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HOT (Float 8497)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1A0825A8" w14:textId="61A721DE"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{"citationID":"Gi6ybNoU","properties":{"formattedCitation":"(Yang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3AEF340B"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1C9DE5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630EF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2.10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40DF8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0.20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CC562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11BF4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E4E27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D09B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EAD7D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67387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P16N</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2DEEBDAC" w14:textId="02C4A394"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{"citationID":"OUbdqbS0","properties":{"formattedCitation":"(Yang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62823AF5"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2A6ED1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20.0, 21.5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E288A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2.10, 1.80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A0A3A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B3916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DE75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64DF80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31FB0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78932F" w14:textId="2AE4C06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B3692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9306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59D52F3E" w14:textId="346ABD74"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{"citationID":"E20DPdYw","properties":{"formattedCitation":"(Yang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5BBA527E"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D8888A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21.5, 20.5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EF022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1.40, 1.00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324E5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F40D9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BB07B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24E2D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1F495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4E4DCE" w14:textId="24B645CD"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0B833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9294</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00B5DBB5" w14:textId="5A141201"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{"citationID":"0T1pRyaJ","properties":{"formattedCitation":"(Yang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3BC31611"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0F36A9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19.0, 20.0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4E406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1.70, 2.10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08DBB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E2262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DF10E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98E45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7D60D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F99DAE" w14:textId="7FA0922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22FA2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9305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51E43B48" w14:textId="1772F031"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{"citationID":"QJeVaFl9","properties":{"formattedCitation":"(Yang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54D9DBE4"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78CAF9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18.0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B39AAE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5DE80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0.40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9A863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1CD97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D01F2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48AC8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0EC2A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4F63C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P10</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1AB2B516" w14:textId="48085270"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{"citationID":"JZ0PFtf9","properties":{"formattedCitation":"(Yang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748D0775"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218A713" w14:textId="3B960D9A"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14.5,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15.5,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16.0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CE682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0.80, 0.50, 1.20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7EA1B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0EEBD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77B0C7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9B391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EA99E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1EE546" w14:textId="0694956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2014</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64E644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8485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386ACED1" w14:textId="13C98555"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{"citationID":"W5Ss4E3M","properties":{"formattedCitation":"(Yang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436F7868"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4FC1374" w14:textId="0D345CB3"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17.0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8333D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688B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0.10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C6645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04802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B424A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EE795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B1459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C75C9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P16S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5136EEAE" w14:textId="6B18FBBA"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{"citationID":"qE530nGq","properties":{"formattedCitation":"(Yang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15E42BED"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080CDEB" w14:textId="2CD4EF0F"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689CA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4E2B8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E9903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4F9A6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E4322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649A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88BB82" w14:textId="7FE3D67B"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2017</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8E1FF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12385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2E6C902F" w14:textId="4D96CB80"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{"citationID":"1Thv4dR1","properties":{"formattedCitation":"(Yang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43607482"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CA737B8" w14:textId="62A82A30" w:rsidR="00E82161" w:rsidRPr="00FD2BBD" w:rsidRDefault="00C746FA"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117BE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CB935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0.10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DFD6C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3E90C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44833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6A06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920D8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1CDD3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P18</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555F482B" w14:textId="78CDF984" w:rsidR="00E82161" w:rsidRPr="00FD2BBD" w:rsidRDefault="00E82161" w:rsidP="00E82161">
            <w:pPr>
              <w:jc w:val="center"/>
              <w:rPr>
                <w:rFonts w:ascii="Times New Roman" w:eastAsia="Yu Gothic" w:hAnsi="Times New Roman" w:cs="Times New Roman"/>
                <w:color w:val="000000"/>
                <w:sz w:val="20"/>
                <w:szCs w:val="20"/>
              </w:rPr>
            </w:pPr>
            <w:r w:rsidRPr="007F417C">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{"citationID":"Fc92TzhR","properties":{"formattedCitation":"(Yang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7F417C">
              <w:rPr>
                <w:rFonts w:ascii="Times New Roman" w:eastAsia="Yu Gothic" w:hAnsi="Times New Roman" w:cs="Times New Roman"/>
                <w:color w:val="000000"/>
                <w:sz w:val="20"/>
                <w:szCs w:val="20"/>
              </w:rPr>
              <w:fldChar w:fldCharType="separate"/>
            </w:r>
            <w:r w:rsidRPr="007F417C">
              <w:rPr>
                <w:rFonts w:ascii="Times New Roman" w:eastAsia="Yu Gothic" w:hAnsi="Times New Roman" w:cs="Times New Roman"/>
                <w:noProof/>
                <w:color w:val="000000"/>
                <w:sz w:val="20"/>
                <w:szCs w:val="20"/>
              </w:rPr>
              <w:t>Yang et al. (2019)</w:t>
            </w:r>
            <w:r w:rsidRPr="007F417C">
              <w:rPr>
                <w:rFonts w:ascii="Times New Roman" w:eastAsia="Yu Gothic" w:hAnsi="Times New Roman" w:cs="Times New Roman"/>
                <w:color w:val="000000"/>
                <w:sz w:val="20"/>
                <w:szCs w:val="20"/>
              </w:rPr>
              <w:fldChar w:fldCharType="end"/>
            </w:r>
          </w:p>
        </w:tc>
      </w:tr>
      <w:tr w:rsidR="00E82161" w:rsidRPr="00005F1A" w14:paraId="6BE52139"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CB11CF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B20FB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2.10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12D33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3D29E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7EB0E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56851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3C62A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A25DD8" w14:textId="686756DD"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2014</w:t>
            </w:r>
            <w:r w:rsidR="00C746FA">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lastRenderedPageBreak/>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F6D69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Float 8397</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44938F16" w14:textId="6EDC30C8" w:rsidR="00E82161" w:rsidRPr="00FD2BBD" w:rsidRDefault="00E82161" w:rsidP="00E82161">
            <w:pPr>
              <w:jc w:val="center"/>
              <w:rPr>
                <w:rFonts w:ascii="Times New Roman" w:eastAsia="Yu Gothic" w:hAnsi="Times New Roman" w:cs="Times New Roman"/>
                <w:color w:val="000000"/>
                <w:sz w:val="20"/>
                <w:szCs w:val="20"/>
              </w:rPr>
            </w:pPr>
            <w:r w:rsidRPr="00094DD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{"citationID":"odHlH7Ai","properties":{"formattedCitation":"(Yang et al. 2022)","plainCitation":"(Yang et al. 2022)","dontUpdate":true,"noteIndex":0},"citationItems":[{"id":2010,"uris":["http://zotero.org/users/7846282/items/24NC6ZMV"],"itemData":{"id":2010,"type":"article-journal","abstract":"We evaluated the influence of skin temperature correction on the calculations of air-sea O2 flux and annual net community production (ANCP). The skin temperature correction term (ΔT) was derived from the fifth generation European Center for Medium-Range Weather Forecasts Reanalysis, which has large spatial and temporal variations that are consistent with independent measurements on three ocean moorings from areas with very different air-sea heat flux and ΔT. The result revealed that ΔT is dominated by the cool skin effect (which leads to the increase in air-to-sea O2 flux and decrease in ANCP), except for the equatorial region or summertime when the warm layer effect is significant. Using data from three Argo profiling floats in the subarctic, subtropical, and tropical Pacific as examples, the calculations indicated that the correction could lead to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1%–+36% difference in annual air-to-sea O2 flux and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33%–+5% difference in ANCP.","container-title":"Geophysical Research Letters","DOI":"10.1029/2021GL096103","ISSN":"1944-8007","issue":"3","language":"en","note":"_eprint: https://onlinelibrary.wiley.com/doi/pdf/10.1029/2021GL096103","page":"e2021GL096103","source":"Wiley Online Library","title":"Skin Temperature Correction for Calculations of Air-Sea Oxygen Flux and Annual Net Community Production","volume":"49","author":[{"family":"Yang","given":"Bo"},{"family":"Emerson","given":"Steven R."},{"family":"Cronin","given":"Meghan F."}],"issued":{"date-parts":[["2022"]]}}}],"schema":"https://github.com/citation-style-language/schema/raw/master/csl-citation.json"} </w:instrText>
            </w:r>
            <w:r w:rsidRPr="00094DDA">
              <w:rPr>
                <w:rFonts w:ascii="Times New Roman" w:eastAsia="Yu Gothic" w:hAnsi="Times New Roman" w:cs="Times New Roman"/>
                <w:color w:val="000000"/>
                <w:sz w:val="20"/>
                <w:szCs w:val="20"/>
              </w:rPr>
              <w:fldChar w:fldCharType="separate"/>
            </w:r>
            <w:r w:rsidRPr="00094DDA">
              <w:rPr>
                <w:rFonts w:ascii="Times New Roman" w:eastAsia="Yu Gothic" w:hAnsi="Times New Roman" w:cs="Times New Roman"/>
                <w:noProof/>
                <w:color w:val="000000"/>
                <w:sz w:val="20"/>
                <w:szCs w:val="20"/>
              </w:rPr>
              <w:t xml:space="preserve">Yang et al. </w:t>
            </w:r>
            <w:r>
              <w:rPr>
                <w:rFonts w:ascii="Times New Roman" w:eastAsia="Yu Gothic" w:hAnsi="Times New Roman" w:cs="Times New Roman"/>
                <w:noProof/>
                <w:color w:val="000000"/>
                <w:sz w:val="20"/>
                <w:szCs w:val="20"/>
              </w:rPr>
              <w:t>(</w:t>
            </w:r>
            <w:r w:rsidRPr="00094DDA">
              <w:rPr>
                <w:rFonts w:ascii="Times New Roman" w:eastAsia="Yu Gothic" w:hAnsi="Times New Roman" w:cs="Times New Roman"/>
                <w:noProof/>
                <w:color w:val="000000"/>
                <w:sz w:val="20"/>
                <w:szCs w:val="20"/>
              </w:rPr>
              <w:t>2022)</w:t>
            </w:r>
            <w:r w:rsidRPr="00094DDA">
              <w:rPr>
                <w:rFonts w:ascii="Times New Roman" w:eastAsia="Yu Gothic" w:hAnsi="Times New Roman" w:cs="Times New Roman"/>
                <w:color w:val="000000"/>
                <w:sz w:val="20"/>
                <w:szCs w:val="20"/>
              </w:rPr>
              <w:fldChar w:fldCharType="end"/>
            </w:r>
          </w:p>
        </w:tc>
      </w:tr>
      <w:tr w:rsidR="00E82161" w:rsidRPr="00005F1A" w14:paraId="2A1A98D8"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EC3A0DE" w14:textId="5F7C5DE9"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FF3678" w14:textId="412B96A0"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0.40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D980E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33A3B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1C965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C0994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C4A3B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CA61ED" w14:textId="403E4FF1"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1B99E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12775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09EB7CAC" w14:textId="451F7422" w:rsidR="00E82161" w:rsidRPr="00FD2BBD" w:rsidRDefault="00E82161" w:rsidP="00E82161">
            <w:pPr>
              <w:jc w:val="center"/>
              <w:rPr>
                <w:rFonts w:ascii="Times New Roman" w:eastAsia="Yu Gothic" w:hAnsi="Times New Roman" w:cs="Times New Roman"/>
                <w:color w:val="000000"/>
                <w:sz w:val="20"/>
                <w:szCs w:val="20"/>
              </w:rPr>
            </w:pPr>
            <w:r w:rsidRPr="00094DDA">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{"citationID":"M5hKU3gX","properties":{"formattedCitation":"(Yang et al. 2022)","plainCitation":"(Yang et al. 2022)","dontUpdate":true,"noteIndex":0},"citationItems":[{"id":2010,"uris":["http://zotero.org/users/7846282/items/24NC6ZMV"],"itemData":{"id":2010,"type":"article-journal","abstract":"We evaluated the influence of skin temperature correction on the calculations of air-sea O2 flux and annual net community production (ANCP). The skin temperature correction term (ΔT) was derived from the fifth generation European Center for Medium-Range Weather Forecasts Reanalysis, which has large spatial and temporal variations that are consistent with independent measurements on three ocean moorings from areas with very different air-sea heat flux and ΔT. The result revealed that ΔT is dominated by the cool skin effect (which leads to the increase in air-to-sea O2 flux and decrease in ANCP), except for the equatorial region or summertime when the warm layer effect is significant. Using data from three Argo profiling floats in the subarctic, subtropical, and tropical Pacific as examples, the calculations indicated that the correction could lead to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1%–+36% difference in annual air-to-sea O2 flux and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33%–+5% difference in ANCP.","container-title":"Geophysical Research Letters","DOI":"10.1029/2021GL096103","ISSN":"1944-8007","issue":"3","language":"en","note":"_eprint: https://onlinelibrary.wiley.com/doi/pdf/10.1029/2021GL096103","page":"e2021GL096103","source":"Wiley Online Library","title":"Skin Temperature Correction for Calculations of Air-Sea Oxygen Flux and Annual Net Community Production","volume":"49","author":[{"family":"Yang","given":"Bo"},{"family":"Emerson","given":"Steven R."},{"family":"Cronin","given":"Meghan F."}],"issued":{"date-parts":[["2022"]]}}}],"schema":"https://github.com/citation-style-language/schema/raw/master/csl-citation.json"} </w:instrText>
            </w:r>
            <w:r w:rsidRPr="00094DDA">
              <w:rPr>
                <w:rFonts w:ascii="Times New Roman" w:eastAsia="Yu Gothic" w:hAnsi="Times New Roman" w:cs="Times New Roman"/>
                <w:color w:val="000000"/>
                <w:sz w:val="20"/>
                <w:szCs w:val="20"/>
              </w:rPr>
              <w:fldChar w:fldCharType="separate"/>
            </w:r>
            <w:r w:rsidRPr="00094DDA">
              <w:rPr>
                <w:rFonts w:ascii="Times New Roman" w:eastAsia="Yu Gothic" w:hAnsi="Times New Roman" w:cs="Times New Roman"/>
                <w:noProof/>
                <w:color w:val="000000"/>
                <w:sz w:val="20"/>
                <w:szCs w:val="20"/>
              </w:rPr>
              <w:t xml:space="preserve">Yang et al. </w:t>
            </w:r>
            <w:r>
              <w:rPr>
                <w:rFonts w:ascii="Times New Roman" w:eastAsia="Yu Gothic" w:hAnsi="Times New Roman" w:cs="Times New Roman"/>
                <w:noProof/>
                <w:color w:val="000000"/>
                <w:sz w:val="20"/>
                <w:szCs w:val="20"/>
              </w:rPr>
              <w:t>(</w:t>
            </w:r>
            <w:r w:rsidRPr="00094DDA">
              <w:rPr>
                <w:rFonts w:ascii="Times New Roman" w:eastAsia="Yu Gothic" w:hAnsi="Times New Roman" w:cs="Times New Roman"/>
                <w:noProof/>
                <w:color w:val="000000"/>
                <w:sz w:val="20"/>
                <w:szCs w:val="20"/>
              </w:rPr>
              <w:t>2022)</w:t>
            </w:r>
            <w:r w:rsidRPr="00094DDA">
              <w:rPr>
                <w:rFonts w:ascii="Times New Roman" w:eastAsia="Yu Gothic" w:hAnsi="Times New Roman" w:cs="Times New Roman"/>
                <w:color w:val="000000"/>
                <w:sz w:val="20"/>
                <w:szCs w:val="20"/>
              </w:rPr>
              <w:fldChar w:fldCharType="end"/>
            </w:r>
          </w:p>
        </w:tc>
      </w:tr>
      <w:tr w:rsidR="00E82161" w:rsidRPr="00005F1A" w14:paraId="10CB4363"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768957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0.0, 0.0, 0.0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3AFC8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1.78, 1.16, 4.19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F5A7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0.88, 0.51, 2.30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287E2C" w14:textId="0156375B"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(50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7D243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E24D3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B8C93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0B159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1992</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485C48"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8091DDB" w14:textId="7C6A5E0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{"citationID":"FlPCAXbb","properties":{"formattedCitation":"(Zhang and Quay 1997)","plainCitation":"(Zhang and Quay 1997)","dontUpdate":true,"noteIndex":0},"citationItems":[{"id":2511,"uris":["http://zotero.org/users/7846282/items/YQAZD7Z6"],"itemData":{"id":2511,"type":"article-journal","abstract":"Carbon stable isotopic composition (δ13C) of total dissolved inorganic carbon (DIC) is independent of DIC as a tracer for net organic carbon production rate in the surface ocean due to the Significantly different equilibration times for CO2 and13CO2 during air-sea exchange. The rates of the organic carbon export and net physical supply of DIC, can therefore, be determined from the mixed layer mass balances for DIC and DIC13 (DIC</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13C/12C), given an air-sea C02 flux estimated from wind speed and measuredpCO2. This method does not rely on specifying the absolute advetive and diffusive transports of DIC. The mass balance approach was applied to measurements of concentration and δ13C of DIC made in the equatorial Pacific ocean in the Spring and Fall of 1991–1992 during WOCE P16C and US JGOFS EqPac cruises. The calculated organic carbon export rate out of mixed layer during Spring 1992 El Nin˜o was 3.2±1.4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(between 2°N to 2°S and 170°W to 110°W). No spatial trend for the total organic carbon export rate was determined despite the large variation in C02 degassing rate from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0.1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at 170°W to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4.0 mmol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110°W over this region. Under the cold tongue conditions in the end of August 1992, a higher organic carbon export rate, about 11.5±6.3 mmol C m-2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was obtained on the equator at 140°W while the rate for the previous September (in 1991) was 4.9 ± 2.4 mmol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Most of the uncertainty in our estimated results from the uncertainty in gas exchange coefficient. The comparison between the estimated organic carbon export rates and the particulate organic carbon (POC) export rates derived from thorium budget and sediment drifting traps at the same stations (Buesseleret al., 1995; Murrayet al., 1996) suggests that particulate organic carbon probably accounts for about 70% of the organci export. Since physical, rather than biological, processes primarily control the distribution of DIC, NO3 O2 and other nutrient-related properties in this region, it is very difficult to accurately obtain the net organic carbon export rate from advection rates and nutrient gradients, as demonstrated by a 3-D calculation.","collection-title":"A JGFOS Process Study in the Equatorial Pacific","container-title":"Deep Sea Research Part II: Topical Studies in Oceanography","DOI":"10.1016/S0967-0645(97)00032-5","ISSN":"0967-0645","issue":"9","journalAbbreviation":"Deep Sea Research Part II: Topical Studies in Oceanography","language":"en","page":"2163-2190","source":"ScienceDirect","title":"The total organic carbon export rate based on13C and12C of DIC budgets in the equatorial Pacific region","volume":"44","author":[{"family":"Zhang","given":"Jianrong"},{"family":"Quay","given":"Paul D."}],"issued":{"date-parts":[["1997",1,1]]}}}],"schema":"https://github.com/citation-style-language/schema/raw/master/csl-citation.json"}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Zhang and Quay (1997)</w:t>
            </w:r>
            <w:r>
              <w:rPr>
                <w:rFonts w:ascii="Times New Roman" w:eastAsia="Yu Gothic" w:hAnsi="Times New Roman" w:cs="Times New Roman"/>
                <w:color w:val="000000"/>
                <w:sz w:val="20"/>
                <w:szCs w:val="20"/>
              </w:rPr>
              <w:fldChar w:fldCharType="end"/>
            </w:r>
          </w:p>
        </w:tc>
      </w:tr>
      <w:tr w:rsidR="00E82161" w:rsidRPr="00005F1A" w14:paraId="4131DC4E" w14:textId="77777777" w:rsidTr="00F03FDD">
        <w:trPr>
          <w:trHeight w:val="57"/>
        </w:trPr>
        <w:tc>
          <w:tcPr>
            <w:tcW w:w="13989" w:type="dxa"/>
            <w:gridSpan w:val="10"/>
            <w:tcBorders>
              <w:top w:val="single" w:sz="4" w:space="0" w:color="BFBFBF" w:themeColor="background1" w:themeShade="BF"/>
              <w:left w:val="single" w:sz="4" w:space="0" w:color="000000" w:themeColor="text1"/>
              <w:bottom w:val="single" w:sz="4" w:space="0" w:color="000000" w:themeColor="text1"/>
              <w:right w:val="single" w:sz="4" w:space="0" w:color="000000" w:themeColor="text1"/>
            </w:tcBorders>
            <w:shd w:val="clear" w:color="auto" w:fill="auto"/>
            <w:vAlign w:val="center"/>
          </w:tcPr>
          <w:p w14:paraId="667C14AB" w14:textId="77777777" w:rsidR="00E82161" w:rsidRDefault="00E82161" w:rsidP="00E82161">
            <w:pPr>
              <w:jc w:val="center"/>
              <w:rPr>
                <w:rFonts w:ascii="Times New Roman" w:eastAsia="Yu Gothic" w:hAnsi="Times New Roman" w:cs="Times New Roman"/>
                <w:color w:val="000000"/>
                <w:sz w:val="20"/>
                <w:szCs w:val="20"/>
              </w:rPr>
            </w:pPr>
          </w:p>
        </w:tc>
      </w:tr>
      <w:tr w:rsidR="00E82161" w:rsidRPr="00005F1A" w14:paraId="3DAE0D5F" w14:textId="77777777" w:rsidTr="00F03FDD">
        <w:trPr>
          <w:trHeight w:val="57"/>
        </w:trPr>
        <w:tc>
          <w:tcPr>
            <w:tcW w:w="139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4A4E64" w14:textId="08CDC1D0" w:rsidR="00E82161" w:rsidRPr="00005F1A" w:rsidRDefault="00E82161" w:rsidP="00E82161">
            <w:pPr>
              <w:jc w:val="center"/>
              <w:rPr>
                <w:rFonts w:ascii="Times New Roman" w:eastAsia="Yu Gothic" w:hAnsi="Times New Roman" w:cs="Times New Roman"/>
                <w:color w:val="000000"/>
                <w:sz w:val="20"/>
                <w:szCs w:val="20"/>
              </w:rPr>
            </w:pPr>
            <w:r w:rsidRPr="00F03FDD">
              <w:rPr>
                <w:rFonts w:ascii="Times New Roman" w:eastAsia="Yu Gothic" w:hAnsi="Times New Roman" w:cs="Times New Roman" w:hint="eastAsia"/>
                <w:color w:val="000000"/>
              </w:rPr>
              <w:t>A</w:t>
            </w:r>
            <w:r w:rsidRPr="00F03FDD">
              <w:rPr>
                <w:rFonts w:ascii="Times New Roman" w:eastAsia="Yu Gothic" w:hAnsi="Times New Roman" w:cs="Times New Roman"/>
                <w:color w:val="000000"/>
              </w:rPr>
              <w:t>tlantic</w:t>
            </w:r>
            <w:r w:rsidR="008A282F">
              <w:rPr>
                <w:rFonts w:ascii="Times New Roman" w:eastAsia="Yu Gothic" w:hAnsi="Times New Roman" w:cs="Times New Roman"/>
                <w:color w:val="000000"/>
              </w:rPr>
              <w:t xml:space="preserve"> Ocean</w:t>
            </w:r>
          </w:p>
        </w:tc>
      </w:tr>
      <w:tr w:rsidR="00E82161" w:rsidRPr="00005F1A" w14:paraId="3C2BA3CD" w14:textId="77777777" w:rsidTr="00F03FDD">
        <w:trPr>
          <w:trHeight w:val="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C16DF6" w14:textId="786367AC"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Latitude</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A43408" w14:textId="188D2357"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ANCP</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6D038D" w14:textId="79918769"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SD or SE</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2E2099" w14:textId="5F04B9EF"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Depth </w:t>
            </w:r>
            <w:r w:rsidRPr="00E94D5F">
              <w:rPr>
                <w:rFonts w:ascii="Times New Roman" w:eastAsia="Yu Gothic" w:hAnsi="Times New Roman" w:cs="Times New Roman"/>
                <w:i/>
                <w:color w:val="000000"/>
                <w:sz w:val="20"/>
                <w:szCs w:val="20"/>
              </w:rPr>
              <w:t>H</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A56865" w14:textId="535DEA27"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Tracer</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A2CA3A" w14:textId="54ECBC53"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Method</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34DD41" w14:textId="1901940C"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Platform</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18B359" w14:textId="6C99464E"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Date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A521AA" w14:textId="4F2B1625"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Note for location</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0969C7" w14:textId="42FD745D"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Reference</w:t>
            </w:r>
          </w:p>
        </w:tc>
      </w:tr>
      <w:tr w:rsidR="00E82161" w:rsidRPr="00005F1A" w14:paraId="07B0A5CC" w14:textId="77777777" w:rsidTr="00C6505D">
        <w:trPr>
          <w:trHeight w:val="57"/>
        </w:trPr>
        <w:tc>
          <w:tcPr>
            <w:tcW w:w="1701" w:type="dxa"/>
            <w:tcBorders>
              <w:top w:val="single" w:sz="4" w:space="0" w:color="000000" w:themeColor="text1"/>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82F98F7" w14:textId="1FB524B3"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48.3</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0C0409" w14:textId="50F3EB3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4.30</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03B1FA" w14:textId="4FEE6BE1"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hint="eastAsia"/>
                <w:color w:val="000000"/>
                <w:sz w:val="20"/>
                <w:szCs w:val="20"/>
              </w:rPr>
              <w:t>1</w:t>
            </w:r>
            <w:r>
              <w:rPr>
                <w:rFonts w:ascii="Times New Roman" w:eastAsia="Yu Gothic" w:hAnsi="Times New Roman" w:cs="Times New Roman"/>
                <w:color w:val="000000"/>
                <w:sz w:val="20"/>
                <w:szCs w:val="20"/>
              </w:rPr>
              <w:t>.30</w:t>
            </w:r>
          </w:p>
        </w:tc>
        <w:tc>
          <w:tcPr>
            <w:tcW w:w="1110"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CF7C18" w14:textId="32B9829E"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Pr>
                <w:rFonts w:ascii="Times New Roman" w:eastAsia="Yu Gothic" w:hAnsi="Times New Roman" w:cs="Times New Roman"/>
                <w:color w:val="000000"/>
                <w:sz w:val="20"/>
                <w:szCs w:val="20"/>
              </w:rPr>
              <w:t xml:space="preserve"> (60 m)</w:t>
            </w:r>
          </w:p>
        </w:tc>
        <w:tc>
          <w:tcPr>
            <w:tcW w:w="1086"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D8680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1ACC8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25FD0F" w14:textId="62D6DE7D"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Sea</w:t>
            </w:r>
            <w:r w:rsidR="00EA1B57">
              <w:rPr>
                <w:rFonts w:ascii="Times New Roman" w:eastAsia="Yu Gothic" w:hAnsi="Times New Roman" w:cs="Times New Roman"/>
                <w:color w:val="000000"/>
                <w:sz w:val="20"/>
                <w:szCs w:val="20"/>
              </w:rPr>
              <w:t xml:space="preserve"> </w:t>
            </w:r>
            <w:r>
              <w:rPr>
                <w:rFonts w:ascii="Times New Roman" w:eastAsia="Yu Gothic" w:hAnsi="Times New Roman" w:cs="Times New Roman"/>
                <w:color w:val="000000"/>
                <w:sz w:val="20"/>
                <w:szCs w:val="20"/>
              </w:rPr>
              <w:t>glider</w:t>
            </w:r>
          </w:p>
        </w:tc>
        <w:tc>
          <w:tcPr>
            <w:tcW w:w="107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6A1F5C" w14:textId="318DA5E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w:t>
            </w:r>
            <w:r>
              <w:rPr>
                <w:rFonts w:ascii="Times New Roman" w:eastAsia="Yu Gothic" w:hAnsi="Times New Roman" w:cs="Times New Roman"/>
                <w:color w:val="000000"/>
                <w:sz w:val="20"/>
                <w:szCs w:val="20"/>
              </w:rPr>
              <w:t>2</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w:t>
            </w:r>
            <w:r>
              <w:rPr>
                <w:rFonts w:ascii="Times New Roman" w:eastAsia="Yu Gothic" w:hAnsi="Times New Roman" w:cs="Times New Roman"/>
                <w:color w:val="000000"/>
                <w:sz w:val="20"/>
                <w:szCs w:val="20"/>
              </w:rPr>
              <w:t>13</w:t>
            </w:r>
          </w:p>
        </w:tc>
        <w:tc>
          <w:tcPr>
            <w:tcW w:w="170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41F060" w14:textId="3E6BC2D7"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PAP site</w:t>
            </w:r>
          </w:p>
        </w:tc>
        <w:tc>
          <w:tcPr>
            <w:tcW w:w="221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15AF788E" w14:textId="503543C2"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{"citationID":"V0GV74mD","properties":{"formattedCitation":"(Binetti et al. 2020)","plainCitation":"(Binetti et al. 2020)","dontUpdate":true,"noteIndex":0},"citationItems":[{"id":2188,"uris":["http://zotero.org/users/7846282/items/LJW52PXF"],"itemData":{"id":2188,"type":"article-journal","abstract":"As part of the OSMOSIS project, a fleet of gliders surveyed the Porcupine Abyssal Plain site (Northeast Atlantic) from September 2012 to September 2013. Salinity, temperature, dissolved oxygen concentration and chlorophyll fluorescence were measured in the top 1000 m of the water column. Net community production (N) over an annual cycle using an oxygen-budget approach was compared to variations of several parameters (wind speed, mixing layer depth relative to euphotic depth, temperature, density, net heat flux) showing that the main theories (Critical Depth Hypothesis, Critical Turbulence Hypothesis, Heat-flux Hypothesis) can explain the switch between net heterotrophy to net autotrophy in different times of the year, The dynamics leading to an increase in productivity were related to shifts in regimes, such as the possible differences in nutrient concentration. The oxygen concentration profiles used for this study constitute a unique dataset spanning the entire productive season resulting in a data series longer than in previous studies. Net autotrophy was found at the site with a net production of (6.4 ± 1.9)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in oxygen equivalents (or (4.3 ± 1.3)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in carbon equivalents). The period exhibiting a deep chlorophyll maximum between 10 m and 40 m of depth contributed (1.5 ± 0.5)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2 in oxygen equivalent to the total N. These results are greater than most previously published estimates.","container-title":"Progress in Oceanography","DOI":"10.1016/j.pocean.2020.102293","ISSN":"0079-6611","journalAbbreviation":"Progress in Oceanography","language":"en","page":"102293","source":"ScienceDirect","title":"Net community oxygen production derived from Seaglider deployments at the Porcupine Abyssal Plain site (PAP; northeast Atlantic) in 2012–13","volume":"183","author":[{"family":"Binetti","given":"U."},{"family":"Kaiser","given":"J."},{"family":"Damerell","given":"G. M."},{"family":"Rumyantseva","given":"A."},{"family":"Martin","given":"A. P."},{"family":"Henson","given":"S."},{"family":"Heywood","given":"K. J."}],"issued":{"date-parts":[["2020",4,1]]}}}],"schema":"https://github.com/citation-style-language/schema/raw/master/csl-citation.json"}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Binetti et al. (2020)</w:t>
            </w:r>
            <w:r>
              <w:rPr>
                <w:rFonts w:ascii="Times New Roman" w:eastAsia="Yu Gothic" w:hAnsi="Times New Roman" w:cs="Times New Roman"/>
                <w:color w:val="000000"/>
                <w:sz w:val="20"/>
                <w:szCs w:val="20"/>
              </w:rPr>
              <w:fldChar w:fldCharType="end"/>
            </w:r>
          </w:p>
        </w:tc>
      </w:tr>
      <w:tr w:rsidR="00E82161" w:rsidRPr="00005F1A" w14:paraId="1E7A6912"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tcPr>
          <w:p w14:paraId="38CF057C" w14:textId="23BCF922"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26.1, 26.1</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123192" w14:textId="23AE552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2.00, 1.90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04B1D6" w14:textId="7204D3A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1274C10" w14:textId="3E380FB2"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9DDC2D" w14:textId="07BF06B2"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148670" w14:textId="467084C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876333A" w14:textId="65A27CEA"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9982F49" w14:textId="222217C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5ACD9F" w14:textId="60D4F8F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9759</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tcPr>
          <w:p w14:paraId="7C8F3F40" w14:textId="655FACF6" w:rsidR="00E82161" w:rsidRPr="002E5BC7" w:rsidRDefault="00E82161" w:rsidP="00E82161">
            <w:pPr>
              <w:jc w:val="center"/>
              <w:rPr>
                <w:rFonts w:ascii="Times New Roman" w:eastAsia="Yu Gothic" w:hAnsi="Times New Roman" w:cs="Times New Roman"/>
                <w:color w:val="000000"/>
                <w:sz w:val="20"/>
                <w:szCs w:val="20"/>
              </w:rPr>
            </w:pPr>
            <w:r w:rsidRPr="002E5BC7">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{"citationID":"A3HzwaT5","properties":{"formattedCitation":"(Emerson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2E5BC7">
              <w:rPr>
                <w:rFonts w:ascii="Times New Roman" w:eastAsia="Yu Gothic" w:hAnsi="Times New Roman" w:cs="Times New Roman"/>
                <w:color w:val="000000"/>
                <w:sz w:val="20"/>
                <w:szCs w:val="20"/>
              </w:rPr>
              <w:fldChar w:fldCharType="separate"/>
            </w:r>
            <w:r w:rsidRPr="002E5BC7">
              <w:rPr>
                <w:rFonts w:ascii="Times New Roman" w:eastAsia="Yu Gothic" w:hAnsi="Times New Roman" w:cs="Times New Roman"/>
                <w:noProof/>
                <w:color w:val="000000"/>
                <w:sz w:val="20"/>
                <w:szCs w:val="20"/>
              </w:rPr>
              <w:t>Emerson and Yang (2022)</w:t>
            </w:r>
            <w:r w:rsidRPr="002E5BC7">
              <w:rPr>
                <w:rFonts w:ascii="Times New Roman" w:eastAsia="Yu Gothic" w:hAnsi="Times New Roman" w:cs="Times New Roman"/>
                <w:color w:val="000000"/>
                <w:sz w:val="20"/>
                <w:szCs w:val="20"/>
              </w:rPr>
              <w:fldChar w:fldCharType="end"/>
            </w:r>
          </w:p>
        </w:tc>
      </w:tr>
      <w:tr w:rsidR="00E82161" w:rsidRPr="00005F1A" w14:paraId="4FA8ADF2"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5BE3D1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3AED9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BA210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91316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220B6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E1D0C7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752AF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FD5256" w14:textId="10F657F4"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4CB7F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9726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7F392E0D" w14:textId="571EE855" w:rsidR="00E82161" w:rsidRPr="00FD2BBD" w:rsidRDefault="00E82161" w:rsidP="00E82161">
            <w:pPr>
              <w:jc w:val="center"/>
              <w:rPr>
                <w:rFonts w:ascii="Times New Roman" w:eastAsia="Yu Gothic" w:hAnsi="Times New Roman" w:cs="Times New Roman"/>
                <w:color w:val="000000"/>
                <w:sz w:val="20"/>
                <w:szCs w:val="20"/>
              </w:rPr>
            </w:pPr>
            <w:r w:rsidRPr="002E5BC7">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{"citationID":"zYQZQMDs","properties":{"formattedCitation":"(Emerson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2E5BC7">
              <w:rPr>
                <w:rFonts w:ascii="Times New Roman" w:eastAsia="Yu Gothic" w:hAnsi="Times New Roman" w:cs="Times New Roman"/>
                <w:color w:val="000000"/>
                <w:sz w:val="20"/>
                <w:szCs w:val="20"/>
              </w:rPr>
              <w:fldChar w:fldCharType="separate"/>
            </w:r>
            <w:r w:rsidRPr="002E5BC7">
              <w:rPr>
                <w:rFonts w:ascii="Times New Roman" w:eastAsia="Yu Gothic" w:hAnsi="Times New Roman" w:cs="Times New Roman"/>
                <w:noProof/>
                <w:color w:val="000000"/>
                <w:sz w:val="20"/>
                <w:szCs w:val="20"/>
              </w:rPr>
              <w:t>Emerson and Yang (2022)</w:t>
            </w:r>
            <w:r w:rsidRPr="002E5BC7">
              <w:rPr>
                <w:rFonts w:ascii="Times New Roman" w:eastAsia="Yu Gothic" w:hAnsi="Times New Roman" w:cs="Times New Roman"/>
                <w:color w:val="000000"/>
                <w:sz w:val="20"/>
                <w:szCs w:val="20"/>
              </w:rPr>
              <w:fldChar w:fldCharType="end"/>
            </w:r>
          </w:p>
        </w:tc>
      </w:tr>
      <w:tr w:rsidR="00E82161" w:rsidRPr="00005F1A" w14:paraId="53D1257F"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C38DEA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24.6, 24.6</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C1ADD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1.40, 2.10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35F0F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96AC70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61CBA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CDBDE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FAF54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A14F2A" w14:textId="5598E36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2020</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66AD9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9754</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7C1F3214" w14:textId="7E66B173" w:rsidR="00E82161" w:rsidRPr="00FD2BBD" w:rsidRDefault="00E82161" w:rsidP="00E82161">
            <w:pPr>
              <w:jc w:val="center"/>
              <w:rPr>
                <w:rFonts w:ascii="Times New Roman" w:eastAsia="Yu Gothic" w:hAnsi="Times New Roman" w:cs="Times New Roman"/>
                <w:color w:val="000000"/>
                <w:sz w:val="20"/>
                <w:szCs w:val="20"/>
              </w:rPr>
            </w:pPr>
            <w:r w:rsidRPr="002E5BC7">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{"citationID":"d7LNUszY","properties":{"formattedCitation":"(Emerson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2E5BC7">
              <w:rPr>
                <w:rFonts w:ascii="Times New Roman" w:eastAsia="Yu Gothic" w:hAnsi="Times New Roman" w:cs="Times New Roman"/>
                <w:color w:val="000000"/>
                <w:sz w:val="20"/>
                <w:szCs w:val="20"/>
              </w:rPr>
              <w:fldChar w:fldCharType="separate"/>
            </w:r>
            <w:r w:rsidRPr="002E5BC7">
              <w:rPr>
                <w:rFonts w:ascii="Times New Roman" w:eastAsia="Yu Gothic" w:hAnsi="Times New Roman" w:cs="Times New Roman"/>
                <w:noProof/>
                <w:color w:val="000000"/>
                <w:sz w:val="20"/>
                <w:szCs w:val="20"/>
              </w:rPr>
              <w:t>Emerson and Yang (2022)</w:t>
            </w:r>
            <w:r w:rsidRPr="002E5BC7">
              <w:rPr>
                <w:rFonts w:ascii="Times New Roman" w:eastAsia="Yu Gothic" w:hAnsi="Times New Roman" w:cs="Times New Roman"/>
                <w:color w:val="000000"/>
                <w:sz w:val="20"/>
                <w:szCs w:val="20"/>
              </w:rPr>
              <w:fldChar w:fldCharType="end"/>
            </w:r>
          </w:p>
        </w:tc>
      </w:tr>
      <w:tr w:rsidR="00E82161" w:rsidRPr="00005F1A" w14:paraId="26C66863"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49FC7E4" w14:textId="02A47533"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14.5,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14.5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C4303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0.50, 0.60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79DB1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D79F0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FDD84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5EF48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D6FB7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79CEB6" w14:textId="7A30E2BE"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FBE4B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12691</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7582676B" w14:textId="116C2623" w:rsidR="00E82161" w:rsidRPr="00FD2BBD" w:rsidRDefault="00E82161" w:rsidP="00E82161">
            <w:pPr>
              <w:jc w:val="center"/>
              <w:rPr>
                <w:rFonts w:ascii="Times New Roman" w:eastAsia="Yu Gothic" w:hAnsi="Times New Roman" w:cs="Times New Roman"/>
                <w:color w:val="000000"/>
                <w:sz w:val="20"/>
                <w:szCs w:val="20"/>
              </w:rPr>
            </w:pPr>
            <w:r w:rsidRPr="002E5BC7">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{"citationID":"zxgbNAOW","properties":{"formattedCitation":"(Emerson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2E5BC7">
              <w:rPr>
                <w:rFonts w:ascii="Times New Roman" w:eastAsia="Yu Gothic" w:hAnsi="Times New Roman" w:cs="Times New Roman"/>
                <w:color w:val="000000"/>
                <w:sz w:val="20"/>
                <w:szCs w:val="20"/>
              </w:rPr>
              <w:fldChar w:fldCharType="separate"/>
            </w:r>
            <w:r w:rsidRPr="002E5BC7">
              <w:rPr>
                <w:rFonts w:ascii="Times New Roman" w:eastAsia="Yu Gothic" w:hAnsi="Times New Roman" w:cs="Times New Roman"/>
                <w:noProof/>
                <w:color w:val="000000"/>
                <w:sz w:val="20"/>
                <w:szCs w:val="20"/>
              </w:rPr>
              <w:t>Emerson and Yang (2022)</w:t>
            </w:r>
            <w:r w:rsidRPr="002E5BC7">
              <w:rPr>
                <w:rFonts w:ascii="Times New Roman" w:eastAsia="Yu Gothic" w:hAnsi="Times New Roman" w:cs="Times New Roman"/>
                <w:color w:val="000000"/>
                <w:sz w:val="20"/>
                <w:szCs w:val="20"/>
              </w:rPr>
              <w:fldChar w:fldCharType="end"/>
            </w:r>
          </w:p>
        </w:tc>
      </w:tr>
      <w:tr w:rsidR="00E82161" w:rsidRPr="00005F1A" w14:paraId="72EB3D63"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19F0FB9" w14:textId="42E58860"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20.3,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20.3</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2AE23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1.10, 1.30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35C9D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8D709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23F8F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13CFF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B1EDAB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B9E5C9" w14:textId="7AAD936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2019</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2021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B1568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12632</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0D50E198" w14:textId="1623241B" w:rsidR="00E82161" w:rsidRPr="00FD2BBD" w:rsidRDefault="00E82161" w:rsidP="00E82161">
            <w:pPr>
              <w:jc w:val="center"/>
              <w:rPr>
                <w:rFonts w:ascii="Times New Roman" w:eastAsia="Yu Gothic" w:hAnsi="Times New Roman" w:cs="Times New Roman"/>
                <w:color w:val="000000"/>
                <w:sz w:val="20"/>
                <w:szCs w:val="20"/>
              </w:rPr>
            </w:pPr>
            <w:r w:rsidRPr="002E5BC7">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{"citationID":"Toca2pnf","properties":{"formattedCitation":"(Emerson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2E5BC7">
              <w:rPr>
                <w:rFonts w:ascii="Times New Roman" w:eastAsia="Yu Gothic" w:hAnsi="Times New Roman" w:cs="Times New Roman"/>
                <w:color w:val="000000"/>
                <w:sz w:val="20"/>
                <w:szCs w:val="20"/>
              </w:rPr>
              <w:fldChar w:fldCharType="separate"/>
            </w:r>
            <w:r w:rsidRPr="002E5BC7">
              <w:rPr>
                <w:rFonts w:ascii="Times New Roman" w:eastAsia="Yu Gothic" w:hAnsi="Times New Roman" w:cs="Times New Roman"/>
                <w:noProof/>
                <w:color w:val="000000"/>
                <w:sz w:val="20"/>
                <w:szCs w:val="20"/>
              </w:rPr>
              <w:t>Emerson and Yang (2022)</w:t>
            </w:r>
            <w:r w:rsidRPr="002E5BC7">
              <w:rPr>
                <w:rFonts w:ascii="Times New Roman" w:eastAsia="Yu Gothic" w:hAnsi="Times New Roman" w:cs="Times New Roman"/>
                <w:color w:val="000000"/>
                <w:sz w:val="20"/>
                <w:szCs w:val="20"/>
              </w:rPr>
              <w:fldChar w:fldCharType="end"/>
            </w:r>
          </w:p>
        </w:tc>
      </w:tr>
      <w:tr w:rsidR="00E82161" w:rsidRPr="00005F1A" w14:paraId="118ADB88" w14:textId="77777777" w:rsidTr="00C6505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D572152" w14:textId="6FFCD006"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30.8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A631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C5551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5D19B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AF245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113032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16D340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70EAB8" w14:textId="50C56EE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2018</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E990C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12785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hideMark/>
          </w:tcPr>
          <w:p w14:paraId="1663E668" w14:textId="05EDDEA0" w:rsidR="00E82161" w:rsidRPr="00FD2BBD" w:rsidRDefault="00E82161" w:rsidP="00E82161">
            <w:pPr>
              <w:jc w:val="center"/>
              <w:rPr>
                <w:rFonts w:ascii="Times New Roman" w:eastAsia="Yu Gothic" w:hAnsi="Times New Roman" w:cs="Times New Roman"/>
                <w:color w:val="000000"/>
                <w:sz w:val="20"/>
                <w:szCs w:val="20"/>
              </w:rPr>
            </w:pPr>
            <w:r w:rsidRPr="002E5BC7">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{"citationID":"6zNt7bQF","properties":{"formattedCitation":"(Emerson and Yang 2022)","plainCitation":"(Emerson and Yang 2022)","dontUpdate":true,"noteIndex":0},"citationItems":[{"id":1874,"uris":["http://zotero.org/users/7846282/items/48BI2F2J"],"itemData":{"id":1874,"type":"article-journal","abstract":"The magnitude and distribution of the ocean's biological pump (the downward flux of organic carbon (OC) from the ocean surface) influences the pCO2 of the atmosphere and the O2 content of the deep sea, but has not been well quantified. We determine this flux in the ocean's five subtropical gyres using upper-ocean oxygen mass balance and measurements of T, S, and pO2 by autonomous profiling floats. Our results suggest that the biological OC pump is not globally uniform among the subtropical gyres: values in the North Pacific and Atlantic indicate distinct autotrophy (1–2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while near zero values in the S. Indian Ocean suggest the possibility of net heterotrophy. There is a correlation between the surface water iron/nitrate ratio and the magnitude of the biological pump suggesting an important role for nitrogen fixation in controlling the global distribution.","container-title":"Geophysical Research Letters","DOI":"10.1029/2022GL099834","ISSN":"1944-8007","issue":"21","language":"en","note":"_eprint: https://onlinelibrary.wiley.com/doi/pdf/10.1029/2022GL099834","page":"e2022GL099834","source":"Wiley Online Library","title":"The Ocean's Biological Pump: In Situ Oxygen Measurements in the Subtropical Oceans","title-short":"The Ocean's Biological Pump","volume":"49","author":[{"family":"Emerson","given":"Steven"},{"family":"Yang","given":"Bo"}],"issued":{"date-parts":[["2022"]]}}}],"schema":"https://github.com/citation-style-language/schema/raw/master/csl-citation.json"} </w:instrText>
            </w:r>
            <w:r w:rsidRPr="002E5BC7">
              <w:rPr>
                <w:rFonts w:ascii="Times New Roman" w:eastAsia="Yu Gothic" w:hAnsi="Times New Roman" w:cs="Times New Roman"/>
                <w:color w:val="000000"/>
                <w:sz w:val="20"/>
                <w:szCs w:val="20"/>
              </w:rPr>
              <w:fldChar w:fldCharType="separate"/>
            </w:r>
            <w:r w:rsidRPr="002E5BC7">
              <w:rPr>
                <w:rFonts w:ascii="Times New Roman" w:eastAsia="Yu Gothic" w:hAnsi="Times New Roman" w:cs="Times New Roman"/>
                <w:noProof/>
                <w:color w:val="000000"/>
                <w:sz w:val="20"/>
                <w:szCs w:val="20"/>
              </w:rPr>
              <w:t>Emerson and Yang (2022)</w:t>
            </w:r>
            <w:r w:rsidRPr="002E5BC7">
              <w:rPr>
                <w:rFonts w:ascii="Times New Roman" w:eastAsia="Yu Gothic" w:hAnsi="Times New Roman" w:cs="Times New Roman"/>
                <w:color w:val="000000"/>
                <w:sz w:val="20"/>
                <w:szCs w:val="20"/>
              </w:rPr>
              <w:fldChar w:fldCharType="end"/>
            </w:r>
          </w:p>
        </w:tc>
      </w:tr>
      <w:tr w:rsidR="00E82161" w:rsidRPr="00005F1A" w14:paraId="03794424"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EAEDD7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572DB7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3.80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598D9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9A9AC6"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630768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3ECB7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0F77B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C70236F" w14:textId="413BEC4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1991</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1994</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0C3A8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12D5742" w14:textId="402BB39A"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{"citationID":"NtjoplG1","properties":{"formattedCitation":"(Gruber et al. 1998)","plainCitation":"(Gruber et al. 1998)","dontUpdate":true,"noteIndex":0},"citationItems":[{"id":2451,"uris":["http://zotero.org/users/7846282/items/6KYXE3HQ"],"itemData":{"id":2451,"type":"article-journal","abstract":"The seasonal budget of dissolved inorganic carbon (C) in the mixed layer at the U.S. JGOFS Bermuda Atlantic Time-series Study (BATS) site is assessed on the basis of a 4-yr time series (1991–1994) of high-precision C, alkalinity and the 13C/12C ratio of C. Compared to previous studies, our budget is constrained by observed changes in 13C/12C, which permit calculation of the net community production. We are thus able to quantitatively separate all processes that contribute to the observed seasonal cycle in the mixed layer. Uncertainties in the C budget are determined using a Monte Carlo method. We found that net community production is mainly responsible in generating the observed C drawdown of about 26μmolkg-1 between April and October by removing on the average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40±4μmolkg-1 from the mixed layer. This net community production occurs in the absence of measurable nitrate and phosphate concentrations. We hypothezise that N2 fixation in combination with vertical migration may be large enough to meet the biological nutrient demand in the mixed layer during this summer/fall period. Physical processes do not explain the observed summer/fall drawdown except when very improbably large horizontal advective velocities are assumed. Annual net community production of 2.3±0.9molm-2 is not well constrained by 13C/12C, but if tentatively extrapolated to the whole euphotic layer, it is well within the range of estimates based on a wide variety of methods. The region around BATS is computed to be a moderate sink for atmospheric CO2 with an annual uptake of 1.8±0.5molm-2, with about 25% of this influx associated with the uptake of anthropogenic CO2.","container-title":"Deep Sea Research Part I: Oceanographic Research Papers","DOI":"10.1016/S0967-0637(97)00098-8","ISSN":"0967-0637","issue":"4","journalAbbreviation":"Deep Sea Research Part I: Oceanographic Research Papers","language":"en","page":"673-717","source":"ScienceDirect","title":"Carbon-13 constraints on the seasonal inorganic carbon budget at the BATS site in the northwestern Sargasso Sea","volume":"45","author":[{"family":"Gruber","given":"Nicolas"},{"family":"Keeling","given":"Charles D"},{"family":"Stocker","given":"Thomas F"}],"issued":{"date-parts":[["1998",4,1]]}}}],"schema":"https://github.com/citation-style-language/schema/raw/master/csl-citation.json"}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Gruber et al. (1998)</w:t>
            </w:r>
            <w:r>
              <w:rPr>
                <w:rFonts w:ascii="Times New Roman" w:eastAsia="Yu Gothic" w:hAnsi="Times New Roman" w:cs="Times New Roman"/>
                <w:color w:val="000000"/>
                <w:sz w:val="20"/>
                <w:szCs w:val="20"/>
              </w:rPr>
              <w:fldChar w:fldCharType="end"/>
            </w:r>
          </w:p>
        </w:tc>
      </w:tr>
      <w:tr w:rsidR="00E82161" w:rsidRPr="00005F1A" w14:paraId="5E7B94B7"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BB26C2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EBC7B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59B67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0.80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BA885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0C5A0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E686C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CD37A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DD5784" w14:textId="32E45CA0"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1983</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87325D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48070FE" w14:textId="058DE61E"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{"citationID":"XosoCHTd","properties":{"formattedCitation":"(Gruber et al. 2002)","plainCitation":"(Gruber et al. 2002)","dontUpdate":true,"noteIndex":0},"citationItems":[{"id":2201,"uris":["http://zotero.org/users/7846282/items/7HGFRVHS"],"itemData":{"id":2201,"type":"article-journal","abstract":"The North Atlantic is believed to represent the largest ocean sink for atmospheric carbon dioxide in the Northern Hemisphere, yet little is known about its temporal variability. We report an 18-year time series of upper-ocean inorganic carbon observations from the northwestern subtropical North Atlantic near Bermuda that indicates substantial variability in this sink. We deduce that the carbon variability at this site is largely driven by variations in winter mixed-layer depths and by sea surface temperature anomalies. Because these variations tend to occur in a basinwide coordinated pattern associated with the North Atlantic Oscillation, it is plausible that the entire North Atlantic Ocean may vary in concert, resulting in a variability of the strength of the North Atlantic carbon sink of about ±0.3 petagrams of carbon per year (1 petagram = 1015grams) or nearly ±50%. This extrapolation is supported by basin-wide estimates from atmospheric carbon dioxide inversions.","container-title":"Science","DOI":"10.1126/science.1077077","issue":"5602","note":"publisher: American Association for the Advancement of Science","page":"2374-2378","source":"science.org (Atypon)","title":"Interannual Variability in the North Atlantic Ocean Carbon Sink","volume":"298","author":[{"family":"Gruber","given":"Nicolas"},{"family":"Keeling","given":"Charles D."},{"family":"Bates","given":"Nicholas R."}],"issued":{"date-parts":[["2002",12,20]]}}}],"schema":"https://github.com/citation-style-language/schema/raw/master/csl-citation.json"}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Gruber et al. (2002)</w:t>
            </w:r>
            <w:r>
              <w:rPr>
                <w:rFonts w:ascii="Times New Roman" w:eastAsia="Yu Gothic" w:hAnsi="Times New Roman" w:cs="Times New Roman"/>
                <w:color w:val="000000"/>
                <w:sz w:val="20"/>
                <w:szCs w:val="20"/>
              </w:rPr>
              <w:fldChar w:fldCharType="end"/>
            </w:r>
          </w:p>
        </w:tc>
      </w:tr>
      <w:tr w:rsidR="00E82161" w:rsidRPr="00005F1A" w14:paraId="3485555F"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E7D2E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36E579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3.90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2238C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2.30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EA1C96" w14:textId="6F6DF05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(70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5799F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BA225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Subsurface change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C3873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274A9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65FF4A" w14:textId="77777777" w:rsidR="00E82161" w:rsidRPr="00FD2BBD" w:rsidRDefault="00E82161" w:rsidP="00E82161">
            <w:pPr>
              <w:jc w:val="center"/>
              <w:rPr>
                <w:rFonts w:ascii="Times New Roman" w:eastAsia="Yu Gothic" w:hAnsi="Times New Roman" w:cs="Times New Roman"/>
                <w:color w:val="000000"/>
                <w:sz w:val="20"/>
                <w:szCs w:val="20"/>
              </w:rPr>
            </w:pPr>
            <w:proofErr w:type="gramStart"/>
            <w:r w:rsidRPr="00FD2BBD">
              <w:rPr>
                <w:rFonts w:ascii="Times New Roman" w:eastAsia="Yu Gothic" w:hAnsi="Times New Roman" w:cs="Times New Roman"/>
                <w:color w:val="000000"/>
                <w:sz w:val="20"/>
                <w:szCs w:val="20"/>
              </w:rPr>
              <w:t>Sargasso sea</w:t>
            </w:r>
            <w:proofErr w:type="gramEnd"/>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1FF91B3" w14:textId="249DFBB7" w:rsidR="00E82161" w:rsidRPr="00FD2BBD" w:rsidRDefault="00E82161" w:rsidP="00E82161">
            <w:pPr>
              <w:jc w:val="center"/>
              <w:rPr>
                <w:rFonts w:ascii="Times New Roman" w:eastAsia="Yu Gothic" w:hAnsi="Times New Roman" w:cs="Times New Roman"/>
                <w:color w:val="000000"/>
                <w:sz w:val="20"/>
                <w:szCs w:val="20"/>
              </w:rPr>
            </w:pPr>
            <w:r w:rsidRPr="005F09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{"citationID":"yGgmKATK","properties":{"formattedCitation":"(Hennon et al. 2016)","plainCitation":"(Hennon et al. 2016)","dontUpdate":true,"noteIndex":0},"citationItems":[{"id":2403,"uris":["http://zotero.org/users/7846282/items/N2GEJHMY"],"itemData":{"id":2403,"type":"article-journal","abstract":"We employ profiling floats with dissolved oxygen sensors to observe in situ temporal oxygen evolution below the mixed layer, allowing us to characterize net respiration of organic carbon in eight distinct regions over the globe. Export and export efficiency are generally high in locations with strong seasonal variability and low in locations of weak seasonality. Vertically integrated respiration is weakly, yet significantly, correlated with remote observations of chlorophyll, net primary production, and planktonic community size structure. These correlations suggest that regimes of high net primary production and large phytoplankton fuel elevated respiration at depth. Several regions of float-based observations intersect with sites of other detailed observations (e.g., Hawaii and Sargasso Sea), which allows us to compare our results to independent studies. We find that there is good agreement among export production estimates at highly seasonal locations, and that float-based observations may be biased low at weakly seasonal locations. We posit that the reason for the low-latitude discrepancy is the relative steady state of oxygen concentration caused by weak seasonality and shallow wintertime mixed layer depths.","container-title":"Global Biogeochemical Cycles","DOI":"10.1002/2016GB005380","ISSN":"1944-9224","issue":"6","language":"en","license":"©2016. American Geophysical Union. All Rights Reserved.","note":"_eprint: https://onlinelibrary.wiley.com/doi/pdf/10.1002/2016GB005380","page":"920-932","source":"Wiley Online Library","title":"Profiling float-based observations of net respiration beneath the mixed layer","volume":"30","author":[{"family":"Hennon","given":"Tyler D."},{"family":"Riser","given":"Stephen C."},{"family":"Mecking","given":"Sabine"}],"issued":{"date-parts":[["2016"]]}}}],"schema":"https://github.com/citation-style-language/schema/raw/master/csl-citation.json"} </w:instrText>
            </w:r>
            <w:r w:rsidRPr="005F09C2">
              <w:rPr>
                <w:rFonts w:ascii="Times New Roman" w:eastAsia="Yu Gothic" w:hAnsi="Times New Roman" w:cs="Times New Roman"/>
                <w:color w:val="000000"/>
                <w:sz w:val="20"/>
                <w:szCs w:val="20"/>
              </w:rPr>
              <w:fldChar w:fldCharType="separate"/>
            </w:r>
            <w:r w:rsidRPr="005F09C2">
              <w:rPr>
                <w:rFonts w:ascii="Times New Roman" w:eastAsia="Yu Gothic" w:hAnsi="Times New Roman" w:cs="Times New Roman"/>
                <w:noProof/>
                <w:color w:val="000000"/>
                <w:sz w:val="20"/>
                <w:szCs w:val="20"/>
              </w:rPr>
              <w:t xml:space="preserve">Hennon et al. </w:t>
            </w:r>
            <w:r>
              <w:rPr>
                <w:rFonts w:ascii="Times New Roman" w:eastAsia="Yu Gothic" w:hAnsi="Times New Roman" w:cs="Times New Roman"/>
                <w:noProof/>
                <w:color w:val="000000"/>
                <w:sz w:val="20"/>
                <w:szCs w:val="20"/>
              </w:rPr>
              <w:t>(</w:t>
            </w:r>
            <w:r w:rsidRPr="005F09C2">
              <w:rPr>
                <w:rFonts w:ascii="Times New Roman" w:eastAsia="Yu Gothic" w:hAnsi="Times New Roman" w:cs="Times New Roman"/>
                <w:noProof/>
                <w:color w:val="000000"/>
                <w:sz w:val="20"/>
                <w:szCs w:val="20"/>
              </w:rPr>
              <w:t>2016)</w:t>
            </w:r>
            <w:r w:rsidRPr="005F09C2">
              <w:rPr>
                <w:rFonts w:ascii="Times New Roman" w:eastAsia="Yu Gothic" w:hAnsi="Times New Roman" w:cs="Times New Roman"/>
                <w:color w:val="000000"/>
                <w:sz w:val="20"/>
                <w:szCs w:val="20"/>
              </w:rPr>
              <w:fldChar w:fldCharType="end"/>
            </w:r>
          </w:p>
        </w:tc>
      </w:tr>
      <w:tr w:rsidR="00E82161" w:rsidRPr="00005F1A" w14:paraId="716712BF"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00230BE" w14:textId="7DC23120"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45.0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14A0D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6B64A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2.90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401EB08" w14:textId="0649F3E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(70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A275D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905E9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Subsurface change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C8A001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31D9B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79B17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Drake Passage</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B994132" w14:textId="5E94EAA3" w:rsidR="00E82161" w:rsidRPr="00FD2BBD" w:rsidRDefault="00E82161" w:rsidP="00E82161">
            <w:pPr>
              <w:jc w:val="center"/>
              <w:rPr>
                <w:rFonts w:ascii="Times New Roman" w:eastAsia="Yu Gothic" w:hAnsi="Times New Roman" w:cs="Times New Roman"/>
                <w:color w:val="000000"/>
                <w:sz w:val="20"/>
                <w:szCs w:val="20"/>
              </w:rPr>
            </w:pPr>
            <w:r w:rsidRPr="005F09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{"citationID":"lleVgpe9","properties":{"formattedCitation":"(Hennon et al. 2016)","plainCitation":"(Hennon et al. 2016)","dontUpdate":true,"noteIndex":0},"citationItems":[{"id":2403,"uris":["http://zotero.org/users/7846282/items/N2GEJHMY"],"itemData":{"id":2403,"type":"article-journal","abstract":"We employ profiling floats with dissolved oxygen sensors to observe in situ temporal oxygen evolution below the mixed layer, allowing us to characterize net respiration of organic carbon in eight distinct regions over the globe. Export and export efficiency are generally high in locations with strong seasonal variability and low in locations of weak seasonality. Vertically integrated respiration is weakly, yet significantly, correlated with remote observations of chlorophyll, net primary production, and planktonic community size structure. These correlations suggest that regimes of high net primary production and large phytoplankton fuel elevated respiration at depth. Several regions of float-based observations intersect with sites of other detailed observations (e.g., Hawaii and Sargasso Sea), which allows us to compare our results to independent studies. We find that there is good agreement among export production estimates at highly seasonal locations, and that float-based observations may be biased low at weakly seasonal locations. We posit that the reason for the low-latitude discrepancy is the relative steady state of oxygen concentration caused by weak seasonality and shallow wintertime mixed layer depths.","container-title":"Global Biogeochemical Cycles","DOI":"10.1002/2016GB005380","ISSN":"1944-9224","issue":"6","language":"en","license":"©2016. American Geophysical Union. All Rights Reserved.","note":"_eprint: https://onlinelibrary.wiley.com/doi/pdf/10.1002/2016GB005380","page":"920-932","source":"Wiley Online Library","title":"Profiling float-based observations of net respiration beneath the mixed layer","volume":"30","author":[{"family":"Hennon","given":"Tyler D."},{"family":"Riser","given":"Stephen C."},{"family":"Mecking","given":"Sabine"}],"issued":{"date-parts":[["2016"]]}}}],"schema":"https://github.com/citation-style-language/schema/raw/master/csl-citation.json"} </w:instrText>
            </w:r>
            <w:r w:rsidRPr="005F09C2">
              <w:rPr>
                <w:rFonts w:ascii="Times New Roman" w:eastAsia="Yu Gothic" w:hAnsi="Times New Roman" w:cs="Times New Roman"/>
                <w:color w:val="000000"/>
                <w:sz w:val="20"/>
                <w:szCs w:val="20"/>
              </w:rPr>
              <w:fldChar w:fldCharType="separate"/>
            </w:r>
            <w:r w:rsidRPr="005F09C2">
              <w:rPr>
                <w:rFonts w:ascii="Times New Roman" w:eastAsia="Yu Gothic" w:hAnsi="Times New Roman" w:cs="Times New Roman"/>
                <w:noProof/>
                <w:color w:val="000000"/>
                <w:sz w:val="20"/>
                <w:szCs w:val="20"/>
              </w:rPr>
              <w:t xml:space="preserve">Hennon et al. </w:t>
            </w:r>
            <w:r>
              <w:rPr>
                <w:rFonts w:ascii="Times New Roman" w:eastAsia="Yu Gothic" w:hAnsi="Times New Roman" w:cs="Times New Roman"/>
                <w:noProof/>
                <w:color w:val="000000"/>
                <w:sz w:val="20"/>
                <w:szCs w:val="20"/>
              </w:rPr>
              <w:t>(</w:t>
            </w:r>
            <w:r w:rsidRPr="005F09C2">
              <w:rPr>
                <w:rFonts w:ascii="Times New Roman" w:eastAsia="Yu Gothic" w:hAnsi="Times New Roman" w:cs="Times New Roman"/>
                <w:noProof/>
                <w:color w:val="000000"/>
                <w:sz w:val="20"/>
                <w:szCs w:val="20"/>
              </w:rPr>
              <w:t>2016)</w:t>
            </w:r>
            <w:r w:rsidRPr="005F09C2">
              <w:rPr>
                <w:rFonts w:ascii="Times New Roman" w:eastAsia="Yu Gothic" w:hAnsi="Times New Roman" w:cs="Times New Roman"/>
                <w:color w:val="000000"/>
                <w:sz w:val="20"/>
                <w:szCs w:val="20"/>
              </w:rPr>
              <w:fldChar w:fldCharType="end"/>
            </w:r>
          </w:p>
        </w:tc>
      </w:tr>
      <w:tr w:rsidR="00E82161" w:rsidRPr="00005F1A" w14:paraId="00706FB0"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67DDE5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C70CF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5.57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04A22E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1.72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2994FE"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459A0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r w:rsidRPr="00FD2BB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vertAlign w:val="superscript"/>
              </w:rPr>
              <w:t>3</w:t>
            </w:r>
            <w:r w:rsidRPr="00FD2BBD">
              <w:rPr>
                <w:rFonts w:ascii="Times New Roman" w:eastAsia="Yu Gothic" w:hAnsi="Times New Roman" w:cs="Times New Roman"/>
                <w:color w:val="000000"/>
                <w:sz w:val="20"/>
                <w:szCs w:val="20"/>
              </w:rPr>
              <w:t>He</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63302D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New production</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01CFF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9353D4" w14:textId="1DE39203"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1986</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1987</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03A87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06366EE" w14:textId="1CA8F9CA"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{"citationID":"z2PyMrLN","properties":{"formattedCitation":"(Jenkins and Doney 2003)","plainCitation":"(Jenkins and Doney 2003)","dontUpdate":true,"noteIndex":0},"citationItems":[{"id":2457,"uris":["http://zotero.org/users/7846282/items/2V4MF6FN"],"itemData":{"id":2457,"type":"article-journal","abstract":"We present an extended series of observations and more comprehensive analysis of a tracer-based measure of new production in the Sargasso Sea near Bermuda using the 3He flux gauge technique. The estimated annually averaged nitrate flux of 0.84 ± 0.26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constitutes only that nitrate physically transported to the euphotic zone, not nitrogen from biological sources (e.g., nitrogen fixation or zooplankton migration). We show that the flux estimate is quantitatively consistent with other observations, including decade timescale evolution of the 3H + 3He inventory in the main thermocline and export production estimates. However, we argue that the flux cannot be supplied in the long term by local diapycnal or isopycnal processes. These considerations lead us to propose a three-dimensional pathway whereby nutrients remineralized within the main thermocline are returned to the seasonally accessible layers within the subtropical gyre. We describe this mechanism, which we call “the nutrient spiral,” as a sequence of steps where (1) nutrient-rich thermocline waters are entrained into the Gulf Stream, (2) enhanced diapycnal mixing moves nutrients upward onto lighter densities, (3) detrainment and enhanced isopycnal mixing injects these waters into the seasonally accessible layer of the gyre recirculation region, and (4) the nutrients become available to biota via eddy heaving and wintertime convection. The spiral is closed when nutrients are utilized, exported, and then remineralized within the thermocline. We present evidence regarding the characteristics of the spiral and discuss some implications of its operation within the biogeochemical cycle of the subtropical ocean.","container-title":"Global Biogeochemical Cycles","DOI":"10.1029/2003GB002085","ISSN":"1944-9224","issue":"4","language":"en","license":"Copyright 2003 by the American Geophysical Union.","note":"_eprint: https://onlinelibrary.wiley.com/doi/pdf/10.1029/2003GB002085","source":"Wiley Online Library","title":"The subtropical nutrient spiral","URL":"https://onlinelibrary.wiley.com/doi/abs/10.1029/2003GB002085","volume":"17","author":[{"family":"Jenkins","given":"William J."},{"family":"Doney","given":"Scott C."}],"accessed":{"date-parts":[["2023",7,26]]},"issued":{"date-parts":[["2003"]]}}}],"schema":"https://github.com/citation-style-language/schema/raw/master/csl-citation.json"}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Jenkins and Doney (2003)</w:t>
            </w:r>
            <w:r>
              <w:rPr>
                <w:rFonts w:ascii="Times New Roman" w:eastAsia="Yu Gothic" w:hAnsi="Times New Roman" w:cs="Times New Roman"/>
                <w:color w:val="000000"/>
                <w:sz w:val="20"/>
                <w:szCs w:val="20"/>
              </w:rPr>
              <w:fldChar w:fldCharType="end"/>
            </w:r>
          </w:p>
        </w:tc>
      </w:tr>
      <w:tr w:rsidR="00E82161" w:rsidRPr="00005F1A" w14:paraId="3BA0BB81"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F9A393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91EFE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3.44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ACA9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EFDC75"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E954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5B0D0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0FF30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EA33F2" w14:textId="3E653A7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1961</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1978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D7A8C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10738ACE" w14:textId="25127F8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{"citationID":"YYuAPb80","properties":{"formattedCitation":"(Jenkins and Goldman 1985)","plainCitation":"(Jenkins and Goldman 1985)","dontUpdate":true,"noteIndex":0},"citationItems":[{"id":2464,"uris":["http://zotero.org/users/7846282/items/SXMNMGU8"],"itemData":{"id":2464,"type":"article-journal","abstract":"The hydrographic record at Station S in the Sargasso Sea shows the development of a subsurface oxygen maximum within the euphotic zone which must be of photosynthetic origin. Consideration of insolation, heat budgets and available 3He/3H data yields an estimate of the order of 5 M m-2 y-I for the vertically integrated oxygen production rate. Gas exchange calculations reveal a similar oxygen flux leaving the surface, and examination of respiration cycles below the euphotic zone yields consistent results. Such results point to new production of the order of 50 g C m-2 y-l. By using a more realistic mixed layer-thermocline model (Klein and Coste, 1984) it appears that the flux of nutrients into the euphotic zone is sufficient to support such a production. The pulse-like nature of nutrient injection implied by this model raises the possibility of a spatially variable efficiency of recycling which may account for the disparity between the above observations and the level of new production inferred from 14C and 15N incubation techniques.","container-title":"Journal of Marine Research","DOI":"10.1357/002224085788438702","ISSN":"00222402, 15439542","issue":"2","journalAbbreviation":"J Mar Res","language":"en","page":"465-491","source":"DOI.org (Crossref)","title":"Seasonal oxygen cycling and primary production in the Sargasso Sea","volume":"43","author":[{"family":"Jenkins","given":"W. J."},{"family":"Goldman","given":"J. C."}],"issued":{"date-parts":[["1985",5,1]]}}}],"schema":"https://github.com/citation-style-language/schema/raw/master/csl-citation.json"}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Jenkins and Goldman (1985)</w:t>
            </w:r>
            <w:r>
              <w:rPr>
                <w:rFonts w:ascii="Times New Roman" w:eastAsia="Yu Gothic" w:hAnsi="Times New Roman" w:cs="Times New Roman"/>
                <w:color w:val="000000"/>
                <w:sz w:val="20"/>
                <w:szCs w:val="20"/>
              </w:rPr>
              <w:fldChar w:fldCharType="end"/>
            </w:r>
          </w:p>
        </w:tc>
      </w:tr>
      <w:tr w:rsidR="00E82161" w:rsidRPr="00005F1A" w14:paraId="15F2D20F"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3E38E531" w14:textId="4C806B47"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BD54A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564777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0.70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46BA1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5DB2E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PO</w:t>
            </w:r>
            <w:r w:rsidRPr="00FD2BBD">
              <w:rPr>
                <w:rFonts w:ascii="Times New Roman" w:eastAsia="Yu Gothic" w:hAnsi="Times New Roman" w:cs="Times New Roman"/>
                <w:color w:val="000000"/>
                <w:sz w:val="20"/>
                <w:szCs w:val="20"/>
                <w:vertAlign w:val="subscript"/>
              </w:rPr>
              <w:t>4</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A4809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E5D75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828D73" w14:textId="75A0554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2002</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F79701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Drake Passage</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0CEBB44" w14:textId="71C05466" w:rsidR="00E82161" w:rsidRPr="00FD2BBD" w:rsidRDefault="00E82161" w:rsidP="00E82161">
            <w:pPr>
              <w:jc w:val="center"/>
              <w:rPr>
                <w:rFonts w:ascii="Times New Roman" w:eastAsia="Yu Gothic" w:hAnsi="Times New Roman" w:cs="Times New Roman"/>
                <w:color w:val="000000"/>
                <w:sz w:val="20"/>
                <w:szCs w:val="20"/>
              </w:rPr>
            </w:pPr>
            <w:r w:rsidRPr="00D15EF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{"citationID":"vPXiUuWl","properties":{"formattedCitation":"(Munro et al. 2015)","plainCitation":"(Munro et al. 2015)","dontUpdate":true,"noteIndex":0},"citationItems":[{"id":2397,"uris":["http://zotero.org/users/7846282/items/53YFQ979"],"itemData":{"id":2397,"type":"article-journal","abstract":"In remote regions such as the open Southern Ocean, satellite observations often provide the only available tool with which to evaluate large-scale biogeochemical processes. However, these observations need to be carefully evaluated with in situ measurements. With an average of 20 crossings per year from 2002 to 2011, the Drake Passage Time-series (DPT) represents one of the most complete datasets of biogeochemical measurements in the open Southern Ocean. This dataset offers a unique opportunity to validate satellite-based productivity algorithms and to improve understanding of the role of this region in the global carbon cycle. Net community production (NCP) was estimated using discrete measurements of total dissolved inorganic carbon (TCO2) and phosphate (PO43</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and high-frequency underway measurements of the partial pressure of carbon dioxide in the surface ocean (pCO2surf) from the DPT, combined with estimates of gas exchange, Ekman transport, wind stress curl, and vertical entrainment. We estimate annual NCP using seasonal PO43</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(NCPPO43</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and TCO2 (NCPTCO2) budgets of 1.2±0.7 and 1.6±0.4molCm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Budget terms for gas exchange, entrainment, and advective supply indicate that a closed system seasonal-drawdown approach that does not consider additional terms may underestimate NCP in this region by nearly 35%. NCP estimates are compared to satellite algorithms commonly used to estimate both net primary production (NPP) and organic carbon export. Budget-based NCP approaches indicate high rates of NCP during austral spring with little additional NCP over austral summer. In contrast, satellite approaches suggest a more gradual increase and decline in NCP rates over the growing season with approximately 40% of NCP accumulating during austral summer.","collection-title":"Southern Ocean Dynamics and Biogeochemistry in a Changing Climate","container-title":"Deep Sea Research Part II: Topical Studies in Oceanography","DOI":"10.1016/j.dsr2.2014.12.014","ISSN":"0967-0645","journalAbbreviation":"Deep Sea Research Part II: Topical Studies in Oceanography","language":"en","page":"49-63","source":"ScienceDirect","title":"Estimates of net community production in the Southern Ocean determined from time series observations (2002–2011) of nutrients, dissolved inorganic carbon, and surface ocean pCO2 in Drake Passage","volume":"114","author":[{"family":"Munro","given":"David R."},{"family":"Lovenduski","given":"Nicole S."},{"family":"Stephens","given":"Britton B."},{"family":"Newberger","given":"Timothy"},{"family":"Arrigo","given":"Kevin R."},{"family":"Takahashi","given":"Taro"},{"family":"Quay","given":"Paul D."},{"family":"Sprintall","given":"Janet"},{"family":"Freeman","given":"Natalie M."},{"family":"Sweeney","given":"Colm"}],"issued":{"date-parts":[["2015",4,1]]}}}],"schema":"https://github.com/citation-style-language/schema/raw/master/csl-citation.json"} </w:instrText>
            </w:r>
            <w:r w:rsidRPr="00D15EF8">
              <w:rPr>
                <w:rFonts w:ascii="Times New Roman" w:eastAsia="Yu Gothic" w:hAnsi="Times New Roman" w:cs="Times New Roman"/>
                <w:color w:val="000000"/>
                <w:sz w:val="20"/>
                <w:szCs w:val="20"/>
              </w:rPr>
              <w:fldChar w:fldCharType="separate"/>
            </w:r>
            <w:r w:rsidRPr="00D15EF8">
              <w:rPr>
                <w:rFonts w:ascii="Times New Roman" w:eastAsia="Yu Gothic" w:hAnsi="Times New Roman" w:cs="Times New Roman"/>
                <w:noProof/>
                <w:color w:val="000000"/>
                <w:sz w:val="20"/>
                <w:szCs w:val="20"/>
              </w:rPr>
              <w:t xml:space="preserve">Munro et al. </w:t>
            </w:r>
            <w:r>
              <w:rPr>
                <w:rFonts w:ascii="Times New Roman" w:eastAsia="Yu Gothic" w:hAnsi="Times New Roman" w:cs="Times New Roman"/>
                <w:noProof/>
                <w:color w:val="000000"/>
                <w:sz w:val="20"/>
                <w:szCs w:val="20"/>
              </w:rPr>
              <w:t>(</w:t>
            </w:r>
            <w:r w:rsidRPr="00D15EF8">
              <w:rPr>
                <w:rFonts w:ascii="Times New Roman" w:eastAsia="Yu Gothic" w:hAnsi="Times New Roman" w:cs="Times New Roman"/>
                <w:noProof/>
                <w:color w:val="000000"/>
                <w:sz w:val="20"/>
                <w:szCs w:val="20"/>
              </w:rPr>
              <w:t>2015)</w:t>
            </w:r>
            <w:r w:rsidRPr="00D15EF8">
              <w:rPr>
                <w:rFonts w:ascii="Times New Roman" w:eastAsia="Yu Gothic" w:hAnsi="Times New Roman" w:cs="Times New Roman"/>
                <w:color w:val="000000"/>
                <w:sz w:val="20"/>
                <w:szCs w:val="20"/>
              </w:rPr>
              <w:fldChar w:fldCharType="end"/>
            </w:r>
          </w:p>
        </w:tc>
      </w:tr>
      <w:tr w:rsidR="00E82161" w:rsidRPr="00005F1A" w14:paraId="59E8377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6972922" w14:textId="22F4D133"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60.0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011D49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1618F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0.40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C8DA0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622B2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TCO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1DFF0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CDD8F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08FCED" w14:textId="250A58C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2002</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DC0CB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Drake Passage</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EE031ED" w14:textId="2AA4DC83" w:rsidR="00E82161" w:rsidRPr="00FD2BBD" w:rsidRDefault="00E82161" w:rsidP="00E82161">
            <w:pPr>
              <w:jc w:val="center"/>
              <w:rPr>
                <w:rFonts w:ascii="Times New Roman" w:eastAsia="Yu Gothic" w:hAnsi="Times New Roman" w:cs="Times New Roman"/>
                <w:color w:val="000000"/>
                <w:sz w:val="20"/>
                <w:szCs w:val="20"/>
              </w:rPr>
            </w:pPr>
            <w:r w:rsidRPr="00D15EF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{"citationID":"UbENb2i5","properties":{"formattedCitation":"(Munro et al. 2015)","plainCitation":"(Munro et al. 2015)","dontUpdate":true,"noteIndex":0},"citationItems":[{"id":2397,"uris":["http://zotero.org/users/7846282/items/53YFQ979"],"itemData":{"id":2397,"type":"article-journal","abstract":"In remote regions such as the open Southern Ocean, satellite observations often provide the only available tool with which to evaluate large-scale biogeochemical processes. However, these observations need to be carefully evaluated with in situ measurements. With an average of 20 crossings per year from 2002 to 2011, the Drake Passage Time-series (DPT) represents one of the most complete datasets of biogeochemical measurements in the open Southern Ocean. This dataset offers a unique opportunity to validate satellite-based productivity algorithms and to improve understanding of the role of this region in the global carbon cycle. Net community production (NCP) was estimated using discrete measurements of total dissolved inorganic carbon (TCO2) and phosphate (PO43</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and high-frequency underway measurements of the partial pressure of carbon dioxide in the surface ocean (pCO2surf) from the DPT, combined with estimates of gas exchange, Ekman transport, wind stress curl, and vertical entrainment. We estimate annual NCP using seasonal PO43</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(NCPPO43</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and TCO2 (NCPTCO2) budgets of 1.2±0.7 and 1.6±0.4molCm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Budget terms for gas exchange, entrainment, and advective supply indicate that a closed system seasonal-drawdown approach that does not consider additional terms may underestimate NCP in this region by nearly 35%. NCP estimates are compared to satellite algorithms commonly used to estimate both net primary production (NPP) and organic carbon export. Budget-based NCP approaches indicate high rates of NCP during austral spring with little additional NCP over austral summer. In contrast, satellite approaches suggest a more gradual increase and decline in NCP rates over the growing season with approximately 40% of NCP accumulating during austral summer.","collection-title":"Southern Ocean Dynamics and Biogeochemistry in a Changing Climate","container-title":"Deep Sea Research Part II: Topical Studies in Oceanography","DOI":"10.1016/j.dsr2.2014.12.014","ISSN":"0967-0645","journalAbbreviation":"Deep Sea Research Part II: Topical Studies in Oceanography","language":"en","page":"49-63","source":"ScienceDirect","title":"Estimates of net community production in the Southern Ocean determined from time series observations (2002–2011) of nutrients, dissolved inorganic carbon, and surface ocean pCO2 in Drake Passage","volume":"114","author":[{"family":"Munro","given":"David R."},{"family":"Lovenduski","given":"Nicole S."},{"family":"Stephens","given":"Britton B."},{"family":"Newberger","given":"Timothy"},{"family":"Arrigo","given":"Kevin R."},{"family":"Takahashi","given":"Taro"},{"family":"Quay","given":"Paul D."},{"family":"Sprintall","given":"Janet"},{"family":"Freeman","given":"Natalie M."},{"family":"Sweeney","given":"Colm"}],"issued":{"date-parts":[["2015",4,1]]}}}],"schema":"https://github.com/citation-style-language/schema/raw/master/csl-citation.json"} </w:instrText>
            </w:r>
            <w:r w:rsidRPr="00D15EF8">
              <w:rPr>
                <w:rFonts w:ascii="Times New Roman" w:eastAsia="Yu Gothic" w:hAnsi="Times New Roman" w:cs="Times New Roman"/>
                <w:color w:val="000000"/>
                <w:sz w:val="20"/>
                <w:szCs w:val="20"/>
              </w:rPr>
              <w:fldChar w:fldCharType="separate"/>
            </w:r>
            <w:r w:rsidRPr="00D15EF8">
              <w:rPr>
                <w:rFonts w:ascii="Times New Roman" w:eastAsia="Yu Gothic" w:hAnsi="Times New Roman" w:cs="Times New Roman"/>
                <w:noProof/>
                <w:color w:val="000000"/>
                <w:sz w:val="20"/>
                <w:szCs w:val="20"/>
              </w:rPr>
              <w:t xml:space="preserve">Munro et al. </w:t>
            </w:r>
            <w:r>
              <w:rPr>
                <w:rFonts w:ascii="Times New Roman" w:eastAsia="Yu Gothic" w:hAnsi="Times New Roman" w:cs="Times New Roman"/>
                <w:noProof/>
                <w:color w:val="000000"/>
                <w:sz w:val="20"/>
                <w:szCs w:val="20"/>
              </w:rPr>
              <w:t>(</w:t>
            </w:r>
            <w:r w:rsidRPr="00D15EF8">
              <w:rPr>
                <w:rFonts w:ascii="Times New Roman" w:eastAsia="Yu Gothic" w:hAnsi="Times New Roman" w:cs="Times New Roman"/>
                <w:noProof/>
                <w:color w:val="000000"/>
                <w:sz w:val="20"/>
                <w:szCs w:val="20"/>
              </w:rPr>
              <w:t>2015)</w:t>
            </w:r>
            <w:r w:rsidRPr="00D15EF8">
              <w:rPr>
                <w:rFonts w:ascii="Times New Roman" w:eastAsia="Yu Gothic" w:hAnsi="Times New Roman" w:cs="Times New Roman"/>
                <w:color w:val="000000"/>
                <w:sz w:val="20"/>
                <w:szCs w:val="20"/>
              </w:rPr>
              <w:fldChar w:fldCharType="end"/>
            </w:r>
          </w:p>
        </w:tc>
      </w:tr>
      <w:tr w:rsidR="00E82161" w:rsidRPr="00005F1A" w14:paraId="0FAB6E91"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7DD0870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29.0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D9E42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126B5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AC7A7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E1FD5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1C1E18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F5E4D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58DC0F" w14:textId="18FCE6E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1996</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lastRenderedPageBreak/>
              <w:t>1999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FED7A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ESTOC</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17A42851" w14:textId="5A0FA0D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{"citationID":"vWejJHwE","properties":{"formattedCitation":"(Neuer et al. 2007)","plainCitation":"(Neuer et al. 2007)","dontUpdate":true,"noteIndex":0},"citationItems":[{"id":2468,"uris":["http://zotero.org/users/7846282/items/KU4DM5IR"],"itemData":{"id":2468,"type":"article-journal","abstract":"Basin wide modeling studies have revealed a clear asymmetry of the biogeochemistry across the subtropical North Atlantic gyre, mainly relating to the magnitude and processes of nutrient supply and new and export production. Time-series measurements of the actual biogeography are needed to confirm and understand the inherent asymmetry. Here we present the first comprehensive time-series measurements carried out in the eastern boundary system of the subtropical North Atlantic gyre at the European Station for Time-Series in the Ocean, Canary Islands (ESTOC), located 100km north of the Canary Islands. Standard water column properties have been measured at the station since 1994 at monthly intervals; monthly measurements of pCO2 were added in 1996. There was a clear seasonality in phytoplankton development, with winter maxima of surface chlorophyll of around 0.4mgChlorophyllm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3, coinciding with the time of deepest winter mixing. The interannual variability in primary production, new production and net community production was mainly influenced by the onset and depth of wintertime mixing, relative to the depth of the nitracline in a given year. Yearly primary production estimated from in situ chlorophyll a and applying a bio-optical model varied from about 11 to 14molCm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Net community production (NCP) estimated by the net change of dissolved inorganic carbon due to biological processes was always positive, contradicting earlier notions of a heterotrophic subtropical NE Atlantic, and ranged from 2 to 5molCm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New production (NP), estimated as the potential phytoplankton production fuelled by the available nitrate in the euphotic zone due to wintertime convection and mesoscale uplift, ranged from 0.7 to 2.6molCm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The discrepancy between NCP and NP is indicative of carbon-overconsumption in the mixed layer. Particulate organic carbon (POC) flux measured with shallow, moored, time-series traps, and in some years with surface tethered traps, amounted to about 0.2molCm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at 150m, on average a tenth to a fifth of NP and with little interannual variability. The difference between NP and POC flux may be explained by remineralization of organic carbon below the euphotic zone, export of dissolved organic carbon, active organic carbon export by migrating zooplankton as well as sampling errors. The little known seasonality of the decomposition of particulate matter below the mixed layer is also a possible source of underestimation of POC flux; we found evidence that highest POC flux in winter/spring was concomitant with the strongest decrease of flux with depth. This seasonality means that a single average exponent cannot be used in the power function for extrapolating flux from deeper to shallower depths. We identified short-term peaks in POC flux during the stratified summer period that we attribute to possible mesoscale uplift of the nitracline higher into the euphotic zone, triggering episodic production events.","container-title":"Progress in Oceanography","DOI":"10.1016/j.pocean.2006.08.001","ISSN":"0079-6611","issue":"1","journalAbbreviation":"Progress in Oceanography","language":"en","page":"1-29","source":"ScienceDirect","title":"Biogeochemistry and hydrography in the eastern subtropical North Atlantic gyre. Results from the European time-series station ESTOC","volume":"72","author":[{"family":"Neuer","given":"Susanne"},{"family":"Cianca","given":"Andres"},{"family":"Helmke","given":"Peer"},{"family":"Freudenthal","given":"Tim"},{"family":"Davenport","given":"Robert"},{"family":"Meggers","given":"Helge"},{"family":"Knoll","given":"Michaela"},{"family":"Santana-Casiano","given":"J. Magdalena"},{"family":"González-Davila","given":"Melchor"},{"family":"Rueda","given":"Maria-José"},{"family":"Llinás","given":"Octavio"}],"issued":{"date-parts":[["2007",1,1]]}}}],"schema":"https://github.com/citation-style-language/schema/raw/master/csl-citation.json"}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Neuer et al. (2007)</w:t>
            </w:r>
            <w:r>
              <w:rPr>
                <w:rFonts w:ascii="Times New Roman" w:eastAsia="Yu Gothic" w:hAnsi="Times New Roman" w:cs="Times New Roman"/>
                <w:color w:val="000000"/>
                <w:sz w:val="20"/>
                <w:szCs w:val="20"/>
              </w:rPr>
              <w:fldChar w:fldCharType="end"/>
            </w:r>
          </w:p>
        </w:tc>
      </w:tr>
      <w:tr w:rsidR="00E82161" w:rsidRPr="00005F1A" w14:paraId="2C20B585"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1480E6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65.0, 55.0, 45.0, 35.0, 25.0, 5.0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5D08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1.11, 0.70, 2.91, 3.09, 2.99, 3.18</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1B8E6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1.60, 1.40, 1.10, 1.10, 0.80, 0.90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331FC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056A94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Oxygen</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A9B5A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4A9C65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02AE42D" w14:textId="3932AACB"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1980</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8073C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CARINA</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2E5920C" w14:textId="4822C737" w:rsidR="00E82161" w:rsidRPr="00FD2BBD" w:rsidRDefault="00E82161" w:rsidP="00E82161">
            <w:pPr>
              <w:jc w:val="center"/>
              <w:rPr>
                <w:rFonts w:ascii="Times New Roman" w:eastAsia="Yu Gothic" w:hAnsi="Times New Roman" w:cs="Times New Roman"/>
                <w:color w:val="000000"/>
                <w:sz w:val="20"/>
                <w:szCs w:val="20"/>
              </w:rPr>
            </w:pPr>
            <w:r w:rsidRPr="005522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{"citationID":"JlEUY1wn","properties":{"formattedCitation":"(Quay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5522C2">
              <w:rPr>
                <w:rFonts w:ascii="Times New Roman" w:eastAsia="Yu Gothic" w:hAnsi="Times New Roman" w:cs="Times New Roman"/>
                <w:color w:val="000000"/>
                <w:sz w:val="20"/>
                <w:szCs w:val="20"/>
              </w:rPr>
              <w:fldChar w:fldCharType="separate"/>
            </w:r>
            <w:r w:rsidRPr="005522C2">
              <w:rPr>
                <w:rFonts w:ascii="Times New Roman" w:eastAsia="Yu Gothic" w:hAnsi="Times New Roman" w:cs="Times New Roman"/>
                <w:noProof/>
                <w:color w:val="000000"/>
                <w:sz w:val="20"/>
                <w:szCs w:val="20"/>
              </w:rPr>
              <w:t>Quay et al. (2020)</w:t>
            </w:r>
            <w:r w:rsidRPr="005522C2">
              <w:rPr>
                <w:rFonts w:ascii="Times New Roman" w:eastAsia="Yu Gothic" w:hAnsi="Times New Roman" w:cs="Times New Roman"/>
                <w:color w:val="000000"/>
                <w:sz w:val="20"/>
                <w:szCs w:val="20"/>
              </w:rPr>
              <w:fldChar w:fldCharType="end"/>
            </w:r>
          </w:p>
        </w:tc>
      </w:tr>
      <w:tr w:rsidR="00E82161" w:rsidRPr="00005F1A" w14:paraId="4F066F04"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828EA2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35.0, 35.0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ABC2F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1.65, 2.57</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64688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0.60, 1.00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30B169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6DF83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D7542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3C36F2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8BD3A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2011</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42A4A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GEOTRACES G10</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DB25F7F" w14:textId="302D60A9" w:rsidR="00E82161" w:rsidRPr="00FD2BBD" w:rsidRDefault="00E82161" w:rsidP="00E82161">
            <w:pPr>
              <w:jc w:val="center"/>
              <w:rPr>
                <w:rFonts w:ascii="Times New Roman" w:eastAsia="Yu Gothic" w:hAnsi="Times New Roman" w:cs="Times New Roman"/>
                <w:color w:val="000000"/>
                <w:sz w:val="20"/>
                <w:szCs w:val="20"/>
              </w:rPr>
            </w:pPr>
            <w:r w:rsidRPr="005522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{"citationID":"SwxcDGFq","properties":{"formattedCitation":"(Quay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5522C2">
              <w:rPr>
                <w:rFonts w:ascii="Times New Roman" w:eastAsia="Yu Gothic" w:hAnsi="Times New Roman" w:cs="Times New Roman"/>
                <w:color w:val="000000"/>
                <w:sz w:val="20"/>
                <w:szCs w:val="20"/>
              </w:rPr>
              <w:fldChar w:fldCharType="separate"/>
            </w:r>
            <w:r w:rsidRPr="005522C2">
              <w:rPr>
                <w:rFonts w:ascii="Times New Roman" w:eastAsia="Yu Gothic" w:hAnsi="Times New Roman" w:cs="Times New Roman"/>
                <w:noProof/>
                <w:color w:val="000000"/>
                <w:sz w:val="20"/>
                <w:szCs w:val="20"/>
              </w:rPr>
              <w:t>Quay et al. (2020)</w:t>
            </w:r>
            <w:r w:rsidRPr="005522C2">
              <w:rPr>
                <w:rFonts w:ascii="Times New Roman" w:eastAsia="Yu Gothic" w:hAnsi="Times New Roman" w:cs="Times New Roman"/>
                <w:color w:val="000000"/>
                <w:sz w:val="20"/>
                <w:szCs w:val="20"/>
              </w:rPr>
              <w:fldChar w:fldCharType="end"/>
            </w:r>
          </w:p>
        </w:tc>
      </w:tr>
      <w:tr w:rsidR="00E82161" w:rsidRPr="00005F1A" w14:paraId="634342D0"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0BC7D48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35.0, 22.5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307FA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2.78, 2.33</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9E103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1.10, 0.90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E20DE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3C995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D41F9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7CD7E9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7D1A7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2003</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6C9A3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A20/A22</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C6469FF" w14:textId="52FA8F92" w:rsidR="00E82161" w:rsidRPr="00FD2BBD" w:rsidRDefault="00E82161" w:rsidP="00E82161">
            <w:pPr>
              <w:jc w:val="center"/>
              <w:rPr>
                <w:rFonts w:ascii="Times New Roman" w:eastAsia="Yu Gothic" w:hAnsi="Times New Roman" w:cs="Times New Roman"/>
                <w:color w:val="000000"/>
                <w:sz w:val="20"/>
                <w:szCs w:val="20"/>
              </w:rPr>
            </w:pPr>
            <w:r w:rsidRPr="005522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{"citationID":"8swirzMx","properties":{"formattedCitation":"(Quay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5522C2">
              <w:rPr>
                <w:rFonts w:ascii="Times New Roman" w:eastAsia="Yu Gothic" w:hAnsi="Times New Roman" w:cs="Times New Roman"/>
                <w:color w:val="000000"/>
                <w:sz w:val="20"/>
                <w:szCs w:val="20"/>
              </w:rPr>
              <w:fldChar w:fldCharType="separate"/>
            </w:r>
            <w:r w:rsidRPr="005522C2">
              <w:rPr>
                <w:rFonts w:ascii="Times New Roman" w:eastAsia="Yu Gothic" w:hAnsi="Times New Roman" w:cs="Times New Roman"/>
                <w:noProof/>
                <w:color w:val="000000"/>
                <w:sz w:val="20"/>
                <w:szCs w:val="20"/>
              </w:rPr>
              <w:t>Quay et al. (2020)</w:t>
            </w:r>
            <w:r w:rsidRPr="005522C2">
              <w:rPr>
                <w:rFonts w:ascii="Times New Roman" w:eastAsia="Yu Gothic" w:hAnsi="Times New Roman" w:cs="Times New Roman"/>
                <w:color w:val="000000"/>
                <w:sz w:val="20"/>
                <w:szCs w:val="20"/>
              </w:rPr>
              <w:fldChar w:fldCharType="end"/>
            </w:r>
          </w:p>
        </w:tc>
      </w:tr>
      <w:tr w:rsidR="00E82161" w:rsidRPr="00005F1A" w14:paraId="5EA323E8"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9131C1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27.0, 26.0, 25.0, 24.0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28C4F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1.47, 1.66, 1.59, 1.59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191D2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0.60, 0.70, 0.60, 0.60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816BA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0C3F8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EF32E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7FCB1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9EF3A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F6B77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A05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5E85F77" w14:textId="4A5B2F87" w:rsidR="00E82161" w:rsidRPr="00FD2BBD" w:rsidRDefault="00E82161" w:rsidP="00E82161">
            <w:pPr>
              <w:jc w:val="center"/>
              <w:rPr>
                <w:rFonts w:ascii="Times New Roman" w:eastAsia="Yu Gothic" w:hAnsi="Times New Roman" w:cs="Times New Roman"/>
                <w:color w:val="000000"/>
                <w:sz w:val="20"/>
                <w:szCs w:val="20"/>
              </w:rPr>
            </w:pPr>
            <w:r w:rsidRPr="005522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{"citationID":"EbUZ2RfF","properties":{"formattedCitation":"(Quay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5522C2">
              <w:rPr>
                <w:rFonts w:ascii="Times New Roman" w:eastAsia="Yu Gothic" w:hAnsi="Times New Roman" w:cs="Times New Roman"/>
                <w:color w:val="000000"/>
                <w:sz w:val="20"/>
                <w:szCs w:val="20"/>
              </w:rPr>
              <w:fldChar w:fldCharType="separate"/>
            </w:r>
            <w:r w:rsidRPr="005522C2">
              <w:rPr>
                <w:rFonts w:ascii="Times New Roman" w:eastAsia="Yu Gothic" w:hAnsi="Times New Roman" w:cs="Times New Roman"/>
                <w:noProof/>
                <w:color w:val="000000"/>
                <w:sz w:val="20"/>
                <w:szCs w:val="20"/>
              </w:rPr>
              <w:t>Quay et al. (2020)</w:t>
            </w:r>
            <w:r w:rsidRPr="005522C2">
              <w:rPr>
                <w:rFonts w:ascii="Times New Roman" w:eastAsia="Yu Gothic" w:hAnsi="Times New Roman" w:cs="Times New Roman"/>
                <w:color w:val="000000"/>
                <w:sz w:val="20"/>
                <w:szCs w:val="20"/>
              </w:rPr>
              <w:fldChar w:fldCharType="end"/>
            </w:r>
          </w:p>
        </w:tc>
      </w:tr>
      <w:tr w:rsidR="00E82161" w:rsidRPr="00005F1A" w14:paraId="3D24A25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B5FF9A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15.0, 5.0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FA0FA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2.42, 2.68</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366CB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1.00, 1.10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F6023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C018B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807CB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53C814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380E5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2003</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8B8E2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A16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6DA3B60" w14:textId="0EA60EC6" w:rsidR="00E82161" w:rsidRPr="00FD2BBD" w:rsidRDefault="00E82161" w:rsidP="00E82161">
            <w:pPr>
              <w:jc w:val="center"/>
              <w:rPr>
                <w:rFonts w:ascii="Times New Roman" w:eastAsia="Yu Gothic" w:hAnsi="Times New Roman" w:cs="Times New Roman"/>
                <w:color w:val="000000"/>
                <w:sz w:val="20"/>
                <w:szCs w:val="20"/>
              </w:rPr>
            </w:pPr>
            <w:r w:rsidRPr="005522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{"citationID":"1afaEQPl","properties":{"formattedCitation":"(Quay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5522C2">
              <w:rPr>
                <w:rFonts w:ascii="Times New Roman" w:eastAsia="Yu Gothic" w:hAnsi="Times New Roman" w:cs="Times New Roman"/>
                <w:color w:val="000000"/>
                <w:sz w:val="20"/>
                <w:szCs w:val="20"/>
              </w:rPr>
              <w:fldChar w:fldCharType="separate"/>
            </w:r>
            <w:r w:rsidRPr="005522C2">
              <w:rPr>
                <w:rFonts w:ascii="Times New Roman" w:eastAsia="Yu Gothic" w:hAnsi="Times New Roman" w:cs="Times New Roman"/>
                <w:noProof/>
                <w:color w:val="000000"/>
                <w:sz w:val="20"/>
                <w:szCs w:val="20"/>
              </w:rPr>
              <w:t>Quay et al. (2020)</w:t>
            </w:r>
            <w:r w:rsidRPr="005522C2">
              <w:rPr>
                <w:rFonts w:ascii="Times New Roman" w:eastAsia="Yu Gothic" w:hAnsi="Times New Roman" w:cs="Times New Roman"/>
                <w:color w:val="000000"/>
                <w:sz w:val="20"/>
                <w:szCs w:val="20"/>
              </w:rPr>
              <w:fldChar w:fldCharType="end"/>
            </w:r>
          </w:p>
        </w:tc>
      </w:tr>
      <w:tr w:rsidR="00E82161" w:rsidRPr="00005F1A" w14:paraId="2B75A709"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28CC63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12.5, 7.5, 2.5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9D64D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2.60, 1.44, 2.89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A31F6F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1.00, 0.50, 1.20</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DCA61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0DDA9C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C84D0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3FF5C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C4FD9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1993</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41F82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A16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AD8D524" w14:textId="288EEE05" w:rsidR="00E82161" w:rsidRPr="00FD2BBD" w:rsidRDefault="00E82161" w:rsidP="00E82161">
            <w:pPr>
              <w:jc w:val="center"/>
              <w:rPr>
                <w:rFonts w:ascii="Times New Roman" w:eastAsia="Yu Gothic" w:hAnsi="Times New Roman" w:cs="Times New Roman"/>
                <w:color w:val="000000"/>
                <w:sz w:val="20"/>
                <w:szCs w:val="20"/>
              </w:rPr>
            </w:pPr>
            <w:r w:rsidRPr="005522C2">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{"citationID":"Lg2Jv6Yu","properties":{"formattedCitation":"(Quay et al. 2020)","plainCitation":"(Quay et al. 2020)","dontUpdate":true,"noteIndex":0},"citationItems":[{"id":1673,"uris":["http://zotero.org/users/7846282/items/I9QA2AWA"],"itemData":{"id":1673,"type":"article-journal","abstract":"Despite the impact of the ocean's biological pump on future atmospheric CO2 and deep ocean O2 concentrations, organic matter export rates are poorly known because observations are scarce and mostly short term. Thus, we rely on satellite data and models to yield export rates, yet neither approach is sufﬁciently validated. We present multiyear export estimates based mainly on observed O2 and CO2 surface layer budgets across the Paciﬁc and North Atlantic Oceans and compare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We ﬁnd that regional variability in observed export is modest (threefold) and lower than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(threefold to sevenfold). Neither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nor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export reproduces the regional export trends in the Paciﬁc. We ﬁnd that winter mixed layer depth is critical in determining annual export rates in the subpolar N. Atlantic. Plain Language Summary A small fraction of the organic matter photosynthetically produced by phytoplankton in the surface ocean is transferred (exported) to deeper layers of the ocean. The rate of export has an important impact on atmospheric carbon dioxide (CO2) concentrations. Yet, measurements of the organic matter export rate are too scarce to yield a useful picture of how this export rate varies between different ocean regions. Here we present 85 multiyear estimates of export rate spread across the Paciﬁc and North Atlantic oceans and ﬁnd only modest variations (threefold). When we compare these observations to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based estimates of export, we ﬁnd the latter approaches overestimate regional variations by up to twofold and fail to yield observed north</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south trends in export. Our ﬁndings indicate that more ﬁeld measurements of export are needed to better test the model</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 and satellite</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based estimates. We expect the number of ﬁeld measurements of export rate to increase markedly during the next decade as sensors that measure oxygen, CO2, and nitrate are increasingly deployed on ﬂoats, gliders, moorings, and ships. As a result, our ability to predict the impact of climate change on ocean export and, in turn, its impact on future levels of CO2 in the atmosphere should improve signiﬁcantly.","container-title":"Geophysical Research Letters","DOI":"10.1029/2020GL088098","ISSN":"0094-8276, 1944-8007","issue":"14","journalAbbreviation":"Geophys. Res. Lett.","language":"en","source":"DOI.org (Crossref)","title":"Regional Pattern of the Ocean's Biological Pump Based on Geochemical Observations","URL":"https://onlinelibrary.wiley.com/doi/10.1029/2020GL088098","volume":"47","author":[{"family":"Quay","given":"Paul"},{"family":"Emerson","given":"Steven"},{"family":"Palevsky","given":"Hilary"}],"accessed":{"date-parts":[["2022",6,15]]},"issued":{"date-parts":[["2020",7,28]]}}}],"schema":"https://github.com/citation-style-language/schema/raw/master/csl-citation.json"} </w:instrText>
            </w:r>
            <w:r w:rsidRPr="005522C2">
              <w:rPr>
                <w:rFonts w:ascii="Times New Roman" w:eastAsia="Yu Gothic" w:hAnsi="Times New Roman" w:cs="Times New Roman"/>
                <w:color w:val="000000"/>
                <w:sz w:val="20"/>
                <w:szCs w:val="20"/>
              </w:rPr>
              <w:fldChar w:fldCharType="separate"/>
            </w:r>
            <w:r w:rsidRPr="005522C2">
              <w:rPr>
                <w:rFonts w:ascii="Times New Roman" w:eastAsia="Yu Gothic" w:hAnsi="Times New Roman" w:cs="Times New Roman"/>
                <w:noProof/>
                <w:color w:val="000000"/>
                <w:sz w:val="20"/>
                <w:szCs w:val="20"/>
              </w:rPr>
              <w:t>Quay et al. (2020)</w:t>
            </w:r>
            <w:r w:rsidRPr="005522C2">
              <w:rPr>
                <w:rFonts w:ascii="Times New Roman" w:eastAsia="Yu Gothic" w:hAnsi="Times New Roman" w:cs="Times New Roman"/>
                <w:color w:val="000000"/>
                <w:sz w:val="20"/>
                <w:szCs w:val="20"/>
              </w:rPr>
              <w:fldChar w:fldCharType="end"/>
            </w:r>
          </w:p>
        </w:tc>
      </w:tr>
      <w:tr w:rsidR="00E82161" w:rsidRPr="00005F1A" w14:paraId="04C4ECA1"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FB5E70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6BB67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3.86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43569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1.03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55E69AD"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08E4D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proofErr w:type="spellStart"/>
            <w:r w:rsidRPr="00FD2BBD">
              <w:rPr>
                <w:rFonts w:ascii="Times New Roman" w:eastAsia="Yu Gothic" w:hAnsi="Times New Roman" w:cs="Times New Roman"/>
                <w:color w:val="000000"/>
                <w:sz w:val="20"/>
                <w:szCs w:val="20"/>
              </w:rPr>
              <w:t>Ar</w:t>
            </w:r>
            <w:proofErr w:type="spellEnd"/>
            <w:r w:rsidRPr="00FD2BBD">
              <w:rPr>
                <w:rFonts w:ascii="Times New Roman" w:eastAsia="Yu Gothic" w:hAnsi="Times New Roman" w:cs="Times New Roman"/>
                <w:color w:val="000000"/>
                <w:sz w:val="20"/>
                <w:szCs w:val="20"/>
              </w:rPr>
              <w:t>, He</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40FC6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Mass balance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1EE60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6AEA97" w14:textId="67CF1226"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1985</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1986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B6731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06A9AE4" w14:textId="6E49B625"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{"citationID":"pVurq1fG","properties":{"formattedCitation":"(Spitzer and Jenkins 1989)","plainCitation":"(Spitzer and Jenkins 1989)","dontUpdate":true,"noteIndex":0},"citationItems":[{"id":2461,"uris":["http://zotero.org/users/7846282/items/SEWL2B8N"],"itemData":{"id":2461,"type":"article-journal","abstract":"Argon measurements, obtained from one year of monthly detailed vertical profiles near Bermuda (32N 64W), show a maximum in argon supersaturation of about 4% in the seasonal thermocline in late summer. Since the argon supersaturation is 3-4 times smaller than that of oxygen, most of the oxygen supersaturation is not of physical origin and hence must result from biological production.","container-title":"Journal of Marine Research","DOI":"10.1357/002224089785076370","ISSN":"00222402, 15439542","issue":"1","journalAbbreviation":"J Mar Res","language":"en","page":"169-196","source":"DOI.org (Crossref)","title":"Rates of vertical mixing, gas exchange and new production: Estimates from seasonal gas cycles in the upper ocean near Bermuda","title-short":"Rates of vertical mixing, gas exchange and new production","volume":"47","author":[{"family":"Spitzer","given":"William S."},{"family":"Jenkins","given":"William J."}],"issued":{"date-parts":[["1989",2,1]]}}}],"schema":"https://github.com/citation-style-language/schema/raw/master/csl-citation.json"}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Spitzer and Jenkins (1989)</w:t>
            </w:r>
            <w:r>
              <w:rPr>
                <w:rFonts w:ascii="Times New Roman" w:eastAsia="Yu Gothic" w:hAnsi="Times New Roman" w:cs="Times New Roman"/>
                <w:color w:val="000000"/>
                <w:sz w:val="20"/>
                <w:szCs w:val="20"/>
              </w:rPr>
              <w:fldChar w:fldCharType="end"/>
            </w:r>
          </w:p>
        </w:tc>
      </w:tr>
      <w:tr w:rsidR="00E82161" w:rsidRPr="00005F1A" w14:paraId="4BCAD4FB"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6500AC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BAA9C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2.10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0FC1D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0.08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8CDFDA" w14:textId="54520A6C"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(500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747A4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r w:rsidRPr="00FD2BB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vertAlign w:val="superscript"/>
              </w:rPr>
              <w:t>3</w:t>
            </w:r>
            <w:r w:rsidRPr="00FD2BBD">
              <w:rPr>
                <w:rFonts w:ascii="Times New Roman" w:eastAsia="Yu Gothic" w:hAnsi="Times New Roman" w:cs="Times New Roman"/>
                <w:color w:val="000000"/>
                <w:sz w:val="20"/>
                <w:szCs w:val="20"/>
              </w:rPr>
              <w:t>He</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82AAB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OUR</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DCE50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4C468A" w14:textId="0DF824EF"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2003</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3B110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608D470" w14:textId="36A51AD3"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{"citationID":"WtMf06AK","properties":{"formattedCitation":"(Stanley et al. 2012)","plainCitation":"(Stanley et al. 2012)","dontUpdate":true,"noteIndex":0},"citationItems":[{"id":2139,"uris":["http://zotero.org/users/7846282/items/UCSQZDT2"],"itemData":{"id":2139,"type":"article-journal","abstract":"We present three years of Apparent Oxygen Utilization Rates (AOUR) estimated from oxygen and tracer data collected over the ocean thermocline at monthly resolution between 2003 and 2006 at the Bermuda Atlantic Time-series Study (BATS) site. We estimate water ages by calculating a transit time distribution from tritium and helium-3 data. The vertically integrated AOUR over the upper 500 m, which is a regional estimate of export, during the three years is 3.1 &amp;plusmn; 0.5 mol O2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This is comparable to previous AOUR-based estimates of export production at the BATS site but is several times larger than export estimates derived from sediment traps or 234Th fluxes. We compare AOUR determined in this study to AOUR measured in the 1980s and show AOUR is significantly greater today than decades earlier because of changes in AOU, rather than changes in ventilation rates. The changes in AOU are likely a methodological artefact associated with problems with early oxygen measurements.","container-title":"Biogeosciences","DOI":"10.5194/bg-9-1969-2012","ISSN":"1726-4170","issue":"6","language":"English","note":"publisher: Copernicus GmbH","page":"1969-1983","source":"Copernicus Online Journals","title":"Apparent oxygen utilization rates calculated from tritium and helium-3 profiles at the Bermuda Atlantic Time-series Study site","volume":"9","author":[{"family":"Stanley","given":"R. H. R."},{"family":"Doney","given":"S. C."},{"family":"Jenkins","given":"W. J."},{"family":"Lott","given":"I. I. I."}],"issued":{"date-parts":[["2012",6,4]]}}}],"schema":"https://github.com/citation-style-language/schema/raw/master/csl-citation.json"}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Stanley et al. (2012)</w:t>
            </w:r>
            <w:r>
              <w:rPr>
                <w:rFonts w:ascii="Times New Roman" w:eastAsia="Yu Gothic" w:hAnsi="Times New Roman" w:cs="Times New Roman"/>
                <w:color w:val="000000"/>
                <w:sz w:val="20"/>
                <w:szCs w:val="20"/>
              </w:rPr>
              <w:fldChar w:fldCharType="end"/>
            </w:r>
          </w:p>
        </w:tc>
      </w:tr>
      <w:tr w:rsidR="00E82161" w:rsidRPr="00005F1A" w14:paraId="160CBF3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69274BF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32.0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999BD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4.30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FC7CE4"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0.90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502559" w14:textId="77777777" w:rsidR="00E82161" w:rsidRPr="00FD2BBD" w:rsidRDefault="00E82161" w:rsidP="00E82161">
            <w:pPr>
              <w:jc w:val="center"/>
              <w:rPr>
                <w:rFonts w:ascii="Times New Roman" w:eastAsia="Yu Gothic" w:hAnsi="Times New Roman" w:cs="Times New Roman"/>
                <w:color w:val="000000"/>
                <w:sz w:val="20"/>
                <w:szCs w:val="20"/>
              </w:rPr>
            </w:pPr>
            <w:proofErr w:type="spellStart"/>
            <w:r w:rsidRPr="00E94D5F">
              <w:rPr>
                <w:rFonts w:ascii="Times New Roman" w:eastAsia="Yu Gothic" w:hAnsi="Times New Roman" w:cs="Times New Roman"/>
                <w:i/>
                <w:iCs/>
                <w:color w:val="000000"/>
                <w:sz w:val="20"/>
                <w:szCs w:val="20"/>
              </w:rPr>
              <w:t>Z</w:t>
            </w:r>
            <w:r w:rsidRPr="00E94D5F">
              <w:rPr>
                <w:rFonts w:ascii="Times New Roman" w:eastAsia="Yu Gothic" w:hAnsi="Times New Roman" w:cs="Times New Roman"/>
                <w:color w:val="000000"/>
                <w:sz w:val="20"/>
                <w:szCs w:val="20"/>
                <w:vertAlign w:val="subscript"/>
              </w:rPr>
              <w:t>eu</w:t>
            </w:r>
            <w:proofErr w:type="spellEnd"/>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0B59E1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r w:rsidRPr="00FD2BB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vertAlign w:val="superscript"/>
              </w:rPr>
              <w:t>3</w:t>
            </w:r>
            <w:r w:rsidRPr="00FD2BBD">
              <w:rPr>
                <w:rFonts w:ascii="Times New Roman" w:eastAsia="Yu Gothic" w:hAnsi="Times New Roman" w:cs="Times New Roman"/>
                <w:color w:val="000000"/>
                <w:sz w:val="20"/>
                <w:szCs w:val="20"/>
              </w:rPr>
              <w:t>He</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7F0BF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New production</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FA9EE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FAEE926" w14:textId="03AD923C"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2003</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2006</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433197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7765C392" w14:textId="0F6057F8"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{"citationID":"aTpJxg0x","properties":{"formattedCitation":"(Stanley et al. 2015)","plainCitation":"(Stanley et al. 2015)","dontUpdate":true,"noteIndex":0},"citationItems":[{"id":2454,"uris":["http://zotero.org/users/7846282/items/85NT8Q9E"],"itemData":{"id":2454,"type":"article-journal","abstract":"Significant rates of primary production occur in the oligotrophic ocean, without any measurable nutrients present in the mixed layer, fueling a scientific paradox that has lasted for decades. Here, we provide a new determination of the annual mean physical supply of nitrate to the euphotic zone in the western subtropical North Atlantic. We combine a 3-year time series of measurements of tritiugenic 3He from 2003 to 2006 in the surface ocean at the Bermuda Atlantic Time-series Study (BATS) site with a sophisticated noble gas calibrated air–sea gas exchange model to constrain the 3He flux across the sea–air interface, which must closely mirror the upward 3He flux into the euphotic zone. The product of the 3He flux and the observed subsurface nitrate–3He relationship provides an estimate of the minimum rate of new production in the BATS region. We also apply the gas model to an earlier time series of 3He measurements at BATS in order to recalculate new production fluxes for the 1985 to 1988 time period. The observations, despite an almost 3-fold difference in the nitrate–3He relationship, yield a roughly consistent estimate of nitrate flux. In particular, the nitrate flux from 2003 to 2006 is estimated to be 0.65 ± 0.14 mol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which is ~40 % smaller than the calculated flux for the period from 1985 to 1988. The difference in nitrate flux between the time periods may be signifying a real difference in new production resulting from changes in subtropical mode water formation. Overall, the nitrate flux is larger than most estimates of export fluxes or net community production fluxes made locally for the BATS site, which is likely a reflection of the larger spatial scale covered by the 3He technique and potentially also by the decoupling of 3He and nitrate during the obduction of water masses from the main thermocline into the upper ocean. The upward nitrate flux is certainly large enough to support observed rates of primary production at BATS and more generally in the oligotrophic subtropical ocean.","container-title":"Biogeosciences","DOI":"10.5194/bg-12-5199-2015","ISSN":"1726-4170","issue":"17","language":"English","note":"publisher: Copernicus GmbH","page":"5199-5210","source":"Copernicus Online Journals","title":"The &lt;sup&gt;3&lt;/sup&gt;He flux gauge in the Sargasso Sea: a determination of physical nutrient fluxes to the euphotic zone at the Bermuda Atlantic Time-series Site","title-short":"The &lt;sup&gt;3&lt;/sup&gt;He flux gauge in the Sargasso Sea","volume":"12","author":[{"family":"Stanley","given":"R. H. R."},{"family":"Jenkins","given":"W. J."},{"family":"Doney","given":"S. C."},{"family":"Lott III","given":"D. E."}],"issued":{"date-parts":[["2015",9,4]]}}}],"schema":"https://github.com/citation-style-language/schema/raw/master/csl-citation.json"}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Stanley et al. (2015)</w:t>
            </w:r>
            <w:r>
              <w:rPr>
                <w:rFonts w:ascii="Times New Roman" w:eastAsia="Yu Gothic" w:hAnsi="Times New Roman" w:cs="Times New Roman"/>
                <w:color w:val="000000"/>
                <w:sz w:val="20"/>
                <w:szCs w:val="20"/>
              </w:rPr>
              <w:fldChar w:fldCharType="end"/>
            </w:r>
          </w:p>
        </w:tc>
      </w:tr>
      <w:tr w:rsidR="00E82161" w:rsidRPr="00005F1A" w14:paraId="0DA4E32A"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5AD736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24.5, 25.0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3067A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1.50, 1.30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E05FFA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2CD4F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F4311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0C6C9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3AEB4E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05E9F71" w14:textId="34CFBE1F"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177B4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9726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64E05835" w14:textId="3F8414E1" w:rsidR="00E82161" w:rsidRPr="00FD2BBD" w:rsidRDefault="00E82161" w:rsidP="00E82161">
            <w:pPr>
              <w:jc w:val="center"/>
              <w:rPr>
                <w:rFonts w:ascii="Times New Roman" w:eastAsia="Yu Gothic" w:hAnsi="Times New Roman" w:cs="Times New Roman"/>
                <w:color w:val="000000"/>
                <w:sz w:val="20"/>
                <w:szCs w:val="20"/>
              </w:rPr>
            </w:pPr>
            <w:r w:rsidRPr="00627A2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{"citationID":"68pzKrsA","properties":{"formattedCitation":"(Yang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627A28">
              <w:rPr>
                <w:rFonts w:ascii="Times New Roman" w:eastAsia="Yu Gothic" w:hAnsi="Times New Roman" w:cs="Times New Roman"/>
                <w:color w:val="000000"/>
                <w:sz w:val="20"/>
                <w:szCs w:val="20"/>
              </w:rPr>
              <w:fldChar w:fldCharType="separate"/>
            </w:r>
            <w:r w:rsidRPr="00627A28">
              <w:rPr>
                <w:rFonts w:ascii="Times New Roman" w:eastAsia="Yu Gothic" w:hAnsi="Times New Roman" w:cs="Times New Roman"/>
                <w:noProof/>
                <w:color w:val="000000"/>
                <w:sz w:val="20"/>
                <w:szCs w:val="20"/>
              </w:rPr>
              <w:t>Yang et al. (2019)</w:t>
            </w:r>
            <w:r w:rsidRPr="00627A28">
              <w:rPr>
                <w:rFonts w:ascii="Times New Roman" w:eastAsia="Yu Gothic" w:hAnsi="Times New Roman" w:cs="Times New Roman"/>
                <w:color w:val="000000"/>
                <w:sz w:val="20"/>
                <w:szCs w:val="20"/>
              </w:rPr>
              <w:fldChar w:fldCharType="end"/>
            </w:r>
          </w:p>
        </w:tc>
      </w:tr>
      <w:tr w:rsidR="00E82161" w:rsidRPr="00005F1A" w14:paraId="7AE8E080"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14DB7BE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24.5, 23.0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32DE1D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0.90, 1.50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3E4F3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B720E2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196D7B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DDB17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EDE7F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E9B2DF" w14:textId="20BD7930"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7FE64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9756</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5FB3419C" w14:textId="4DD9E3B8" w:rsidR="00E82161" w:rsidRPr="00FD2BBD" w:rsidRDefault="00E82161" w:rsidP="00E82161">
            <w:pPr>
              <w:jc w:val="center"/>
              <w:rPr>
                <w:rFonts w:ascii="Times New Roman" w:eastAsia="Yu Gothic" w:hAnsi="Times New Roman" w:cs="Times New Roman"/>
                <w:color w:val="000000"/>
                <w:sz w:val="20"/>
                <w:szCs w:val="20"/>
              </w:rPr>
            </w:pPr>
            <w:r w:rsidRPr="00627A2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{"citationID":"EFKtLJLf","properties":{"formattedCitation":"(Yang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627A28">
              <w:rPr>
                <w:rFonts w:ascii="Times New Roman" w:eastAsia="Yu Gothic" w:hAnsi="Times New Roman" w:cs="Times New Roman"/>
                <w:color w:val="000000"/>
                <w:sz w:val="20"/>
                <w:szCs w:val="20"/>
              </w:rPr>
              <w:fldChar w:fldCharType="separate"/>
            </w:r>
            <w:r w:rsidRPr="00627A28">
              <w:rPr>
                <w:rFonts w:ascii="Times New Roman" w:eastAsia="Yu Gothic" w:hAnsi="Times New Roman" w:cs="Times New Roman"/>
                <w:noProof/>
                <w:color w:val="000000"/>
                <w:sz w:val="20"/>
                <w:szCs w:val="20"/>
              </w:rPr>
              <w:t>Yang et al. (2019)</w:t>
            </w:r>
            <w:r w:rsidRPr="00627A28">
              <w:rPr>
                <w:rFonts w:ascii="Times New Roman" w:eastAsia="Yu Gothic" w:hAnsi="Times New Roman" w:cs="Times New Roman"/>
                <w:color w:val="000000"/>
                <w:sz w:val="20"/>
                <w:szCs w:val="20"/>
              </w:rPr>
              <w:fldChar w:fldCharType="end"/>
            </w:r>
          </w:p>
        </w:tc>
      </w:tr>
      <w:tr w:rsidR="00E82161" w:rsidRPr="00005F1A" w14:paraId="621653B6"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8801C9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24.0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D6617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1.60 </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66E9E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0.20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290A2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76767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DIC-DI</w:t>
            </w:r>
            <w:r w:rsidRPr="00FD2BBD">
              <w:rPr>
                <w:rFonts w:ascii="Times New Roman" w:eastAsia="Yu Gothic" w:hAnsi="Times New Roman" w:cs="Times New Roman"/>
                <w:color w:val="000000"/>
                <w:sz w:val="20"/>
                <w:szCs w:val="20"/>
                <w:vertAlign w:val="superscript"/>
              </w:rPr>
              <w:t>13</w:t>
            </w:r>
            <w:r w:rsidRPr="00FD2BBD">
              <w:rPr>
                <w:rFonts w:ascii="Times New Roman" w:eastAsia="Yu Gothic" w:hAnsi="Times New Roman" w:cs="Times New Roman"/>
                <w:color w:val="000000"/>
                <w:sz w:val="20"/>
                <w:szCs w:val="20"/>
              </w:rPr>
              <w:t>C</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AAC0D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B3DDC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4F080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1998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F5043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 A05</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0BAF6084" w14:textId="23EA2B61" w:rsidR="00E82161" w:rsidRPr="00FD2BBD" w:rsidRDefault="00E82161" w:rsidP="00E82161">
            <w:pPr>
              <w:jc w:val="center"/>
              <w:rPr>
                <w:rFonts w:ascii="Times New Roman" w:eastAsia="Yu Gothic" w:hAnsi="Times New Roman" w:cs="Times New Roman"/>
                <w:color w:val="000000"/>
                <w:sz w:val="20"/>
                <w:szCs w:val="20"/>
              </w:rPr>
            </w:pPr>
            <w:r w:rsidRPr="00627A2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{"citationID":"xEtPqF1g","properties":{"formattedCitation":"(Yang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627A28">
              <w:rPr>
                <w:rFonts w:ascii="Times New Roman" w:eastAsia="Yu Gothic" w:hAnsi="Times New Roman" w:cs="Times New Roman"/>
                <w:color w:val="000000"/>
                <w:sz w:val="20"/>
                <w:szCs w:val="20"/>
              </w:rPr>
              <w:fldChar w:fldCharType="separate"/>
            </w:r>
            <w:r w:rsidRPr="00627A28">
              <w:rPr>
                <w:rFonts w:ascii="Times New Roman" w:eastAsia="Yu Gothic" w:hAnsi="Times New Roman" w:cs="Times New Roman"/>
                <w:noProof/>
                <w:color w:val="000000"/>
                <w:sz w:val="20"/>
                <w:szCs w:val="20"/>
              </w:rPr>
              <w:t>Yang et al. (2019)</w:t>
            </w:r>
            <w:r w:rsidRPr="00627A28">
              <w:rPr>
                <w:rFonts w:ascii="Times New Roman" w:eastAsia="Yu Gothic" w:hAnsi="Times New Roman" w:cs="Times New Roman"/>
                <w:color w:val="000000"/>
                <w:sz w:val="20"/>
                <w:szCs w:val="20"/>
              </w:rPr>
              <w:fldChar w:fldCharType="end"/>
            </w:r>
          </w:p>
        </w:tc>
      </w:tr>
      <w:tr w:rsidR="00E82161" w:rsidRPr="00005F1A" w14:paraId="2E61B8E3" w14:textId="77777777" w:rsidTr="005C360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99FF180"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23.5, 23.0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800AFD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1.10, 0.60</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678E7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D2767B"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Max. MLD</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18062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B0EC3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763095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D6954B2" w14:textId="1FDEFCAF"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2016</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E31C8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 9754</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2FCB895E" w14:textId="004A06CF" w:rsidR="00E82161" w:rsidRPr="00FD2BBD" w:rsidRDefault="00E82161" w:rsidP="00E82161">
            <w:pPr>
              <w:jc w:val="center"/>
              <w:rPr>
                <w:rFonts w:ascii="Times New Roman" w:eastAsia="Yu Gothic" w:hAnsi="Times New Roman" w:cs="Times New Roman"/>
                <w:color w:val="000000"/>
                <w:sz w:val="20"/>
                <w:szCs w:val="20"/>
              </w:rPr>
            </w:pPr>
            <w:r w:rsidRPr="00627A28">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{"citationID":"hX5v1IMC","properties":{"formattedCitation":"(Yang et al. 2019)","plainCitation":"(Yang et al. 2019)","dontUpdate":true,"noteIndex":0},"citationItems":[{"id":1878,"uris":["http://zotero.org/users/7846282/items/P9ZTTS2L"],"itemData":{"id":1878,"type":"article-journal","abstract":"The ocean's biological organic carbon pump regulates the pCO2 of the atmosphere and helps maintain the oxygen distributions in the ocean. Global models of this flux are poorly verified with observations. We used upper-ocean budgets of O2 and the 13C/12C of dissolved inorganic carbon (DIC) to estimate the biological pump in the subtropical gyres. These two tracers yield, within errors, similar result ( 2.0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at three Northern Hemisphere subtropical locations. Values for three Southern Hemisphere subtropical regions are lower and more variable determined by the O2 mass balance than by the DI13C method (</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0.5 to 0.8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0.9 to 1.3 mol C·m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2·year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respectively). Both methods suggest that the subtropical ocean is, on the whole, autotropic. The gas exchange residence times of O2 and dissolved inorganic carbon result in different spatial and temporal averaging creating complementary tracers for biological pump model verification.","container-title":"Geophysical Research Letters","DOI":"10.1029/2018GL081239","ISSN":"1944-8007","issue":"10","language":"en","note":"_eprint: https://onlinelibrary.wiley.com/doi/pdf/10.1029/2018GL081239","page":"5361-5368","source":"Wiley Online Library","title":"The Subtropical Ocean's Biological Carbon Pump Determined From O2 and DIC/DI13C Tracers","volume":"46","author":[{"family":"Yang","given":"Bo"},{"family":"Emerson","given":"Steven R."},{"family":"Quay","given":"Paul D."}],"issued":{"date-parts":[["2019"]]}}}],"schema":"https://github.com/citation-style-language/schema/raw/master/csl-citation.json"} </w:instrText>
            </w:r>
            <w:r w:rsidRPr="00627A28">
              <w:rPr>
                <w:rFonts w:ascii="Times New Roman" w:eastAsia="Yu Gothic" w:hAnsi="Times New Roman" w:cs="Times New Roman"/>
                <w:color w:val="000000"/>
                <w:sz w:val="20"/>
                <w:szCs w:val="20"/>
              </w:rPr>
              <w:fldChar w:fldCharType="separate"/>
            </w:r>
            <w:r w:rsidRPr="00627A28">
              <w:rPr>
                <w:rFonts w:ascii="Times New Roman" w:eastAsia="Yu Gothic" w:hAnsi="Times New Roman" w:cs="Times New Roman"/>
                <w:noProof/>
                <w:color w:val="000000"/>
                <w:sz w:val="20"/>
                <w:szCs w:val="20"/>
              </w:rPr>
              <w:t>Yang et al. (2019)</w:t>
            </w:r>
            <w:r w:rsidRPr="00627A28">
              <w:rPr>
                <w:rFonts w:ascii="Times New Roman" w:eastAsia="Yu Gothic" w:hAnsi="Times New Roman" w:cs="Times New Roman"/>
                <w:color w:val="000000"/>
                <w:sz w:val="20"/>
                <w:szCs w:val="20"/>
              </w:rPr>
              <w:fldChar w:fldCharType="end"/>
            </w:r>
          </w:p>
        </w:tc>
      </w:tr>
      <w:tr w:rsidR="00E82161" w:rsidRPr="00005F1A" w14:paraId="53480E49" w14:textId="77777777" w:rsidTr="00F03FDD">
        <w:trPr>
          <w:trHeight w:val="57"/>
        </w:trPr>
        <w:tc>
          <w:tcPr>
            <w:tcW w:w="13989" w:type="dxa"/>
            <w:gridSpan w:val="10"/>
            <w:tcBorders>
              <w:top w:val="single" w:sz="4" w:space="0" w:color="BFBFBF" w:themeColor="background1" w:themeShade="BF"/>
              <w:left w:val="single" w:sz="4" w:space="0" w:color="000000" w:themeColor="text1"/>
              <w:bottom w:val="single" w:sz="4" w:space="0" w:color="000000" w:themeColor="text1"/>
              <w:right w:val="single" w:sz="4" w:space="0" w:color="000000" w:themeColor="text1"/>
            </w:tcBorders>
            <w:shd w:val="clear" w:color="auto" w:fill="auto"/>
            <w:vAlign w:val="center"/>
          </w:tcPr>
          <w:p w14:paraId="41757CF8" w14:textId="77777777" w:rsidR="00E82161" w:rsidRPr="00F03FDD" w:rsidRDefault="00E82161" w:rsidP="00E82161">
            <w:pPr>
              <w:jc w:val="center"/>
              <w:rPr>
                <w:rFonts w:ascii="Times New Roman" w:eastAsia="Yu Gothic" w:hAnsi="Times New Roman" w:cs="Times New Roman"/>
                <w:color w:val="000000"/>
              </w:rPr>
            </w:pPr>
          </w:p>
        </w:tc>
      </w:tr>
      <w:tr w:rsidR="00E82161" w:rsidRPr="00005F1A" w14:paraId="2E6BD979" w14:textId="77777777" w:rsidTr="00F03FDD">
        <w:trPr>
          <w:trHeight w:val="57"/>
        </w:trPr>
        <w:tc>
          <w:tcPr>
            <w:tcW w:w="139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CA715D" w14:textId="5E40AE2D" w:rsidR="00E82161" w:rsidRPr="00005F1A" w:rsidRDefault="00E82161" w:rsidP="00E82161">
            <w:pPr>
              <w:jc w:val="center"/>
              <w:rPr>
                <w:rFonts w:ascii="Times New Roman" w:eastAsia="Yu Gothic" w:hAnsi="Times New Roman" w:cs="Times New Roman"/>
                <w:color w:val="000000"/>
                <w:sz w:val="20"/>
                <w:szCs w:val="20"/>
              </w:rPr>
            </w:pPr>
            <w:r w:rsidRPr="00F03FDD">
              <w:rPr>
                <w:rFonts w:ascii="Times New Roman" w:eastAsia="Yu Gothic" w:hAnsi="Times New Roman" w:cs="Times New Roman" w:hint="eastAsia"/>
                <w:color w:val="000000"/>
              </w:rPr>
              <w:t>G</w:t>
            </w:r>
            <w:r w:rsidRPr="00F03FDD">
              <w:rPr>
                <w:rFonts w:ascii="Times New Roman" w:eastAsia="Yu Gothic" w:hAnsi="Times New Roman" w:cs="Times New Roman"/>
                <w:color w:val="000000"/>
              </w:rPr>
              <w:t>lobal</w:t>
            </w:r>
            <w:r w:rsidR="008A282F">
              <w:rPr>
                <w:rFonts w:ascii="Times New Roman" w:eastAsia="Yu Gothic" w:hAnsi="Times New Roman" w:cs="Times New Roman"/>
                <w:color w:val="000000"/>
              </w:rPr>
              <w:t xml:space="preserve"> Ocean</w:t>
            </w:r>
          </w:p>
        </w:tc>
      </w:tr>
      <w:tr w:rsidR="00E82161" w:rsidRPr="00005F1A" w14:paraId="0E792F40" w14:textId="77777777" w:rsidTr="00F03FDD">
        <w:trPr>
          <w:trHeight w:val="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085C6A" w14:textId="0EAAD2ED"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Latitude</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CE21E8" w14:textId="4A6A74AF"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ANCP</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F77B20" w14:textId="710B4C51"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SD or SE</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3B5D29" w14:textId="597BAB19"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xml:space="preserve">Depth </w:t>
            </w:r>
            <w:r w:rsidRPr="00E94D5F">
              <w:rPr>
                <w:rFonts w:ascii="Times New Roman" w:eastAsia="Yu Gothic" w:hAnsi="Times New Roman" w:cs="Times New Roman"/>
                <w:i/>
                <w:color w:val="000000"/>
                <w:sz w:val="20"/>
                <w:szCs w:val="20"/>
              </w:rPr>
              <w:t>H</w:t>
            </w:r>
          </w:p>
        </w:tc>
        <w:tc>
          <w:tcPr>
            <w:tcW w:w="10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719BE7" w14:textId="785FB8AB"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Tracer</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76B4A0" w14:textId="0B3C691E"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Method</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FC3173" w14:textId="27995414"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Platform</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1BBA7" w14:textId="403B553D"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Date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88DC53" w14:textId="3F41D40F"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Note for location</w:t>
            </w:r>
          </w:p>
        </w:tc>
        <w:tc>
          <w:tcPr>
            <w:tcW w:w="2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7909C9" w14:textId="5B71278D" w:rsidR="00E82161" w:rsidRPr="00005F1A"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Reference</w:t>
            </w:r>
          </w:p>
        </w:tc>
      </w:tr>
      <w:tr w:rsidR="00E82161" w:rsidRPr="00005F1A" w14:paraId="36DCD07A" w14:textId="77777777" w:rsidTr="00F03FDD">
        <w:trPr>
          <w:trHeight w:val="57"/>
        </w:trPr>
        <w:tc>
          <w:tcPr>
            <w:tcW w:w="1701" w:type="dxa"/>
            <w:tcBorders>
              <w:top w:val="single" w:sz="4" w:space="0" w:color="000000" w:themeColor="text1"/>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433AF2D5" w14:textId="2DE51CAA"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72.5,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77.5</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82B72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0.36, 0.61, 2.04, 1.56, 2.63, 1.98, 1.81, 1.82, 1.70, 1.70</w:t>
            </w:r>
          </w:p>
        </w:tc>
        <w:tc>
          <w:tcPr>
            <w:tcW w:w="153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CB97B4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0.16, 1.03, 0.61, 1.40, 0.87, 0.85, 0.92, 0.81, 0.84, 0.84</w:t>
            </w:r>
          </w:p>
        </w:tc>
        <w:tc>
          <w:tcPr>
            <w:tcW w:w="1110"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BC5040" w14:textId="4BF78082"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(200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D5F9D43"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20F07A"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Drawdown</w:t>
            </w:r>
          </w:p>
        </w:tc>
        <w:tc>
          <w:tcPr>
            <w:tcW w:w="954"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B649B1"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35EF2E" w14:textId="4989737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2013</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E25966C"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SOCCOM floats</w:t>
            </w:r>
          </w:p>
        </w:tc>
        <w:tc>
          <w:tcPr>
            <w:tcW w:w="2211" w:type="dxa"/>
            <w:tcBorders>
              <w:top w:val="single" w:sz="4" w:space="0" w:color="000000" w:themeColor="text1"/>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4308777D" w14:textId="5F8583D4"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{"citationID":"rgz6hwMI","properties":{"formattedCitation":"(Arteaga et al. 2019)","plainCitation":"(Arteaga et al. 2019)","dontUpdate":true,"noteIndex":0},"citationItems":[{"id":765,"uris":["http://zotero.org/users/7846282/items/8RDPA5PC"],"itemData":{"id":765,"type":"article-journal","abstract":"We use observations from novel biogeochemical profiling floats deployed by the Southern Ocean Carbon and Climate Observations and Modeling program to estimate annual net community production (ANCP; associated with carbon export) from the seasonal drawdown of mesopelagic oxygen and surface nitrate in the Southern Ocean. Our estimates agree with previous observations in showing an increase in ANCP in the vicinity of the polar front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compared to lower rates in the subtropical zone (≤ 1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the seasonal ice zone (&lt;2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Paradoxically, the increase in ANCP south of the subtropical front is associated with elevated surface nitrate and silicate concentrations, but decreasing surface iron. We hypothesize that iron limitation promotes silicification in diatoms, which is evidenced by the low silicate to nitrate ratio of surface waters around the Antarctic polar front. High diatom silicification increases the ballasting effect of particulate organic carbon and overall ANCP in this region. A model-based assessment of our methods shows a good agreement between ANCP estimates based on oxygen and nitrate drawdown and the modeled downward organic carbon flux at 100 m. This agreement supports the presumption that net biological consumption is the dominant process affecting the drawdown of these chemical tracers and that, given sufficient data, ANCP can be inferred from observations of oxygen and/or nitrate drawdown in the Southern Ocean.","container-title":"Global Biogeochemical Cycles","DOI":"10.1029/2019GB006236","ISSN":"0886-6236, 1944-9224","issue":"8","journalAbbreviation":"Global Biogeochem. Cycles","language":"en","page":"942-956","source":"DOI.org (Crossref)","title":"Nutrient Controls on Export Production in the Southern Ocean","volume":"33","author":[{"family":"Arteaga","given":"Lionel A."},{"family":"Pahlow","given":"Markus"},{"family":"Bushinsky","given":"Seth M."},{"family":"Sarmiento","given":"Jorge L."}],"issued":{"date-parts":[["2019",8]]}}}],"schema":"https://github.com/citation-style-language/schema/raw/master/csl-citation.json"}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Arteaga et al. (2019)</w:t>
            </w:r>
            <w:r>
              <w:rPr>
                <w:rFonts w:ascii="Times New Roman" w:eastAsia="Yu Gothic" w:hAnsi="Times New Roman" w:cs="Times New Roman"/>
                <w:color w:val="000000"/>
                <w:sz w:val="20"/>
                <w:szCs w:val="20"/>
              </w:rPr>
              <w:fldChar w:fldCharType="end"/>
            </w:r>
          </w:p>
        </w:tc>
      </w:tr>
      <w:tr w:rsidR="00E82161" w:rsidRPr="00005F1A" w14:paraId="2575EED5"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59868CCB" w14:textId="25E6CB81"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72.5,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77.5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9D43D7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1.19, 1.31, 2.13, 1.72, 2.69, 0.75, 0.89, 0.91, 0.89, 0.89</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E46990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0.59, 1.10, 0.78, 1.34, 0.56, 1.54, 1.13, 1.31, 1.18, 1.18</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56A88F9" w14:textId="718AB858"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(100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159F0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O</w:t>
            </w:r>
            <w:r w:rsidRPr="00FD2BBD">
              <w:rPr>
                <w:rFonts w:ascii="Times New Roman" w:eastAsia="Yu Gothic" w:hAnsi="Times New Roman" w:cs="Times New Roman"/>
                <w:color w:val="000000"/>
                <w:sz w:val="20"/>
                <w:szCs w:val="20"/>
                <w:vertAlign w:val="subscript"/>
              </w:rPr>
              <w:t>2</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F82E95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Subsurface change</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C3FB7D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37C2372" w14:textId="2219DA3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2013</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2018</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C68A7A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SOCCOM floats</w:t>
            </w: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5F57AD4" w14:textId="49E315CD"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{"citationID":"P8Ker4S8","properties":{"formattedCitation":"(Arteaga et al. 2019)","plainCitation":"(Arteaga et al. 2019)","dontUpdate":true,"noteIndex":0},"citationItems":[{"id":765,"uris":["http://zotero.org/users/7846282/items/8RDPA5PC"],"itemData":{"id":765,"type":"article-journal","abstract":"We use observations from novel biogeochemical profiling floats deployed by the Southern Ocean Carbon and Climate Observations and Modeling program to estimate annual net community production (ANCP; associated with carbon export) from the seasonal drawdown of mesopelagic oxygen and surface nitrate in the Southern Ocean. Our estimates agree with previous observations in showing an increase in ANCP in the vicinity of the polar front (</w:instrText>
            </w:r>
            <w:r>
              <w:rPr>
                <w:rFonts w:ascii="Cambria Math" w:eastAsia="Yu Gothic" w:hAnsi="Cambria Math" w:cs="Cambria Math"/>
                <w:color w:val="000000"/>
                <w:sz w:val="20"/>
                <w:szCs w:val="20"/>
              </w:rPr>
              <w:instrText>∼</w:instrText>
            </w:r>
            <w:r>
              <w:rPr>
                <w:rFonts w:ascii="Times New Roman" w:eastAsia="Yu Gothic" w:hAnsi="Times New Roman" w:cs="Times New Roman"/>
                <w:color w:val="000000"/>
                <w:sz w:val="20"/>
                <w:szCs w:val="20"/>
              </w:rPr>
              <w:instrText>3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compared to lower rates in the subtropical zone (≤ 1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and the seasonal ice zone (&lt;2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Paradoxically, the increase in ANCP south of the subtropical front is associated with elevated surface nitrate and silicate concentrations, but decreasing surface iron. We hypothesize that iron limitation promotes silicification in diatoms, which is evidenced by the low silicate to nitrate ratio of surface waters around the Antarctic polar front. High diatom silicification increases the ballasting effect of particulate organic carbon and overall ANCP in this region. A model-based assessment of our methods shows a good agreement between ANCP estimates based on oxygen and nitrate drawdown and the modeled downward organic carbon flux at 100 m. This agreement supports the presumption that net biological consumption is the dominant process affecting the drawdown of these chemical tracers and that, given sufficient data, ANCP can be inferred from observations of oxygen and/or nitrate drawdown in the Southern Ocean.","container-title":"Global Biogeochemical Cycles","DOI":"10.1029/2019GB006236","ISSN":"0886-6236, 1944-9224","issue":"8","journalAbbreviation":"Global Biogeochem. Cycles","language":"en","page":"942-956","source":"DOI.org (Crossref)","title":"Nutrient Controls on Export Production in the Southern Ocean","volume":"33","author":[{"family":"Arteaga","given":"Lionel A."},{"family":"Pahlow","given":"Markus"},{"family":"Bushinsky","given":"Seth M."},{"family":"Sarmiento","given":"Jorge L."}],"issued":{"date-parts":[["2019",8]]}}}],"schema":"https://github.com/citation-style-language/schema/raw/master/csl-citation.json"}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Arteaga et al. (2019)</w:t>
            </w:r>
            <w:r>
              <w:rPr>
                <w:rFonts w:ascii="Times New Roman" w:eastAsia="Yu Gothic" w:hAnsi="Times New Roman" w:cs="Times New Roman"/>
                <w:color w:val="000000"/>
                <w:sz w:val="20"/>
                <w:szCs w:val="20"/>
              </w:rPr>
              <w:fldChar w:fldCharType="end"/>
            </w:r>
          </w:p>
        </w:tc>
      </w:tr>
      <w:tr w:rsidR="00E82161" w:rsidRPr="00005F1A" w14:paraId="65EEFB68"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BFBFBF" w:themeColor="background1" w:themeShade="BF"/>
              <w:right w:val="single" w:sz="4" w:space="0" w:color="BFBFBF" w:themeColor="background1" w:themeShade="BF"/>
            </w:tcBorders>
            <w:shd w:val="clear" w:color="auto" w:fill="auto"/>
            <w:vAlign w:val="center"/>
            <w:hideMark/>
          </w:tcPr>
          <w:p w14:paraId="2B382CC7" w14:textId="7223BF30"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27.5,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lastRenderedPageBreak/>
              <w:t>67.5</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51A926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lastRenderedPageBreak/>
              <w:t>0.63, 0.76, 3.22, 3.15, 2.33, 2.78, 1.52, 1.86</w:t>
            </w:r>
          </w:p>
        </w:tc>
        <w:tc>
          <w:tcPr>
            <w:tcW w:w="1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76F5788"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 1.47, 1.00, 1.36, 1.35, -, 0.40, 0.68</w:t>
            </w:r>
          </w:p>
        </w:tc>
        <w:tc>
          <w:tcPr>
            <w:tcW w:w="11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7DB547" w14:textId="59FCF0DF"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Fix</w:t>
            </w:r>
            <w:r w:rsidR="006F3E44">
              <w:rPr>
                <w:rFonts w:ascii="Times New Roman" w:eastAsia="Yu Gothic" w:hAnsi="Times New Roman" w:cs="Times New Roman"/>
                <w:color w:val="000000"/>
                <w:sz w:val="20"/>
                <w:szCs w:val="20"/>
              </w:rPr>
              <w:t>ed</w:t>
            </w:r>
            <w:r w:rsidRPr="00FD2BBD">
              <w:rPr>
                <w:rFonts w:ascii="Times New Roman" w:eastAsia="Yu Gothic" w:hAnsi="Times New Roman" w:cs="Times New Roman"/>
                <w:color w:val="000000"/>
                <w:sz w:val="20"/>
                <w:szCs w:val="20"/>
              </w:rPr>
              <w:t xml:space="preserve"> (200</w:t>
            </w:r>
            <w:r w:rsidR="00C6505D">
              <w:rPr>
                <w:rFonts w:ascii="Times New Roman" w:eastAsia="Yu Gothic" w:hAnsi="Times New Roman" w:cs="Times New Roman"/>
                <w:color w:val="000000"/>
                <w:sz w:val="20"/>
                <w:szCs w:val="20"/>
              </w:rPr>
              <w:t xml:space="preserve"> </w:t>
            </w:r>
            <w:r w:rsidRPr="00FD2BBD">
              <w:rPr>
                <w:rFonts w:ascii="Times New Roman" w:eastAsia="Yu Gothic" w:hAnsi="Times New Roman" w:cs="Times New Roman"/>
                <w:color w:val="000000"/>
                <w:sz w:val="20"/>
                <w:szCs w:val="20"/>
              </w:rPr>
              <w:t>m)</w:t>
            </w:r>
          </w:p>
        </w:tc>
        <w:tc>
          <w:tcPr>
            <w:tcW w:w="10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A0397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7C94772"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Drawdown</w:t>
            </w:r>
          </w:p>
        </w:tc>
        <w:tc>
          <w:tcPr>
            <w:tcW w:w="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FC6C99D"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Float</w:t>
            </w:r>
          </w:p>
        </w:tc>
        <w:tc>
          <w:tcPr>
            <w:tcW w:w="10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83166C5" w14:textId="606A99F5"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2010</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2015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40927F" w14:textId="77777777" w:rsidR="00E82161" w:rsidRPr="00FD2BBD" w:rsidRDefault="00E82161" w:rsidP="00E82161">
            <w:pPr>
              <w:jc w:val="center"/>
              <w:rPr>
                <w:rFonts w:ascii="Times New Roman" w:eastAsia="Yu Gothic" w:hAnsi="Times New Roman" w:cs="Times New Roman"/>
                <w:color w:val="000000"/>
                <w:sz w:val="20"/>
                <w:szCs w:val="20"/>
              </w:rPr>
            </w:pPr>
          </w:p>
        </w:tc>
        <w:tc>
          <w:tcPr>
            <w:tcW w:w="221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000000" w:themeColor="text1"/>
            </w:tcBorders>
            <w:shd w:val="clear" w:color="auto" w:fill="auto"/>
            <w:vAlign w:val="center"/>
            <w:hideMark/>
          </w:tcPr>
          <w:p w14:paraId="3A40E070" w14:textId="77495CE3"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{"citationID":"jNNgpjJx","properties":{"formattedCitation":"(Johnson et al. 2017)","plainCitation":"(Johnson et al. 2017)","dontUpdate":true,"noteIndex":0},"citationItems":[{"id":2185,"uris":["http://zotero.org/users/7846282/items/FJ5Y8YTJ"],"itemData":{"id":2185,"type":"article-journal","abstract":"Annual nitrate cycles have been measured throughout the pelagic waters of the Southern Ocean, including regions with seasonal ice cover and southern hemisphere subtropical zones. Vertically resolved nitrate measurements were made using in situ ultraviolet spectrophotometer (ISUS) and submersible ultraviolet nitrate analyzer (SUNA) optical nitrate sensors deployed on profiling floats. Thirty-one floats returned 40 complete annual cycles. The mean nitrate profile from the month with the highest winter nitrate minus the mean profile from the month with the lowest nitrate yields the annual nitrate drawdown. This quantity was integrated to 200 m depth and converted to carbon using the Redfield ratio to estimate annual net community production (ANCP) throughout the Southern Ocean south of 30°S. A well-defined, zonal mean distribution is found with highest values (3–4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from 40 to 50°S. Lowest values are found in the subtropics and in the seasonal ice zone. The area weighted mean was 2.9 mol C 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for all regions south of 40°S. Cumulative ANCP south of 50°S is 1.3 Pg C 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This represents about 13% of global ANCP in about 14% of the global ocean area.","container-title":"Journal of Geophysical Research: Oceans","DOI":"10.1002/2017JC012839","ISSN":"2169-9291","issue":"8","language":"en","note":"_eprint: https://onlinelibrary.wiley.com/doi/pdf/10.1002/2017JC012839","page":"6668-6683","source":"Wiley Online Library","title":"Annual nitrate drawdown observed by SOCCOM profiling floats and the relationship to annual net community production","volume":"122","author":[{"family":"Johnson","given":"Kenneth S."},{"family":"Plant","given":"Joshua N."},{"family":"Dunne","given":"John P."},{"family":"Talley","given":"Lynne D."},{"family":"Sarmiento","given":"Jorge L."}],"issued":{"date-parts":[["2017"]]}}}],"schema":"https://github.com/citation-style-language/schema/raw/master/csl-citation.json"}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Johnson et al. (2017)</w:t>
            </w:r>
            <w:r>
              <w:rPr>
                <w:rFonts w:ascii="Times New Roman" w:eastAsia="Yu Gothic" w:hAnsi="Times New Roman" w:cs="Times New Roman"/>
                <w:color w:val="000000"/>
                <w:sz w:val="20"/>
                <w:szCs w:val="20"/>
              </w:rPr>
              <w:fldChar w:fldCharType="end"/>
            </w:r>
          </w:p>
        </w:tc>
      </w:tr>
      <w:tr w:rsidR="00E82161" w:rsidRPr="00005F1A" w14:paraId="47FEE5EF" w14:textId="77777777" w:rsidTr="00F03FDD">
        <w:trPr>
          <w:trHeight w:val="57"/>
        </w:trPr>
        <w:tc>
          <w:tcPr>
            <w:tcW w:w="1701" w:type="dxa"/>
            <w:tcBorders>
              <w:top w:val="single" w:sz="4" w:space="0" w:color="BFBFBF" w:themeColor="background1" w:themeShade="BF"/>
              <w:left w:val="single" w:sz="4" w:space="0" w:color="000000" w:themeColor="text1"/>
              <w:bottom w:val="single" w:sz="4" w:space="0" w:color="000000" w:themeColor="text1"/>
              <w:right w:val="single" w:sz="4" w:space="0" w:color="BFBFBF" w:themeColor="background1" w:themeShade="BF"/>
            </w:tcBorders>
            <w:shd w:val="clear" w:color="auto" w:fill="auto"/>
            <w:vAlign w:val="center"/>
            <w:hideMark/>
          </w:tcPr>
          <w:p w14:paraId="6CF2E841" w14:textId="5E6BFE82" w:rsidR="00E82161" w:rsidRPr="00FD2BBD" w:rsidRDefault="00C6505D"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37.5,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47.5,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57.5,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67.5,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 xml:space="preserve">72.5, </w:t>
            </w:r>
            <w:r>
              <w:rPr>
                <w:rFonts w:ascii="Times New Roman" w:eastAsia="Yu Gothic" w:hAnsi="Times New Roman" w:cs="Times New Roman"/>
                <w:color w:val="000000"/>
                <w:sz w:val="20"/>
                <w:szCs w:val="20"/>
              </w:rPr>
              <w:t>–</w:t>
            </w:r>
            <w:r w:rsidR="00E82161" w:rsidRPr="00FD2BBD">
              <w:rPr>
                <w:rFonts w:ascii="Times New Roman" w:eastAsia="Yu Gothic" w:hAnsi="Times New Roman" w:cs="Times New Roman"/>
                <w:color w:val="000000"/>
                <w:sz w:val="20"/>
                <w:szCs w:val="20"/>
              </w:rPr>
              <w:t>77.5</w:t>
            </w:r>
          </w:p>
        </w:tc>
        <w:tc>
          <w:tcPr>
            <w:tcW w:w="1531"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3DC4FCF9"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0.81, 2.08, 4.02, 3.64, 0.69, 1.06, 0.83, 0.17, 0.17</w:t>
            </w:r>
          </w:p>
        </w:tc>
        <w:tc>
          <w:tcPr>
            <w:tcW w:w="1531"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4929C3EF"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0.42, 1.15, 1.76, 2.52, 2.33, 1.30, 1.18, 4.39, 3.59</w:t>
            </w:r>
          </w:p>
        </w:tc>
        <w:tc>
          <w:tcPr>
            <w:tcW w:w="1110"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624E7BB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MLD</w:t>
            </w:r>
          </w:p>
        </w:tc>
        <w:tc>
          <w:tcPr>
            <w:tcW w:w="1086"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77EE12A5"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NO</w:t>
            </w:r>
            <w:r w:rsidRPr="00FD2BBD">
              <w:rPr>
                <w:rFonts w:ascii="Times New Roman" w:eastAsia="Yu Gothic" w:hAnsi="Times New Roman" w:cs="Times New Roman"/>
                <w:color w:val="000000"/>
                <w:sz w:val="20"/>
                <w:szCs w:val="20"/>
                <w:vertAlign w:val="subscript"/>
              </w:rPr>
              <w:t>3</w:t>
            </w:r>
          </w:p>
        </w:tc>
        <w:tc>
          <w:tcPr>
            <w:tcW w:w="1087"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034E2FFE"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Budget</w:t>
            </w:r>
          </w:p>
        </w:tc>
        <w:tc>
          <w:tcPr>
            <w:tcW w:w="954"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6993D3E6"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Ship</w:t>
            </w:r>
          </w:p>
        </w:tc>
        <w:tc>
          <w:tcPr>
            <w:tcW w:w="1077"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67351A56" w14:textId="700F9D89"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1980</w:t>
            </w:r>
            <w:r w:rsidR="00C6505D">
              <w:rPr>
                <w:rFonts w:ascii="Times New Roman" w:eastAsia="Yu Gothic" w:hAnsi="Times New Roman" w:cs="Times New Roman"/>
                <w:color w:val="000000"/>
                <w:sz w:val="20"/>
                <w:szCs w:val="20"/>
              </w:rPr>
              <w:t>–</w:t>
            </w:r>
            <w:r w:rsidRPr="00FD2BBD">
              <w:rPr>
                <w:rFonts w:ascii="Times New Roman" w:eastAsia="Yu Gothic" w:hAnsi="Times New Roman" w:cs="Times New Roman"/>
                <w:color w:val="000000"/>
                <w:sz w:val="20"/>
                <w:szCs w:val="20"/>
              </w:rPr>
              <w:t>1990s</w:t>
            </w:r>
          </w:p>
        </w:tc>
        <w:tc>
          <w:tcPr>
            <w:tcW w:w="1701" w:type="dxa"/>
            <w:tcBorders>
              <w:top w:val="single" w:sz="4" w:space="0" w:color="BFBFBF" w:themeColor="background1" w:themeShade="BF"/>
              <w:left w:val="single" w:sz="4" w:space="0" w:color="BFBFBF" w:themeColor="background1" w:themeShade="BF"/>
              <w:bottom w:val="single" w:sz="4" w:space="0" w:color="000000" w:themeColor="text1"/>
              <w:right w:val="single" w:sz="4" w:space="0" w:color="BFBFBF" w:themeColor="background1" w:themeShade="BF"/>
            </w:tcBorders>
            <w:shd w:val="clear" w:color="auto" w:fill="auto"/>
            <w:vAlign w:val="center"/>
            <w:hideMark/>
          </w:tcPr>
          <w:p w14:paraId="7B4048C7" w14:textId="77777777" w:rsidR="00E82161" w:rsidRPr="00FD2BBD" w:rsidRDefault="00E82161" w:rsidP="00E82161">
            <w:pPr>
              <w:jc w:val="center"/>
              <w:rPr>
                <w:rFonts w:ascii="Times New Roman" w:eastAsia="Yu Gothic" w:hAnsi="Times New Roman" w:cs="Times New Roman"/>
                <w:color w:val="000000"/>
                <w:sz w:val="20"/>
                <w:szCs w:val="20"/>
              </w:rPr>
            </w:pPr>
            <w:r w:rsidRPr="00FD2BBD">
              <w:rPr>
                <w:rFonts w:ascii="Times New Roman" w:eastAsia="Yu Gothic" w:hAnsi="Times New Roman" w:cs="Times New Roman"/>
                <w:color w:val="000000"/>
                <w:sz w:val="20"/>
                <w:szCs w:val="20"/>
              </w:rPr>
              <w:t>WOCE/US JGOFS</w:t>
            </w:r>
          </w:p>
        </w:tc>
        <w:tc>
          <w:tcPr>
            <w:tcW w:w="2211" w:type="dxa"/>
            <w:tcBorders>
              <w:top w:val="single" w:sz="4" w:space="0" w:color="BFBFBF" w:themeColor="background1" w:themeShade="BF"/>
              <w:left w:val="single" w:sz="4" w:space="0" w:color="BFBFBF" w:themeColor="background1" w:themeShade="BF"/>
              <w:bottom w:val="single" w:sz="4" w:space="0" w:color="000000" w:themeColor="text1"/>
              <w:right w:val="single" w:sz="4" w:space="0" w:color="000000" w:themeColor="text1"/>
            </w:tcBorders>
            <w:shd w:val="clear" w:color="auto" w:fill="auto"/>
            <w:vAlign w:val="center"/>
            <w:hideMark/>
          </w:tcPr>
          <w:p w14:paraId="6C34FDF1" w14:textId="52228089" w:rsidR="00E82161" w:rsidRPr="00FD2BBD" w:rsidRDefault="00E82161" w:rsidP="00E82161">
            <w:pPr>
              <w:jc w:val="center"/>
              <w:rPr>
                <w:rFonts w:ascii="Times New Roman" w:eastAsia="Yu Gothic" w:hAnsi="Times New Roman" w:cs="Times New Roman"/>
                <w:color w:val="000000"/>
                <w:sz w:val="20"/>
                <w:szCs w:val="20"/>
              </w:rPr>
            </w:pPr>
            <w:r>
              <w:rPr>
                <w:rFonts w:ascii="Times New Roman" w:eastAsia="Yu Gothic" w:hAnsi="Times New Roman" w:cs="Times New Roman"/>
                <w:color w:val="000000"/>
                <w:sz w:val="20"/>
                <w:szCs w:val="20"/>
              </w:rPr>
              <w:fldChar w:fldCharType="begin"/>
            </w:r>
            <w:r>
              <w:rPr>
                <w:rFonts w:ascii="Times New Roman" w:eastAsia="Yu Gothic" w:hAnsi="Times New Roman" w:cs="Times New Roman"/>
                <w:color w:val="000000"/>
                <w:sz w:val="20"/>
                <w:szCs w:val="20"/>
              </w:rPr>
              <w:instrText xml:space="preserve"> ADDIN ZOTERO_ITEM CSL_CITATION {"citationID":"ZqRoEptw","properties":{"formattedCitation":"(MacCready and Quay 2001)","plainCitation":"(MacCready and Quay 2001)","dontUpdate":true,"noteIndex":0},"citationItems":[{"id":2394,"uris":["http://zotero.org/users/7846282/items/UVP252WK"],"itemData":{"id":2394,"type":"article-journal","abstract":"Diagnostic budgets for heat and nitrate in the Southern Ocean mixed layer are constructed from monthly variation of properties between 80°S and 35°S. The budgets are evaluated using historical CTD and bottle data, including those from WOCE and US JGOFS cruises in the 1990s. A consistent feature in the nitrate budget at all latitudes is the net loss to biological production in the spring/summer. Typical maximum spring nitrate utilization rates are predicted to be 10–20mmol Nm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near Antarctica (south of 70°S) and 4mmol Nm</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2d</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north of 70°S. South of 55°S much of the nitrate lost to biological production in spring/summer is offset by apparent nitrate production (remineralization) in the mixed layer during the fall/winter. This predicted remineralization, however, may be an artifact of the model and/or limited wintertime data. The annually averaged, area-integrated biological carbon export flux south of 50°S is dominated by the region north of the Polar Front, and is estimated to be 0.9±1.2Gt Cyr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assuming a Redfield ratio C/N=6.6. Integrating over the area south of 40°S this flux is increased to 2.0±1.7Gt Cyr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1. However, if we assume that the predicted fall/winter remineralization is in error, and that unresolved physical processes completely replenish the mixed-layer nitrate, then the annual average, area-integrated biological export flux to 50°S increases from 0.9 to 2.2GtCyr</w:instrText>
            </w:r>
            <w:r>
              <w:rPr>
                <w:rFonts w:ascii="Times New Roman" w:eastAsia="Yu Gothic" w:hAnsi="Times New Roman" w:cs="Times New Roman" w:hint="eastAsia"/>
                <w:color w:val="000000"/>
                <w:sz w:val="20"/>
                <w:szCs w:val="20"/>
              </w:rPr>
              <w:instrText>−</w:instrText>
            </w:r>
            <w:r>
              <w:rPr>
                <w:rFonts w:ascii="Times New Roman" w:eastAsia="Yu Gothic" w:hAnsi="Times New Roman" w:cs="Times New Roman"/>
                <w:color w:val="000000"/>
                <w:sz w:val="20"/>
                <w:szCs w:val="20"/>
              </w:rPr>
              <w:instrText xml:space="preserve">1. These results suggest that the Southern Ocean makes a small contribution (&lt;15%) to the global ocean's biological pump. The current lack of wintertime hydrographic and nutrient data is the biggest limitation to closing the nitrate budget in the Southern Ocean.","collection-title":"US Southern Ocean JGOFS Program (AESOPS) - Part II","container-title":"Deep Sea Research Part II: Topical Studies in Oceanography","DOI":"10.1016/S0967-0645(01)00090-X","ISSN":"0967-0645","issue":"19","journalAbbreviation":"Deep Sea Research Part II: Topical Studies in Oceanography","language":"en","page":"4299-4322","source":"ScienceDirect","title":"Biological export flux in the Southern Ocean estimated from a climatological nitrate budget","volume":"48","author":[{"family":"MacCready","given":"Parker"},{"family":"Quay","given":"Paul"}],"issued":{"date-parts":[["2001",1,1]]}}}],"schema":"https://github.com/citation-style-language/schema/raw/master/csl-citation.json"} </w:instrText>
            </w:r>
            <w:r>
              <w:rPr>
                <w:rFonts w:ascii="Times New Roman" w:eastAsia="Yu Gothic" w:hAnsi="Times New Roman" w:cs="Times New Roman"/>
                <w:color w:val="000000"/>
                <w:sz w:val="20"/>
                <w:szCs w:val="20"/>
              </w:rPr>
              <w:fldChar w:fldCharType="separate"/>
            </w:r>
            <w:r>
              <w:rPr>
                <w:rFonts w:ascii="Times New Roman" w:eastAsia="Yu Gothic" w:hAnsi="Times New Roman" w:cs="Times New Roman"/>
                <w:noProof/>
                <w:color w:val="000000"/>
                <w:sz w:val="20"/>
                <w:szCs w:val="20"/>
              </w:rPr>
              <w:t>MacCready and Quay (2001)</w:t>
            </w:r>
            <w:r>
              <w:rPr>
                <w:rFonts w:ascii="Times New Roman" w:eastAsia="Yu Gothic" w:hAnsi="Times New Roman" w:cs="Times New Roman"/>
                <w:color w:val="000000"/>
                <w:sz w:val="20"/>
                <w:szCs w:val="20"/>
              </w:rPr>
              <w:fldChar w:fldCharType="end"/>
            </w:r>
          </w:p>
        </w:tc>
      </w:tr>
    </w:tbl>
    <w:p w14:paraId="5FC71A08" w14:textId="79A4F216" w:rsidR="008A282F" w:rsidRDefault="0019530D" w:rsidP="0019530D">
      <w:pPr>
        <w:jc w:val="both"/>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he list is separated into three ocean basins and </w:t>
      </w:r>
      <w:r w:rsidR="008A282F">
        <w:rPr>
          <w:rFonts w:ascii="Times New Roman" w:hAnsi="Times New Roman" w:cs="Times New Roman"/>
        </w:rPr>
        <w:t xml:space="preserve">the </w:t>
      </w:r>
      <w:r>
        <w:rPr>
          <w:rFonts w:ascii="Times New Roman" w:hAnsi="Times New Roman" w:cs="Times New Roman"/>
        </w:rPr>
        <w:t xml:space="preserve">global </w:t>
      </w:r>
      <w:r w:rsidR="008A282F">
        <w:rPr>
          <w:rFonts w:ascii="Times New Roman" w:hAnsi="Times New Roman" w:cs="Times New Roman"/>
        </w:rPr>
        <w:t>ocean</w:t>
      </w:r>
      <w:r>
        <w:rPr>
          <w:rFonts w:ascii="Times New Roman" w:hAnsi="Times New Roman" w:cs="Times New Roman"/>
        </w:rPr>
        <w:t>, correspond</w:t>
      </w:r>
      <w:r w:rsidR="00124909">
        <w:rPr>
          <w:rFonts w:ascii="Times New Roman" w:hAnsi="Times New Roman" w:cs="Times New Roman"/>
        </w:rPr>
        <w:t>ing</w:t>
      </w:r>
      <w:r>
        <w:rPr>
          <w:rFonts w:ascii="Times New Roman" w:hAnsi="Times New Roman" w:cs="Times New Roman"/>
        </w:rPr>
        <w:t xml:space="preserve"> to panel</w:t>
      </w:r>
      <w:r w:rsidR="008A282F">
        <w:rPr>
          <w:rFonts w:ascii="Times New Roman" w:hAnsi="Times New Roman" w:cs="Times New Roman"/>
        </w:rPr>
        <w:t>s</w:t>
      </w:r>
      <w:r>
        <w:rPr>
          <w:rFonts w:ascii="Times New Roman" w:hAnsi="Times New Roman" w:cs="Times New Roman"/>
        </w:rPr>
        <w:t xml:space="preserve"> </w:t>
      </w:r>
      <w:r w:rsidR="00124909">
        <w:rPr>
          <w:rFonts w:ascii="Times New Roman" w:hAnsi="Times New Roman" w:cs="Times New Roman"/>
        </w:rPr>
        <w:t xml:space="preserve">c–f </w:t>
      </w:r>
      <w:r>
        <w:rPr>
          <w:rFonts w:ascii="Times New Roman" w:hAnsi="Times New Roman" w:cs="Times New Roman"/>
        </w:rPr>
        <w:t>in Fig. 2</w:t>
      </w:r>
      <w:r w:rsidR="00124909">
        <w:rPr>
          <w:rFonts w:ascii="Times New Roman" w:hAnsi="Times New Roman" w:cs="Times New Roman"/>
        </w:rPr>
        <w:t xml:space="preserve"> in the main text</w:t>
      </w:r>
      <w:r>
        <w:rPr>
          <w:rFonts w:ascii="Times New Roman" w:hAnsi="Times New Roman" w:cs="Times New Roman"/>
        </w:rPr>
        <w:t xml:space="preserve"> (c</w:t>
      </w:r>
      <w:r w:rsidR="008A282F">
        <w:rPr>
          <w:rFonts w:ascii="Times New Roman" w:hAnsi="Times New Roman" w:cs="Times New Roman"/>
        </w:rPr>
        <w:t>,</w:t>
      </w:r>
      <w:r>
        <w:rPr>
          <w:rFonts w:ascii="Times New Roman" w:hAnsi="Times New Roman" w:cs="Times New Roman"/>
        </w:rPr>
        <w:t xml:space="preserve"> Indian Ocean</w:t>
      </w:r>
      <w:r w:rsidR="008A282F">
        <w:rPr>
          <w:rFonts w:ascii="Times New Roman" w:hAnsi="Times New Roman" w:cs="Times New Roman"/>
        </w:rPr>
        <w:t>;</w:t>
      </w:r>
      <w:r>
        <w:rPr>
          <w:rFonts w:ascii="Times New Roman" w:hAnsi="Times New Roman" w:cs="Times New Roman"/>
        </w:rPr>
        <w:t xml:space="preserve"> d</w:t>
      </w:r>
      <w:r w:rsidR="008A282F">
        <w:rPr>
          <w:rFonts w:ascii="Times New Roman" w:hAnsi="Times New Roman" w:cs="Times New Roman"/>
        </w:rPr>
        <w:t>,</w:t>
      </w:r>
      <w:r>
        <w:rPr>
          <w:rFonts w:ascii="Times New Roman" w:hAnsi="Times New Roman" w:cs="Times New Roman"/>
        </w:rPr>
        <w:t xml:space="preserve"> Pacific</w:t>
      </w:r>
      <w:r w:rsidR="008A282F">
        <w:rPr>
          <w:rFonts w:ascii="Times New Roman" w:hAnsi="Times New Roman" w:cs="Times New Roman"/>
        </w:rPr>
        <w:t>;</w:t>
      </w:r>
      <w:r>
        <w:rPr>
          <w:rFonts w:ascii="Times New Roman" w:hAnsi="Times New Roman" w:cs="Times New Roman"/>
        </w:rPr>
        <w:t xml:space="preserve"> e</w:t>
      </w:r>
      <w:r w:rsidR="008A282F">
        <w:rPr>
          <w:rFonts w:ascii="Times New Roman" w:hAnsi="Times New Roman" w:cs="Times New Roman"/>
        </w:rPr>
        <w:t>,</w:t>
      </w:r>
      <w:r>
        <w:rPr>
          <w:rFonts w:ascii="Times New Roman" w:hAnsi="Times New Roman" w:cs="Times New Roman"/>
        </w:rPr>
        <w:t xml:space="preserve"> Atlantic</w:t>
      </w:r>
      <w:r w:rsidR="008A282F">
        <w:rPr>
          <w:rFonts w:ascii="Times New Roman" w:hAnsi="Times New Roman" w:cs="Times New Roman"/>
        </w:rPr>
        <w:t>;</w:t>
      </w:r>
      <w:r>
        <w:rPr>
          <w:rFonts w:ascii="Times New Roman" w:hAnsi="Times New Roman" w:cs="Times New Roman"/>
        </w:rPr>
        <w:t xml:space="preserve"> f</w:t>
      </w:r>
      <w:r w:rsidR="008A282F">
        <w:rPr>
          <w:rFonts w:ascii="Times New Roman" w:hAnsi="Times New Roman" w:cs="Times New Roman"/>
        </w:rPr>
        <w:t>,</w:t>
      </w:r>
      <w:r>
        <w:rPr>
          <w:rFonts w:ascii="Times New Roman" w:hAnsi="Times New Roman" w:cs="Times New Roman"/>
        </w:rPr>
        <w:t xml:space="preserve"> Global). </w:t>
      </w:r>
    </w:p>
    <w:p w14:paraId="0771C208" w14:textId="30B6185E" w:rsidR="006018E9" w:rsidRPr="00A961B2" w:rsidRDefault="0019530D" w:rsidP="0019530D">
      <w:pPr>
        <w:jc w:val="both"/>
        <w:rPr>
          <w:rFonts w:ascii="Times New Roman" w:hAnsi="Times New Roman" w:cs="Times New Roman"/>
        </w:rPr>
      </w:pPr>
      <w:r>
        <w:rPr>
          <w:rFonts w:ascii="Times New Roman" w:hAnsi="Times New Roman" w:cs="Times New Roman"/>
        </w:rPr>
        <w:t>ANCP</w:t>
      </w:r>
      <w:r w:rsidR="008A282F">
        <w:rPr>
          <w:rFonts w:ascii="Times New Roman" w:hAnsi="Times New Roman" w:cs="Times New Roman"/>
        </w:rPr>
        <w:t xml:space="preserve">, </w:t>
      </w:r>
      <w:r w:rsidR="001D1D5C">
        <w:rPr>
          <w:rFonts w:ascii="Times New Roman" w:hAnsi="Times New Roman" w:cs="Times New Roman"/>
        </w:rPr>
        <w:t>a</w:t>
      </w:r>
      <w:r>
        <w:rPr>
          <w:rFonts w:ascii="Times New Roman" w:hAnsi="Times New Roman" w:cs="Times New Roman"/>
        </w:rPr>
        <w:t>nnual net community production</w:t>
      </w:r>
      <w:r w:rsidR="008A282F">
        <w:rPr>
          <w:rFonts w:ascii="Times New Roman" w:hAnsi="Times New Roman" w:cs="Times New Roman"/>
        </w:rPr>
        <w:t>;</w:t>
      </w:r>
      <w:r>
        <w:rPr>
          <w:rFonts w:ascii="Times New Roman" w:hAnsi="Times New Roman" w:cs="Times New Roman"/>
        </w:rPr>
        <w:t xml:space="preserve"> SD</w:t>
      </w:r>
      <w:r w:rsidR="008A282F">
        <w:rPr>
          <w:rFonts w:ascii="Times New Roman" w:hAnsi="Times New Roman" w:cs="Times New Roman"/>
        </w:rPr>
        <w:t xml:space="preserve">, </w:t>
      </w:r>
      <w:r w:rsidR="001D1D5C">
        <w:rPr>
          <w:rFonts w:ascii="Times New Roman" w:hAnsi="Times New Roman" w:cs="Times New Roman"/>
        </w:rPr>
        <w:t>s</w:t>
      </w:r>
      <w:r>
        <w:rPr>
          <w:rFonts w:ascii="Times New Roman" w:hAnsi="Times New Roman" w:cs="Times New Roman"/>
        </w:rPr>
        <w:t>tandard deviation</w:t>
      </w:r>
      <w:r w:rsidR="008A282F">
        <w:rPr>
          <w:rFonts w:ascii="Times New Roman" w:hAnsi="Times New Roman" w:cs="Times New Roman"/>
        </w:rPr>
        <w:t>;</w:t>
      </w:r>
      <w:r>
        <w:rPr>
          <w:rFonts w:ascii="Times New Roman" w:hAnsi="Times New Roman" w:cs="Times New Roman"/>
        </w:rPr>
        <w:t xml:space="preserve"> SE</w:t>
      </w:r>
      <w:r w:rsidR="008A282F">
        <w:rPr>
          <w:rFonts w:ascii="Times New Roman" w:hAnsi="Times New Roman" w:cs="Times New Roman"/>
        </w:rPr>
        <w:t xml:space="preserve">, </w:t>
      </w:r>
      <w:r w:rsidR="001D1D5C">
        <w:rPr>
          <w:rFonts w:ascii="Times New Roman" w:hAnsi="Times New Roman" w:cs="Times New Roman"/>
        </w:rPr>
        <w:t>s</w:t>
      </w:r>
      <w:r>
        <w:rPr>
          <w:rFonts w:ascii="Times New Roman" w:hAnsi="Times New Roman" w:cs="Times New Roman"/>
        </w:rPr>
        <w:t>tandard error</w:t>
      </w:r>
      <w:r w:rsidR="008A282F">
        <w:rPr>
          <w:rFonts w:ascii="Times New Roman" w:hAnsi="Times New Roman" w:cs="Times New Roman"/>
        </w:rPr>
        <w:t>;</w:t>
      </w:r>
      <w:r>
        <w:rPr>
          <w:rFonts w:ascii="Times New Roman" w:hAnsi="Times New Roman" w:cs="Times New Roman"/>
        </w:rPr>
        <w:t xml:space="preserve"> MLD</w:t>
      </w:r>
      <w:r w:rsidR="008A282F">
        <w:rPr>
          <w:rFonts w:ascii="Times New Roman" w:hAnsi="Times New Roman" w:cs="Times New Roman"/>
        </w:rPr>
        <w:t xml:space="preserve">. </w:t>
      </w:r>
      <w:r w:rsidR="001D1D5C">
        <w:rPr>
          <w:rFonts w:ascii="Times New Roman" w:hAnsi="Times New Roman" w:cs="Times New Roman"/>
        </w:rPr>
        <w:t>m</w:t>
      </w:r>
      <w:r>
        <w:rPr>
          <w:rFonts w:ascii="Times New Roman" w:hAnsi="Times New Roman" w:cs="Times New Roman"/>
        </w:rPr>
        <w:t>ixed layer depth</w:t>
      </w:r>
      <w:r w:rsidR="008A282F">
        <w:rPr>
          <w:rFonts w:ascii="Times New Roman" w:hAnsi="Times New Roman" w:cs="Times New Roman"/>
        </w:rPr>
        <w:t>;</w:t>
      </w:r>
      <w:r>
        <w:rPr>
          <w:rFonts w:ascii="Times New Roman" w:hAnsi="Times New Roman" w:cs="Times New Roman"/>
        </w:rPr>
        <w:t xml:space="preserve"> </w:t>
      </w:r>
      <w:proofErr w:type="spellStart"/>
      <w:r w:rsidR="00B42DA3" w:rsidRPr="00E94D5F">
        <w:rPr>
          <w:rFonts w:ascii="Times New Roman" w:eastAsia="Yu Gothic" w:hAnsi="Times New Roman" w:cs="Times New Roman"/>
          <w:i/>
          <w:iCs/>
          <w:color w:val="000000"/>
          <w:sz w:val="22"/>
          <w:szCs w:val="22"/>
        </w:rPr>
        <w:t>Z</w:t>
      </w:r>
      <w:r w:rsidR="00B42DA3" w:rsidRPr="00E94D5F">
        <w:rPr>
          <w:rFonts w:ascii="Times New Roman" w:eastAsia="Yu Gothic" w:hAnsi="Times New Roman" w:cs="Times New Roman"/>
          <w:color w:val="000000"/>
          <w:sz w:val="22"/>
          <w:szCs w:val="22"/>
          <w:vertAlign w:val="subscript"/>
        </w:rPr>
        <w:t>eu</w:t>
      </w:r>
      <w:proofErr w:type="spellEnd"/>
      <w:r w:rsidR="008A282F">
        <w:rPr>
          <w:rFonts w:ascii="Times New Roman" w:hAnsi="Times New Roman" w:cs="Times New Roman"/>
        </w:rPr>
        <w:t xml:space="preserve">, </w:t>
      </w:r>
      <w:r w:rsidR="001D1D5C">
        <w:rPr>
          <w:rFonts w:ascii="Times New Roman" w:hAnsi="Times New Roman" w:cs="Times New Roman"/>
        </w:rPr>
        <w:t>e</w:t>
      </w:r>
      <w:r w:rsidR="00B42DA3">
        <w:rPr>
          <w:rFonts w:ascii="Times New Roman" w:hAnsi="Times New Roman" w:cs="Times New Roman"/>
        </w:rPr>
        <w:t>uphotic layer depth</w:t>
      </w:r>
      <w:r w:rsidR="008A282F">
        <w:rPr>
          <w:rFonts w:ascii="Times New Roman" w:hAnsi="Times New Roman" w:cs="Times New Roman"/>
        </w:rPr>
        <w:t>;</w:t>
      </w:r>
      <w:r w:rsidR="00B42DA3">
        <w:rPr>
          <w:rFonts w:ascii="Times New Roman" w:hAnsi="Times New Roman" w:cs="Times New Roman"/>
        </w:rPr>
        <w:t xml:space="preserve"> </w:t>
      </w:r>
      <w:r>
        <w:rPr>
          <w:rFonts w:ascii="Times New Roman" w:hAnsi="Times New Roman" w:cs="Times New Roman"/>
        </w:rPr>
        <w:t>POC</w:t>
      </w:r>
      <w:r w:rsidR="008A282F">
        <w:rPr>
          <w:rFonts w:ascii="Times New Roman" w:hAnsi="Times New Roman" w:cs="Times New Roman"/>
        </w:rPr>
        <w:t xml:space="preserve">, </w:t>
      </w:r>
      <w:r w:rsidR="001D1D5C">
        <w:rPr>
          <w:rFonts w:ascii="Times New Roman" w:hAnsi="Times New Roman" w:cs="Times New Roman"/>
        </w:rPr>
        <w:t>p</w:t>
      </w:r>
      <w:r>
        <w:rPr>
          <w:rFonts w:ascii="Times New Roman" w:hAnsi="Times New Roman" w:cs="Times New Roman"/>
        </w:rPr>
        <w:t>a</w:t>
      </w:r>
      <w:r w:rsidR="00B42DA3">
        <w:rPr>
          <w:rFonts w:ascii="Times New Roman" w:hAnsi="Times New Roman" w:cs="Times New Roman"/>
        </w:rPr>
        <w:t>rticulate organic carbon</w:t>
      </w:r>
      <w:r w:rsidR="008A282F">
        <w:rPr>
          <w:rFonts w:ascii="Times New Roman" w:hAnsi="Times New Roman" w:cs="Times New Roman"/>
        </w:rPr>
        <w:t>;</w:t>
      </w:r>
      <w:r w:rsidR="00B42DA3">
        <w:rPr>
          <w:rFonts w:ascii="Times New Roman" w:hAnsi="Times New Roman" w:cs="Times New Roman"/>
        </w:rPr>
        <w:t xml:space="preserve"> DOC</w:t>
      </w:r>
      <w:r w:rsidR="008A282F">
        <w:rPr>
          <w:rFonts w:ascii="Times New Roman" w:hAnsi="Times New Roman" w:cs="Times New Roman"/>
        </w:rPr>
        <w:t xml:space="preserve">, </w:t>
      </w:r>
      <w:r w:rsidR="001D1D5C">
        <w:rPr>
          <w:rFonts w:ascii="Times New Roman" w:hAnsi="Times New Roman" w:cs="Times New Roman"/>
        </w:rPr>
        <w:t>d</w:t>
      </w:r>
      <w:r w:rsidR="00B42DA3">
        <w:rPr>
          <w:rFonts w:ascii="Times New Roman" w:hAnsi="Times New Roman" w:cs="Times New Roman"/>
        </w:rPr>
        <w:t xml:space="preserve">issolved organic carbon. </w:t>
      </w:r>
      <w:r w:rsidR="00C64659">
        <w:rPr>
          <w:rFonts w:ascii="Times New Roman" w:hAnsi="Times New Roman" w:cs="Times New Roman"/>
        </w:rPr>
        <w:t>The unit</w:t>
      </w:r>
      <w:r w:rsidR="001D1D5C">
        <w:rPr>
          <w:rFonts w:ascii="Times New Roman" w:hAnsi="Times New Roman" w:cs="Times New Roman"/>
        </w:rPr>
        <w:t>s</w:t>
      </w:r>
      <w:r w:rsidR="00C64659">
        <w:rPr>
          <w:rFonts w:ascii="Times New Roman" w:hAnsi="Times New Roman" w:cs="Times New Roman"/>
        </w:rPr>
        <w:t xml:space="preserve"> for ANCP and SD/SE </w:t>
      </w:r>
      <w:r w:rsidR="001D1D5C">
        <w:rPr>
          <w:rFonts w:ascii="Times New Roman" w:hAnsi="Times New Roman" w:cs="Times New Roman"/>
        </w:rPr>
        <w:t>are</w:t>
      </w:r>
      <w:r w:rsidR="00C64659">
        <w:rPr>
          <w:rFonts w:ascii="Times New Roman" w:hAnsi="Times New Roman" w:cs="Times New Roman"/>
        </w:rPr>
        <w:t xml:space="preserve"> mol C m</w:t>
      </w:r>
      <w:r w:rsidR="00C64659" w:rsidRPr="00C64659">
        <w:rPr>
          <w:rFonts w:ascii="Times New Roman" w:hAnsi="Times New Roman" w:cs="Times New Roman"/>
          <w:vertAlign w:val="superscript"/>
        </w:rPr>
        <w:t>−</w:t>
      </w:r>
      <w:r w:rsidR="00C64659">
        <w:rPr>
          <w:rFonts w:ascii="Times New Roman" w:hAnsi="Times New Roman" w:cs="Times New Roman"/>
          <w:vertAlign w:val="superscript"/>
        </w:rPr>
        <w:t>2</w:t>
      </w:r>
      <w:r w:rsidR="00C64659">
        <w:rPr>
          <w:rFonts w:ascii="Times New Roman" w:hAnsi="Times New Roman" w:cs="Times New Roman"/>
        </w:rPr>
        <w:t xml:space="preserve"> y</w:t>
      </w:r>
      <w:r w:rsidR="00C64659" w:rsidRPr="00C64659">
        <w:rPr>
          <w:rFonts w:ascii="Times New Roman" w:hAnsi="Times New Roman" w:cs="Times New Roman"/>
          <w:vertAlign w:val="superscript"/>
        </w:rPr>
        <w:t>−</w:t>
      </w:r>
      <w:r w:rsidR="00C64659">
        <w:rPr>
          <w:rFonts w:ascii="Times New Roman" w:hAnsi="Times New Roman" w:cs="Times New Roman"/>
          <w:vertAlign w:val="superscript"/>
        </w:rPr>
        <w:t>1</w:t>
      </w:r>
      <w:r w:rsidR="00C64659">
        <w:rPr>
          <w:rFonts w:ascii="Times New Roman" w:hAnsi="Times New Roman" w:cs="Times New Roman"/>
        </w:rPr>
        <w:t>.</w:t>
      </w:r>
    </w:p>
    <w:p w14:paraId="58606DB0" w14:textId="715CDCCE" w:rsidR="00527844" w:rsidRPr="00A961B2" w:rsidRDefault="00527844" w:rsidP="006B42D3">
      <w:pPr>
        <w:rPr>
          <w:rFonts w:ascii="Times New Roman" w:hAnsi="Times New Roman" w:cs="Times New Roman"/>
        </w:rPr>
      </w:pPr>
    </w:p>
    <w:p w14:paraId="128FCC8A" w14:textId="285B3B34" w:rsidR="00550DA7" w:rsidRPr="00A961B2" w:rsidRDefault="00550DA7">
      <w:pPr>
        <w:rPr>
          <w:rFonts w:ascii="Times New Roman" w:hAnsi="Times New Roman" w:cs="Times New Roman"/>
        </w:rPr>
      </w:pPr>
      <w:r w:rsidRPr="00A961B2">
        <w:rPr>
          <w:rFonts w:ascii="Times New Roman" w:hAnsi="Times New Roman" w:cs="Times New Roman"/>
        </w:rPr>
        <w:br w:type="page"/>
      </w:r>
    </w:p>
    <w:p w14:paraId="17D39A21" w14:textId="77777777" w:rsidR="00122B0A" w:rsidRDefault="00122B0A" w:rsidP="000F2717">
      <w:pPr>
        <w:spacing w:line="480" w:lineRule="auto"/>
        <w:jc w:val="both"/>
        <w:rPr>
          <w:rFonts w:ascii="Times New Roman" w:hAnsi="Times New Roman" w:cs="Times New Roman"/>
          <w:b/>
          <w:bCs/>
          <w:sz w:val="28"/>
          <w:szCs w:val="28"/>
        </w:rPr>
        <w:sectPr w:rsidR="00122B0A" w:rsidSect="00122B0A">
          <w:pgSz w:w="16840" w:h="11900" w:orient="landscape"/>
          <w:pgMar w:top="1440" w:right="1440" w:bottom="1440" w:left="1440" w:header="709" w:footer="709" w:gutter="0"/>
          <w:cols w:space="708"/>
          <w:docGrid w:linePitch="360"/>
        </w:sectPr>
      </w:pPr>
    </w:p>
    <w:p w14:paraId="03B4989F" w14:textId="40FC176F" w:rsidR="00BB74C8" w:rsidRPr="000B5FDD" w:rsidRDefault="00BB74C8" w:rsidP="0037216B">
      <w:pPr>
        <w:spacing w:line="480" w:lineRule="auto"/>
        <w:rPr>
          <w:rFonts w:ascii="Times New Roman" w:hAnsi="Times New Roman" w:cs="Times New Roman"/>
          <w:b/>
          <w:bCs/>
        </w:rPr>
      </w:pPr>
      <w:r w:rsidRPr="000B5FDD">
        <w:rPr>
          <w:rFonts w:ascii="Times New Roman" w:hAnsi="Times New Roman" w:cs="Times New Roman"/>
          <w:b/>
          <w:bCs/>
        </w:rPr>
        <w:lastRenderedPageBreak/>
        <w:t>Reference</w:t>
      </w:r>
      <w:r w:rsidR="00990173">
        <w:rPr>
          <w:rFonts w:ascii="Times New Roman" w:hAnsi="Times New Roman" w:cs="Times New Roman"/>
          <w:b/>
          <w:bCs/>
        </w:rPr>
        <w:t>s</w:t>
      </w:r>
    </w:p>
    <w:p w14:paraId="566C1D72" w14:textId="41995368" w:rsidR="00E82161" w:rsidRPr="00E82161" w:rsidRDefault="006E46DD" w:rsidP="00E94D5F">
      <w:pPr>
        <w:autoSpaceDE w:val="0"/>
        <w:autoSpaceDN w:val="0"/>
        <w:adjustRightInd w:val="0"/>
        <w:ind w:left="720" w:hanging="720"/>
        <w:rPr>
          <w:rFonts w:ascii="Times New Roman" w:hAnsi="Times New Roman" w:cs="Times New Roman"/>
        </w:rPr>
      </w:pPr>
      <w:r>
        <w:rPr>
          <w:rStyle w:val="af8"/>
          <w:sz w:val="22"/>
        </w:rPr>
        <w:fldChar w:fldCharType="begin"/>
      </w:r>
      <w:r w:rsidR="00497A7F">
        <w:rPr>
          <w:rStyle w:val="af8"/>
          <w:sz w:val="22"/>
        </w:rPr>
        <w:instrText xml:space="preserve"> ADDIN ZOTERO_BIBL {"uncited":[],"omitted":[],"custom":[]} CSL_BIBLIOGRAPHY </w:instrText>
      </w:r>
      <w:r>
        <w:rPr>
          <w:rStyle w:val="af8"/>
          <w:sz w:val="22"/>
        </w:rPr>
        <w:fldChar w:fldCharType="separate"/>
      </w:r>
      <w:r w:rsidR="00E82161" w:rsidRPr="00E82161">
        <w:rPr>
          <w:rFonts w:ascii="Times New Roman" w:hAnsi="Times New Roman" w:cs="Times New Roman"/>
        </w:rPr>
        <w:t xml:space="preserve">Arteaga, L. A., M. Pahlow, S. M. Bushinsky, and J. L. Sarmiento, 2019: Nutrient Controls on Export Production in the Southern Ocean. </w:t>
      </w:r>
      <w:r w:rsidR="00E82161" w:rsidRPr="00E82161">
        <w:rPr>
          <w:rFonts w:ascii="Times New Roman" w:hAnsi="Times New Roman" w:cs="Times New Roman"/>
          <w:i/>
          <w:iCs/>
        </w:rPr>
        <w:t>Global Biogeochem. Cycles</w:t>
      </w:r>
      <w:r w:rsidR="00E82161" w:rsidRPr="00E82161">
        <w:rPr>
          <w:rFonts w:ascii="Times New Roman" w:hAnsi="Times New Roman" w:cs="Times New Roman"/>
        </w:rPr>
        <w:t xml:space="preserve">, </w:t>
      </w:r>
      <w:r w:rsidR="00E82161" w:rsidRPr="00E82161">
        <w:rPr>
          <w:rFonts w:ascii="Times New Roman" w:hAnsi="Times New Roman" w:cs="Times New Roman"/>
          <w:b/>
          <w:bCs/>
        </w:rPr>
        <w:t>33</w:t>
      </w:r>
      <w:r w:rsidR="00E82161" w:rsidRPr="00E82161">
        <w:rPr>
          <w:rFonts w:ascii="Times New Roman" w:hAnsi="Times New Roman" w:cs="Times New Roman"/>
        </w:rPr>
        <w:t>, 942–956, https://doi.org/10.1029/2019GB006236.</w:t>
      </w:r>
    </w:p>
    <w:p w14:paraId="0CB28BF6" w14:textId="3B4DA03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Benitez-Nelson, C., K. O. Buesseler, D. M. Karl, and J. Andrews, 2001: A time-series study of particulate matter export in the North Pacific Subtropical Gyre based on 234Th:238U disequilibrium.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48</w:t>
      </w:r>
      <w:r w:rsidRPr="00E82161">
        <w:rPr>
          <w:rFonts w:ascii="Times New Roman" w:hAnsi="Times New Roman" w:cs="Times New Roman"/>
        </w:rPr>
        <w:t>, 2595–2611, https://doi.org/10.1016/S0967-0637(01)00032-2.</w:t>
      </w:r>
    </w:p>
    <w:p w14:paraId="38B02546" w14:textId="2C07279B"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Binetti, U., J. Kaiser, G. M. Damerell, A. Rumyantseva, A. P. Martin, S. Henson, and K. J. Heywood, 2020: Net community oxygen production derived from Seaglider deployments at the Porcupine Abyssal Plain site (PAP; northeast Atlantic) in 2012–13. </w:t>
      </w:r>
      <w:r w:rsidRPr="00E82161">
        <w:rPr>
          <w:rFonts w:ascii="Times New Roman" w:hAnsi="Times New Roman" w:cs="Times New Roman"/>
          <w:i/>
          <w:iCs/>
        </w:rPr>
        <w:t>Progress in Oceanography</w:t>
      </w:r>
      <w:r w:rsidRPr="00E82161">
        <w:rPr>
          <w:rFonts w:ascii="Times New Roman" w:hAnsi="Times New Roman" w:cs="Times New Roman"/>
        </w:rPr>
        <w:t xml:space="preserve">, </w:t>
      </w:r>
      <w:r w:rsidRPr="00E82161">
        <w:rPr>
          <w:rFonts w:ascii="Times New Roman" w:hAnsi="Times New Roman" w:cs="Times New Roman"/>
          <w:b/>
          <w:bCs/>
        </w:rPr>
        <w:t>183</w:t>
      </w:r>
      <w:r w:rsidRPr="00E82161">
        <w:rPr>
          <w:rFonts w:ascii="Times New Roman" w:hAnsi="Times New Roman" w:cs="Times New Roman"/>
        </w:rPr>
        <w:t>, 102293, https://doi.org/10.1016/j.pocean.2020.102293.</w:t>
      </w:r>
    </w:p>
    <w:p w14:paraId="5892BE27" w14:textId="29873AC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Brix, H., N. Gruber, and C. D. Keeling, 2004: Interannual variability of the upper ocean carbon cycle at station ALOHA near Hawaii.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18</w:t>
      </w:r>
      <w:r w:rsidRPr="00E82161">
        <w:rPr>
          <w:rFonts w:ascii="Times New Roman" w:hAnsi="Times New Roman" w:cs="Times New Roman"/>
        </w:rPr>
        <w:t>, https://doi.org/10.1029/2004GB002245.</w:t>
      </w:r>
    </w:p>
    <w:p w14:paraId="1095C233" w14:textId="43E7ADFA"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Bushinsky, S. M., and S. Emerson, 2015: Marine biological production from in situ oxygen measurements on a profiling float in the subarctic Pacific Ocean. </w:t>
      </w:r>
      <w:r w:rsidRPr="00E82161">
        <w:rPr>
          <w:rFonts w:ascii="Times New Roman" w:hAnsi="Times New Roman" w:cs="Times New Roman"/>
          <w:i/>
          <w:iCs/>
        </w:rPr>
        <w:t>Global Biogeochem. Cycles</w:t>
      </w:r>
      <w:r w:rsidRPr="00E82161">
        <w:rPr>
          <w:rFonts w:ascii="Times New Roman" w:hAnsi="Times New Roman" w:cs="Times New Roman"/>
        </w:rPr>
        <w:t xml:space="preserve">, </w:t>
      </w:r>
      <w:r w:rsidRPr="00E82161">
        <w:rPr>
          <w:rFonts w:ascii="Times New Roman" w:hAnsi="Times New Roman" w:cs="Times New Roman"/>
          <w:b/>
          <w:bCs/>
        </w:rPr>
        <w:t>29</w:t>
      </w:r>
      <w:r w:rsidRPr="00E82161">
        <w:rPr>
          <w:rFonts w:ascii="Times New Roman" w:hAnsi="Times New Roman" w:cs="Times New Roman"/>
        </w:rPr>
        <w:t>, 2050–2060, https://doi.org/10.1002/2015GB005251.</w:t>
      </w:r>
    </w:p>
    <w:p w14:paraId="5C47E4CF" w14:textId="2A0A320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DiGirolamo, N. E., C. L. Parkinson, D. J. Cavalieri, P. Gloersen, and H. J. Zwally, 2022: Sea Ice Concentrations from Nimbus-7 SMMR and DMSP SSM/I-SSMIS Passive Microwave Data. https://doi.org/10.5067/MPYG15WAA4WX.</w:t>
      </w:r>
    </w:p>
    <w:p w14:paraId="4D21C193" w14:textId="642EFB94"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Emerson, S., 1987: Seasonal oxygen cycles and biological new production in surface waters of the subarctic Pacific Ocean. </w:t>
      </w:r>
      <w:r w:rsidRPr="00E82161">
        <w:rPr>
          <w:rFonts w:ascii="Times New Roman" w:hAnsi="Times New Roman" w:cs="Times New Roman"/>
          <w:i/>
          <w:iCs/>
        </w:rPr>
        <w:t>Journal of Geophysical Research: Oceans</w:t>
      </w:r>
      <w:r w:rsidRPr="00E82161">
        <w:rPr>
          <w:rFonts w:ascii="Times New Roman" w:hAnsi="Times New Roman" w:cs="Times New Roman"/>
        </w:rPr>
        <w:t xml:space="preserve">, </w:t>
      </w:r>
      <w:r w:rsidRPr="00E82161">
        <w:rPr>
          <w:rFonts w:ascii="Times New Roman" w:hAnsi="Times New Roman" w:cs="Times New Roman"/>
          <w:b/>
          <w:bCs/>
        </w:rPr>
        <w:t>92</w:t>
      </w:r>
      <w:r w:rsidRPr="00E82161">
        <w:rPr>
          <w:rFonts w:ascii="Times New Roman" w:hAnsi="Times New Roman" w:cs="Times New Roman"/>
        </w:rPr>
        <w:t>, 6535–6544, https://doi.org/10.1029/JC092iC06p06535.</w:t>
      </w:r>
    </w:p>
    <w:p w14:paraId="230BFF38" w14:textId="79765B51"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and C. Stump, 2010: Net biological oxygen production in the ocean—II: Remote in situ measurements of O2 and N2 in subarctic pacific surface waters.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57</w:t>
      </w:r>
      <w:r w:rsidRPr="00E82161">
        <w:rPr>
          <w:rFonts w:ascii="Times New Roman" w:hAnsi="Times New Roman" w:cs="Times New Roman"/>
        </w:rPr>
        <w:t>, 1255–1265, https://doi.org/10.1016/j.dsr.2010.06.001.</w:t>
      </w:r>
    </w:p>
    <w:p w14:paraId="1E4AC084" w14:textId="4C9A2A9C"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and S. Bushinsky, 2016: The role of bubbles during air‐sea gas exchange. </w:t>
      </w:r>
      <w:r w:rsidRPr="00E82161">
        <w:rPr>
          <w:rFonts w:ascii="Times New Roman" w:hAnsi="Times New Roman" w:cs="Times New Roman"/>
          <w:i/>
          <w:iCs/>
        </w:rPr>
        <w:t>J. Geophys. Res. Oceans</w:t>
      </w:r>
      <w:r w:rsidRPr="00E82161">
        <w:rPr>
          <w:rFonts w:ascii="Times New Roman" w:hAnsi="Times New Roman" w:cs="Times New Roman"/>
        </w:rPr>
        <w:t xml:space="preserve">, </w:t>
      </w:r>
      <w:r w:rsidRPr="00E82161">
        <w:rPr>
          <w:rFonts w:ascii="Times New Roman" w:hAnsi="Times New Roman" w:cs="Times New Roman"/>
          <w:b/>
          <w:bCs/>
        </w:rPr>
        <w:t>121</w:t>
      </w:r>
      <w:r w:rsidRPr="00E82161">
        <w:rPr>
          <w:rFonts w:ascii="Times New Roman" w:hAnsi="Times New Roman" w:cs="Times New Roman"/>
        </w:rPr>
        <w:t>, 4360–4376, https://doi.org/10.1002/2016JC011744.</w:t>
      </w:r>
    </w:p>
    <w:p w14:paraId="34C85222" w14:textId="516189F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and B. Yang, 2022: The Ocean’s Biological Pump: In Situ Oxygen Measurements in the Subtropical Oceans. </w:t>
      </w:r>
      <w:r w:rsidRPr="00E82161">
        <w:rPr>
          <w:rFonts w:ascii="Times New Roman" w:hAnsi="Times New Roman" w:cs="Times New Roman"/>
          <w:i/>
          <w:iCs/>
        </w:rPr>
        <w:t>Geophysical Research Letters</w:t>
      </w:r>
      <w:r w:rsidRPr="00E82161">
        <w:rPr>
          <w:rFonts w:ascii="Times New Roman" w:hAnsi="Times New Roman" w:cs="Times New Roman"/>
        </w:rPr>
        <w:t xml:space="preserve">, </w:t>
      </w:r>
      <w:r w:rsidRPr="00E82161">
        <w:rPr>
          <w:rFonts w:ascii="Times New Roman" w:hAnsi="Times New Roman" w:cs="Times New Roman"/>
          <w:b/>
          <w:bCs/>
        </w:rPr>
        <w:t>49</w:t>
      </w:r>
      <w:r w:rsidRPr="00E82161">
        <w:rPr>
          <w:rFonts w:ascii="Times New Roman" w:hAnsi="Times New Roman" w:cs="Times New Roman"/>
        </w:rPr>
        <w:t>, e2022GL099834, https://doi.org/10.1029/2022GL099834.</w:t>
      </w:r>
    </w:p>
    <w:p w14:paraId="0403B573" w14:textId="25F7E7FC"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P. Quay, C. Stump, D. Wilbur, and M. Knox, 1991: O2, Ar, N2, and 222Rn in surface waters of the subarctic Ocean: Net biological O2 production.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5</w:t>
      </w:r>
      <w:r w:rsidRPr="00E82161">
        <w:rPr>
          <w:rFonts w:ascii="Times New Roman" w:hAnsi="Times New Roman" w:cs="Times New Roman"/>
        </w:rPr>
        <w:t>, 49–69, https://doi.org/10.1029/90GB02656.</w:t>
      </w:r>
    </w:p>
    <w:p w14:paraId="1D54C11D" w14:textId="328B7B0D"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Emerson, S., P. Quay, D. Karl, C. Winn, L. Tupas, and M. Landry, 1997: Experimental determination of the organic carbon flux from open-ocean surface waters. </w:t>
      </w:r>
      <w:r w:rsidRPr="00E82161">
        <w:rPr>
          <w:rFonts w:ascii="Times New Roman" w:hAnsi="Times New Roman" w:cs="Times New Roman"/>
          <w:i/>
          <w:iCs/>
        </w:rPr>
        <w:t>Nature</w:t>
      </w:r>
      <w:r w:rsidRPr="00E82161">
        <w:rPr>
          <w:rFonts w:ascii="Times New Roman" w:hAnsi="Times New Roman" w:cs="Times New Roman"/>
        </w:rPr>
        <w:t xml:space="preserve">, </w:t>
      </w:r>
      <w:r w:rsidRPr="00E82161">
        <w:rPr>
          <w:rFonts w:ascii="Times New Roman" w:hAnsi="Times New Roman" w:cs="Times New Roman"/>
          <w:b/>
          <w:bCs/>
        </w:rPr>
        <w:t>389</w:t>
      </w:r>
      <w:r w:rsidRPr="00E82161">
        <w:rPr>
          <w:rFonts w:ascii="Times New Roman" w:hAnsi="Times New Roman" w:cs="Times New Roman"/>
        </w:rPr>
        <w:t>, 951–954, https://doi.org/10.1038/40111.</w:t>
      </w:r>
    </w:p>
    <w:p w14:paraId="57814230" w14:textId="2BFC66A9"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Emerson, S., C. Stump, and D. Nicholson, 2008: Net biological oxygen production in the ocean: Remote in situ measurements of O2 and N2 in surface waters.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22</w:t>
      </w:r>
      <w:r w:rsidRPr="00E82161">
        <w:rPr>
          <w:rFonts w:ascii="Times New Roman" w:hAnsi="Times New Roman" w:cs="Times New Roman"/>
        </w:rPr>
        <w:t>, https://doi.org/10.1029/2007GB003095.</w:t>
      </w:r>
    </w:p>
    <w:p w14:paraId="14D4FE50" w14:textId="0CFB1912"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B. Yang, M. White, and M. Cronin, 2019: Air‐Sea Gas Transfer: Determining Bubble Fluxes With In Situ N </w:t>
      </w:r>
      <w:r w:rsidRPr="00E82161">
        <w:rPr>
          <w:rFonts w:ascii="Times New Roman" w:hAnsi="Times New Roman" w:cs="Times New Roman"/>
          <w:vertAlign w:val="subscript"/>
        </w:rPr>
        <w:t>2</w:t>
      </w:r>
      <w:r w:rsidRPr="00E82161">
        <w:rPr>
          <w:rFonts w:ascii="Times New Roman" w:hAnsi="Times New Roman" w:cs="Times New Roman"/>
        </w:rPr>
        <w:t xml:space="preserve"> Observations. </w:t>
      </w:r>
      <w:r w:rsidRPr="00E82161">
        <w:rPr>
          <w:rFonts w:ascii="Times New Roman" w:hAnsi="Times New Roman" w:cs="Times New Roman"/>
          <w:i/>
          <w:iCs/>
        </w:rPr>
        <w:t>J. Geophys. Res. Oceans</w:t>
      </w:r>
      <w:r w:rsidRPr="00E82161">
        <w:rPr>
          <w:rFonts w:ascii="Times New Roman" w:hAnsi="Times New Roman" w:cs="Times New Roman"/>
        </w:rPr>
        <w:t xml:space="preserve">, </w:t>
      </w:r>
      <w:r w:rsidRPr="00E82161">
        <w:rPr>
          <w:rFonts w:ascii="Times New Roman" w:hAnsi="Times New Roman" w:cs="Times New Roman"/>
          <w:b/>
          <w:bCs/>
        </w:rPr>
        <w:t>124</w:t>
      </w:r>
      <w:r w:rsidRPr="00E82161">
        <w:rPr>
          <w:rFonts w:ascii="Times New Roman" w:hAnsi="Times New Roman" w:cs="Times New Roman"/>
        </w:rPr>
        <w:t>, 2716–2727, https://doi.org/10.1029/2018JC014786.</w:t>
      </w:r>
    </w:p>
    <w:p w14:paraId="4A2CF27E" w14:textId="17FD7972"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Fassbender, A. J., C. L. Sabine, and M. F. Cronin, 2016: Net community production and calcification from 7 years of NOAA Station Papa Mooring measurements.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30</w:t>
      </w:r>
      <w:r w:rsidRPr="00E82161">
        <w:rPr>
          <w:rFonts w:ascii="Times New Roman" w:hAnsi="Times New Roman" w:cs="Times New Roman"/>
        </w:rPr>
        <w:t>, 250–267, https://doi.org/10.1002/2015GB005205.</w:t>
      </w:r>
    </w:p>
    <w:p w14:paraId="395FA4CA" w14:textId="7228BCD7"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lastRenderedPageBreak/>
        <w:t xml:space="preserve">——, ——, ——, and A. J. Sutton, 2017: Mixed-layer carbon cycling at the Kuroshio Extension Observatory.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31</w:t>
      </w:r>
      <w:r w:rsidRPr="00E82161">
        <w:rPr>
          <w:rFonts w:ascii="Times New Roman" w:hAnsi="Times New Roman" w:cs="Times New Roman"/>
        </w:rPr>
        <w:t>, 272–288, https://doi.org/10.1002/2016GB005547.</w:t>
      </w:r>
    </w:p>
    <w:p w14:paraId="2541AB22" w14:textId="1FE1675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Ferrón, S., B. Barone, M. J. Church, A. E. White, and D. M. Karl, 2021: Euphotic Zone Metabolism in the North Pacific Subtropical Gyre Based on Oxygen Dynamics.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35</w:t>
      </w:r>
      <w:r w:rsidRPr="00E82161">
        <w:rPr>
          <w:rFonts w:ascii="Times New Roman" w:hAnsi="Times New Roman" w:cs="Times New Roman"/>
        </w:rPr>
        <w:t>, e2020GB006744, https://doi.org/10.1029/2020GB006744.</w:t>
      </w:r>
    </w:p>
    <w:p w14:paraId="634EF158" w14:textId="25452E6C"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Garcia, H. E., and L. I. Gordon, 1992: Oxygen solubility in seawater: Better fitting equations. </w:t>
      </w:r>
      <w:r w:rsidRPr="00E82161">
        <w:rPr>
          <w:rFonts w:ascii="Times New Roman" w:hAnsi="Times New Roman" w:cs="Times New Roman"/>
          <w:i/>
          <w:iCs/>
        </w:rPr>
        <w:t>Limnology and Oceanography</w:t>
      </w:r>
      <w:r w:rsidRPr="00E82161">
        <w:rPr>
          <w:rFonts w:ascii="Times New Roman" w:hAnsi="Times New Roman" w:cs="Times New Roman"/>
        </w:rPr>
        <w:t xml:space="preserve">, </w:t>
      </w:r>
      <w:r w:rsidRPr="00E82161">
        <w:rPr>
          <w:rFonts w:ascii="Times New Roman" w:hAnsi="Times New Roman" w:cs="Times New Roman"/>
          <w:b/>
          <w:bCs/>
        </w:rPr>
        <w:t>37</w:t>
      </w:r>
      <w:r w:rsidRPr="00E82161">
        <w:rPr>
          <w:rFonts w:ascii="Times New Roman" w:hAnsi="Times New Roman" w:cs="Times New Roman"/>
        </w:rPr>
        <w:t>, 1307–1312, https://doi.org/10.4319/lo.1992.37.6.1307.</w:t>
      </w:r>
    </w:p>
    <w:p w14:paraId="668DAD6F" w14:textId="6A12AE3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Gelaro, R., and Coauthors, 2017: The Modern-Era Retrospective Analysis for Research and Applications, Version 2 (MERRA-2). </w:t>
      </w:r>
      <w:r w:rsidRPr="00E82161">
        <w:rPr>
          <w:rFonts w:ascii="Times New Roman" w:hAnsi="Times New Roman" w:cs="Times New Roman"/>
          <w:i/>
          <w:iCs/>
        </w:rPr>
        <w:t>Journal of Climate</w:t>
      </w:r>
      <w:r w:rsidRPr="00E82161">
        <w:rPr>
          <w:rFonts w:ascii="Times New Roman" w:hAnsi="Times New Roman" w:cs="Times New Roman"/>
        </w:rPr>
        <w:t xml:space="preserve">, </w:t>
      </w:r>
      <w:r w:rsidRPr="00E82161">
        <w:rPr>
          <w:rFonts w:ascii="Times New Roman" w:hAnsi="Times New Roman" w:cs="Times New Roman"/>
          <w:b/>
          <w:bCs/>
        </w:rPr>
        <w:t>30</w:t>
      </w:r>
      <w:r w:rsidRPr="00E82161">
        <w:rPr>
          <w:rFonts w:ascii="Times New Roman" w:hAnsi="Times New Roman" w:cs="Times New Roman"/>
        </w:rPr>
        <w:t>, 5419–5454, https://doi.org/10.1175/JCLI-D-16-0758.1.</w:t>
      </w:r>
    </w:p>
    <w:p w14:paraId="64436DD0" w14:textId="69B24AAC"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Gent, P. R., J. Willebrand, T. J. McDougall, and J. C. McWilliams, 1995: Parameterizing Eddy-Induced Tracer Transports in Ocean Circulation Models. </w:t>
      </w:r>
      <w:r w:rsidRPr="00E82161">
        <w:rPr>
          <w:rFonts w:ascii="Times New Roman" w:hAnsi="Times New Roman" w:cs="Times New Roman"/>
          <w:i/>
          <w:iCs/>
        </w:rPr>
        <w:t>Journal of Physical Oceanography</w:t>
      </w:r>
      <w:r w:rsidRPr="00E82161">
        <w:rPr>
          <w:rFonts w:ascii="Times New Roman" w:hAnsi="Times New Roman" w:cs="Times New Roman"/>
        </w:rPr>
        <w:t xml:space="preserve">, </w:t>
      </w:r>
      <w:r w:rsidRPr="00E82161">
        <w:rPr>
          <w:rFonts w:ascii="Times New Roman" w:hAnsi="Times New Roman" w:cs="Times New Roman"/>
          <w:b/>
          <w:bCs/>
        </w:rPr>
        <w:t>25</w:t>
      </w:r>
      <w:r w:rsidRPr="00E82161">
        <w:rPr>
          <w:rFonts w:ascii="Times New Roman" w:hAnsi="Times New Roman" w:cs="Times New Roman"/>
        </w:rPr>
        <w:t>, 463–474, https://doi.org/10.1175/1520-0485(1995)025&lt;0463:PEITTI&gt;2.0.CO;2.</w:t>
      </w:r>
    </w:p>
    <w:p w14:paraId="09D8B363" w14:textId="77E78864"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Gruber, N., C. D. Keeling, and T. F. Stocker, 1998: Carbon-13 constraints on the seasonal inorganic carbon budget at the BATS site in the northwestern Sargasso Sea.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45</w:t>
      </w:r>
      <w:r w:rsidRPr="00E82161">
        <w:rPr>
          <w:rFonts w:ascii="Times New Roman" w:hAnsi="Times New Roman" w:cs="Times New Roman"/>
        </w:rPr>
        <w:t>, 673–717, https://doi.org/10.1016/S0967-0637(97)00098-8.</w:t>
      </w:r>
    </w:p>
    <w:p w14:paraId="596682E1" w14:textId="0868515A"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C. D. Keeling, and N. R. Bates, 2002: Interannual Variability in the North Atlantic Ocean Carbon Sink. </w:t>
      </w:r>
      <w:r w:rsidRPr="00E82161">
        <w:rPr>
          <w:rFonts w:ascii="Times New Roman" w:hAnsi="Times New Roman" w:cs="Times New Roman"/>
          <w:i/>
          <w:iCs/>
        </w:rPr>
        <w:t>Science</w:t>
      </w:r>
      <w:r w:rsidRPr="00E82161">
        <w:rPr>
          <w:rFonts w:ascii="Times New Roman" w:hAnsi="Times New Roman" w:cs="Times New Roman"/>
        </w:rPr>
        <w:t xml:space="preserve">, </w:t>
      </w:r>
      <w:r w:rsidRPr="00E82161">
        <w:rPr>
          <w:rFonts w:ascii="Times New Roman" w:hAnsi="Times New Roman" w:cs="Times New Roman"/>
          <w:b/>
          <w:bCs/>
        </w:rPr>
        <w:t>298</w:t>
      </w:r>
      <w:r w:rsidRPr="00E82161">
        <w:rPr>
          <w:rFonts w:ascii="Times New Roman" w:hAnsi="Times New Roman" w:cs="Times New Roman"/>
        </w:rPr>
        <w:t>, 2374–2378, https://doi.org/10.1126/science.1077077.</w:t>
      </w:r>
    </w:p>
    <w:p w14:paraId="4CB7C821" w14:textId="2E70DE95"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Hamme, R. C., and S. R. Emerson, 2006: Constraining bubble dynamics and mixing with dissolved gases: Implications for productivity measurements by oxygen mass balance. </w:t>
      </w:r>
      <w:r w:rsidRPr="00E82161">
        <w:rPr>
          <w:rFonts w:ascii="Times New Roman" w:hAnsi="Times New Roman" w:cs="Times New Roman"/>
          <w:i/>
          <w:iCs/>
        </w:rPr>
        <w:t>J Mar Res</w:t>
      </w:r>
      <w:r w:rsidRPr="00E82161">
        <w:rPr>
          <w:rFonts w:ascii="Times New Roman" w:hAnsi="Times New Roman" w:cs="Times New Roman"/>
        </w:rPr>
        <w:t xml:space="preserve">, </w:t>
      </w:r>
      <w:r w:rsidRPr="00E82161">
        <w:rPr>
          <w:rFonts w:ascii="Times New Roman" w:hAnsi="Times New Roman" w:cs="Times New Roman"/>
          <w:b/>
          <w:bCs/>
        </w:rPr>
        <w:t>64</w:t>
      </w:r>
      <w:r w:rsidRPr="00E82161">
        <w:rPr>
          <w:rFonts w:ascii="Times New Roman" w:hAnsi="Times New Roman" w:cs="Times New Roman"/>
        </w:rPr>
        <w:t>, 73–95, https://doi.org/10.1357/002224006776412322.</w:t>
      </w:r>
    </w:p>
    <w:p w14:paraId="41858463" w14:textId="3B17C29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Hashihama, F., and Coauthors, 2021: Nanomolar phosphate supply and its recycling drive net community production in the subtropical North Pacific. </w:t>
      </w:r>
      <w:r w:rsidRPr="00E82161">
        <w:rPr>
          <w:rFonts w:ascii="Times New Roman" w:hAnsi="Times New Roman" w:cs="Times New Roman"/>
          <w:i/>
          <w:iCs/>
        </w:rPr>
        <w:t>Nat Commun</w:t>
      </w:r>
      <w:r w:rsidRPr="00E82161">
        <w:rPr>
          <w:rFonts w:ascii="Times New Roman" w:hAnsi="Times New Roman" w:cs="Times New Roman"/>
        </w:rPr>
        <w:t xml:space="preserve">, </w:t>
      </w:r>
      <w:r w:rsidRPr="00E82161">
        <w:rPr>
          <w:rFonts w:ascii="Times New Roman" w:hAnsi="Times New Roman" w:cs="Times New Roman"/>
          <w:b/>
          <w:bCs/>
        </w:rPr>
        <w:t>12</w:t>
      </w:r>
      <w:r w:rsidRPr="00E82161">
        <w:rPr>
          <w:rFonts w:ascii="Times New Roman" w:hAnsi="Times New Roman" w:cs="Times New Roman"/>
        </w:rPr>
        <w:t>, 3462, https://doi.org/10.1038/s41467-021-23837-y.</w:t>
      </w:r>
    </w:p>
    <w:p w14:paraId="3A34A11B" w14:textId="1990C0C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Haskell, W. Z., A. J. Fassbender, J. S. Long, and J. N. Plant, 2020: Annual Net Community Production of Particulate and Dissolved Organic Carbon From a Decade of Biogeochemical Profiling Float Observations in the Northeast Pacific. </w:t>
      </w:r>
      <w:r w:rsidRPr="00E82161">
        <w:rPr>
          <w:rFonts w:ascii="Times New Roman" w:hAnsi="Times New Roman" w:cs="Times New Roman"/>
          <w:i/>
          <w:iCs/>
        </w:rPr>
        <w:t>Global Biogeochem. Cycles</w:t>
      </w:r>
      <w:r w:rsidRPr="00E82161">
        <w:rPr>
          <w:rFonts w:ascii="Times New Roman" w:hAnsi="Times New Roman" w:cs="Times New Roman"/>
        </w:rPr>
        <w:t xml:space="preserve">, </w:t>
      </w:r>
      <w:r w:rsidRPr="00E82161">
        <w:rPr>
          <w:rFonts w:ascii="Times New Roman" w:hAnsi="Times New Roman" w:cs="Times New Roman"/>
          <w:b/>
          <w:bCs/>
        </w:rPr>
        <w:t>34</w:t>
      </w:r>
      <w:r w:rsidRPr="00E82161">
        <w:rPr>
          <w:rFonts w:ascii="Times New Roman" w:hAnsi="Times New Roman" w:cs="Times New Roman"/>
        </w:rPr>
        <w:t>, https://doi.org/10.1029/2020GB006599.</w:t>
      </w:r>
    </w:p>
    <w:p w14:paraId="10156C2B" w14:textId="737D706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Helm, K. P., N. L. Bindoff, and J. A. Church, 2011: Observed decreases in oxygen content of the global ocean: GLOBAL DECREASES IN OCEAN OXYGEN LEVELS. </w:t>
      </w:r>
      <w:r w:rsidRPr="00E82161">
        <w:rPr>
          <w:rFonts w:ascii="Times New Roman" w:hAnsi="Times New Roman" w:cs="Times New Roman"/>
          <w:i/>
          <w:iCs/>
        </w:rPr>
        <w:t>Geophys. Res. Lett.</w:t>
      </w:r>
      <w:r w:rsidRPr="00E82161">
        <w:rPr>
          <w:rFonts w:ascii="Times New Roman" w:hAnsi="Times New Roman" w:cs="Times New Roman"/>
        </w:rPr>
        <w:t xml:space="preserve">, </w:t>
      </w:r>
      <w:r w:rsidRPr="00E82161">
        <w:rPr>
          <w:rFonts w:ascii="Times New Roman" w:hAnsi="Times New Roman" w:cs="Times New Roman"/>
          <w:b/>
          <w:bCs/>
        </w:rPr>
        <w:t>38</w:t>
      </w:r>
      <w:r w:rsidRPr="00E82161">
        <w:rPr>
          <w:rFonts w:ascii="Times New Roman" w:hAnsi="Times New Roman" w:cs="Times New Roman"/>
        </w:rPr>
        <w:t>, n/a-n/a, https://doi.org/10.1029/2011GL049513.</w:t>
      </w:r>
    </w:p>
    <w:p w14:paraId="20E35B8E" w14:textId="2E4DF69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Hendricks, M. B., M. L. Bender, B. A. Barnett, P. Strutton, and F. P. Chavez, 2005: Triple oxygen isotope composition of dissolved O2 in the equatorial Pacific: A tracer of mixing, production, and respiration. </w:t>
      </w:r>
      <w:r w:rsidRPr="00E82161">
        <w:rPr>
          <w:rFonts w:ascii="Times New Roman" w:hAnsi="Times New Roman" w:cs="Times New Roman"/>
          <w:i/>
          <w:iCs/>
        </w:rPr>
        <w:t>Journal of Geophysical Research: Oceans</w:t>
      </w:r>
      <w:r w:rsidRPr="00E82161">
        <w:rPr>
          <w:rFonts w:ascii="Times New Roman" w:hAnsi="Times New Roman" w:cs="Times New Roman"/>
        </w:rPr>
        <w:t xml:space="preserve">, </w:t>
      </w:r>
      <w:r w:rsidRPr="00E82161">
        <w:rPr>
          <w:rFonts w:ascii="Times New Roman" w:hAnsi="Times New Roman" w:cs="Times New Roman"/>
          <w:b/>
          <w:bCs/>
        </w:rPr>
        <w:t>110</w:t>
      </w:r>
      <w:r w:rsidRPr="00E82161">
        <w:rPr>
          <w:rFonts w:ascii="Times New Roman" w:hAnsi="Times New Roman" w:cs="Times New Roman"/>
        </w:rPr>
        <w:t>, https://doi.org/10.1029/2004JC002735.</w:t>
      </w:r>
    </w:p>
    <w:p w14:paraId="4D3C1753" w14:textId="7FF8AF6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Hennon, T. D., S. C. Riser, and S. Mecking, 2016: Profiling float-based observations of net respiration beneath the mixed layer.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30</w:t>
      </w:r>
      <w:r w:rsidRPr="00E82161">
        <w:rPr>
          <w:rFonts w:ascii="Times New Roman" w:hAnsi="Times New Roman" w:cs="Times New Roman"/>
        </w:rPr>
        <w:t>, 920–932, https://doi.org/10.1002/2016GB005380.</w:t>
      </w:r>
    </w:p>
    <w:p w14:paraId="1557A299" w14:textId="026CF781"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Hersbach, H., and Coauthors, 2020: The ERA5 global reanalysis. </w:t>
      </w:r>
      <w:r w:rsidRPr="00E82161">
        <w:rPr>
          <w:rFonts w:ascii="Times New Roman" w:hAnsi="Times New Roman" w:cs="Times New Roman"/>
          <w:i/>
          <w:iCs/>
        </w:rPr>
        <w:t>Quarterly Journal of the Royal Meteorological Society</w:t>
      </w:r>
      <w:r w:rsidRPr="00E82161">
        <w:rPr>
          <w:rFonts w:ascii="Times New Roman" w:hAnsi="Times New Roman" w:cs="Times New Roman"/>
        </w:rPr>
        <w:t xml:space="preserve">, </w:t>
      </w:r>
      <w:r w:rsidRPr="00E82161">
        <w:rPr>
          <w:rFonts w:ascii="Times New Roman" w:hAnsi="Times New Roman" w:cs="Times New Roman"/>
          <w:b/>
          <w:bCs/>
        </w:rPr>
        <w:t>146</w:t>
      </w:r>
      <w:r w:rsidRPr="00E82161">
        <w:rPr>
          <w:rFonts w:ascii="Times New Roman" w:hAnsi="Times New Roman" w:cs="Times New Roman"/>
        </w:rPr>
        <w:t>, 1999–2049, https://doi.org/10.1002/qj.3803.</w:t>
      </w:r>
    </w:p>
    <w:p w14:paraId="5E057A15" w14:textId="295FCCA2"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Huang, Y., B. Yang, B. Chen, G. Qiu, H. Wang, and B. Huang, 2018: Net community production in the South China Sea Basin estimated from in situ O2 measurements on an Argo profiling float.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131</w:t>
      </w:r>
      <w:r w:rsidRPr="00E82161">
        <w:rPr>
          <w:rFonts w:ascii="Times New Roman" w:hAnsi="Times New Roman" w:cs="Times New Roman"/>
        </w:rPr>
        <w:t>, 54–61, https://doi.org/10.1016/j.dsr.2017.11.002.</w:t>
      </w:r>
    </w:p>
    <w:p w14:paraId="132961CE" w14:textId="5B3A223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lastRenderedPageBreak/>
        <w:t xml:space="preserve">——, A. J. Fassbender, J. S. Long, S. Johannessen, and M. Bernardi Bif, 2022: Partitioning the Export of Distinct Biogenic Carbon Pools in the Northeast Pacific Ocean Using a Biogeochemical Profiling Float.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36</w:t>
      </w:r>
      <w:r w:rsidRPr="00E82161">
        <w:rPr>
          <w:rFonts w:ascii="Times New Roman" w:hAnsi="Times New Roman" w:cs="Times New Roman"/>
        </w:rPr>
        <w:t>, e2021GB007178, https://doi.org/10.1029/2021GB007178.</w:t>
      </w:r>
    </w:p>
    <w:p w14:paraId="3599DE13" w14:textId="604088A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Ishii, M., and Coauthors, 2001: Seasonal variation in total inorganic carbon and its controlling processes in surface waters of the western North Pacific subtropical gyre. </w:t>
      </w:r>
      <w:r w:rsidRPr="00E82161">
        <w:rPr>
          <w:rFonts w:ascii="Times New Roman" w:hAnsi="Times New Roman" w:cs="Times New Roman"/>
          <w:i/>
          <w:iCs/>
        </w:rPr>
        <w:t>Marine Chemistry</w:t>
      </w:r>
      <w:r w:rsidRPr="00E82161">
        <w:rPr>
          <w:rFonts w:ascii="Times New Roman" w:hAnsi="Times New Roman" w:cs="Times New Roman"/>
        </w:rPr>
        <w:t xml:space="preserve">, </w:t>
      </w:r>
      <w:r w:rsidRPr="00E82161">
        <w:rPr>
          <w:rFonts w:ascii="Times New Roman" w:hAnsi="Times New Roman" w:cs="Times New Roman"/>
          <w:b/>
          <w:bCs/>
        </w:rPr>
        <w:t>75</w:t>
      </w:r>
      <w:r w:rsidRPr="00E82161">
        <w:rPr>
          <w:rFonts w:ascii="Times New Roman" w:hAnsi="Times New Roman" w:cs="Times New Roman"/>
        </w:rPr>
        <w:t>, 17–32, https://doi.org/10.1016/S0304-4203(01)00023-8.</w:t>
      </w:r>
    </w:p>
    <w:p w14:paraId="6AE94841" w14:textId="26C655B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Ito, T., S. Minobe, M. C. Long, and C. Deutsch, 2017: Upper ocean O </w:t>
      </w:r>
      <w:r w:rsidRPr="00E82161">
        <w:rPr>
          <w:rFonts w:ascii="Times New Roman" w:hAnsi="Times New Roman" w:cs="Times New Roman"/>
          <w:vertAlign w:val="subscript"/>
        </w:rPr>
        <w:t>2</w:t>
      </w:r>
      <w:r w:rsidRPr="00E82161">
        <w:rPr>
          <w:rFonts w:ascii="Times New Roman" w:hAnsi="Times New Roman" w:cs="Times New Roman"/>
        </w:rPr>
        <w:t xml:space="preserve"> trends: 1958–2015. </w:t>
      </w:r>
      <w:r w:rsidRPr="00E82161">
        <w:rPr>
          <w:rFonts w:ascii="Times New Roman" w:hAnsi="Times New Roman" w:cs="Times New Roman"/>
          <w:i/>
          <w:iCs/>
        </w:rPr>
        <w:t>Geophys. Res. Lett.</w:t>
      </w:r>
      <w:r w:rsidRPr="00E82161">
        <w:rPr>
          <w:rFonts w:ascii="Times New Roman" w:hAnsi="Times New Roman" w:cs="Times New Roman"/>
        </w:rPr>
        <w:t xml:space="preserve">, </w:t>
      </w:r>
      <w:r w:rsidRPr="00E82161">
        <w:rPr>
          <w:rFonts w:ascii="Times New Roman" w:hAnsi="Times New Roman" w:cs="Times New Roman"/>
          <w:b/>
          <w:bCs/>
        </w:rPr>
        <w:t>44</w:t>
      </w:r>
      <w:r w:rsidRPr="00E82161">
        <w:rPr>
          <w:rFonts w:ascii="Times New Roman" w:hAnsi="Times New Roman" w:cs="Times New Roman"/>
        </w:rPr>
        <w:t>, 4214–4223, https://doi.org/10.1002/2017GL073613.</w:t>
      </w:r>
    </w:p>
    <w:p w14:paraId="1285DF26" w14:textId="21D417EB"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Jenkins, W. J., and J. C. Goldman, 1985: Seasonal oxygen cycling and primary production in the Sargasso Sea. </w:t>
      </w:r>
      <w:r w:rsidRPr="00E82161">
        <w:rPr>
          <w:rFonts w:ascii="Times New Roman" w:hAnsi="Times New Roman" w:cs="Times New Roman"/>
          <w:i/>
          <w:iCs/>
        </w:rPr>
        <w:t>J Mar Res</w:t>
      </w:r>
      <w:r w:rsidRPr="00E82161">
        <w:rPr>
          <w:rFonts w:ascii="Times New Roman" w:hAnsi="Times New Roman" w:cs="Times New Roman"/>
        </w:rPr>
        <w:t xml:space="preserve">, </w:t>
      </w:r>
      <w:r w:rsidRPr="00E82161">
        <w:rPr>
          <w:rFonts w:ascii="Times New Roman" w:hAnsi="Times New Roman" w:cs="Times New Roman"/>
          <w:b/>
          <w:bCs/>
        </w:rPr>
        <w:t>43</w:t>
      </w:r>
      <w:r w:rsidRPr="00E82161">
        <w:rPr>
          <w:rFonts w:ascii="Times New Roman" w:hAnsi="Times New Roman" w:cs="Times New Roman"/>
        </w:rPr>
        <w:t>, 465–491, https://doi.org/10.1357/002224085788438702.</w:t>
      </w:r>
    </w:p>
    <w:p w14:paraId="34CE801C" w14:textId="60A64732"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Jenkins, W. J., and S. C. Doney, 2003: The subtropical nutrient spiral.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17</w:t>
      </w:r>
      <w:r w:rsidRPr="00E82161">
        <w:rPr>
          <w:rFonts w:ascii="Times New Roman" w:hAnsi="Times New Roman" w:cs="Times New Roman"/>
        </w:rPr>
        <w:t>, https://doi.org/10.1029/2003GB002085.</w:t>
      </w:r>
    </w:p>
    <w:p w14:paraId="71157AB3" w14:textId="6606252D"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Johnson, K. S., J. N. Plant, J. P. Dunne, L. D. Talley, and J. L. Sarmiento, 2017: Annual nitrate drawdown observed by SOCCOM profiling floats and the relationship to annual net community production. </w:t>
      </w:r>
      <w:r w:rsidRPr="00E82161">
        <w:rPr>
          <w:rFonts w:ascii="Times New Roman" w:hAnsi="Times New Roman" w:cs="Times New Roman"/>
          <w:i/>
          <w:iCs/>
        </w:rPr>
        <w:t>Journal of Geophysical Research: Oceans</w:t>
      </w:r>
      <w:r w:rsidRPr="00E82161">
        <w:rPr>
          <w:rFonts w:ascii="Times New Roman" w:hAnsi="Times New Roman" w:cs="Times New Roman"/>
        </w:rPr>
        <w:t xml:space="preserve">, </w:t>
      </w:r>
      <w:r w:rsidRPr="00E82161">
        <w:rPr>
          <w:rFonts w:ascii="Times New Roman" w:hAnsi="Times New Roman" w:cs="Times New Roman"/>
          <w:b/>
          <w:bCs/>
        </w:rPr>
        <w:t>122</w:t>
      </w:r>
      <w:r w:rsidRPr="00E82161">
        <w:rPr>
          <w:rFonts w:ascii="Times New Roman" w:hAnsi="Times New Roman" w:cs="Times New Roman"/>
        </w:rPr>
        <w:t>, 6668–6683, https://doi.org/10.1002/2017JC012839.</w:t>
      </w:r>
    </w:p>
    <w:p w14:paraId="60111EA2" w14:textId="14CD0B4A"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Keeling, C. D., H. Brix, and N. Gruber, 2004: Seasonal and long-term dynamics of the upper ocean carbon cycle at Station ALOHA near Hawaii.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18</w:t>
      </w:r>
      <w:r w:rsidRPr="00E82161">
        <w:rPr>
          <w:rFonts w:ascii="Times New Roman" w:hAnsi="Times New Roman" w:cs="Times New Roman"/>
        </w:rPr>
        <w:t>, https://doi.org/10.1029/2004GB002227.</w:t>
      </w:r>
    </w:p>
    <w:p w14:paraId="0BD12591" w14:textId="1936C47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Keeling, R. F., and A. C. Manning, 2014: 5.15 - Studies of Recent Changes in Atmospheric O2 Content. </w:t>
      </w:r>
      <w:r w:rsidRPr="00E82161">
        <w:rPr>
          <w:rFonts w:ascii="Times New Roman" w:hAnsi="Times New Roman" w:cs="Times New Roman"/>
          <w:i/>
          <w:iCs/>
        </w:rPr>
        <w:t>Treatise on Geochemistry (Second Edition)</w:t>
      </w:r>
      <w:r w:rsidRPr="00E82161">
        <w:rPr>
          <w:rFonts w:ascii="Times New Roman" w:hAnsi="Times New Roman" w:cs="Times New Roman"/>
        </w:rPr>
        <w:t>, H.D. Holland and K.K. Turekian, Eds., Elsevier, 385–404.</w:t>
      </w:r>
    </w:p>
    <w:p w14:paraId="719AD0B0" w14:textId="651CC87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Kobayashi, S., and Coauthors, 2015: The JRA-55 Reanalysis: General Specifications and Basic Characteristics. </w:t>
      </w:r>
      <w:r w:rsidRPr="00E82161">
        <w:rPr>
          <w:rFonts w:ascii="Times New Roman" w:hAnsi="Times New Roman" w:cs="Times New Roman"/>
          <w:i/>
          <w:iCs/>
        </w:rPr>
        <w:t>Journal of the Meteorological Society of Japan</w:t>
      </w:r>
      <w:r w:rsidRPr="00E82161">
        <w:rPr>
          <w:rFonts w:ascii="Times New Roman" w:hAnsi="Times New Roman" w:cs="Times New Roman"/>
        </w:rPr>
        <w:t xml:space="preserve">, </w:t>
      </w:r>
      <w:r w:rsidRPr="00E82161">
        <w:rPr>
          <w:rFonts w:ascii="Times New Roman" w:hAnsi="Times New Roman" w:cs="Times New Roman"/>
          <w:b/>
          <w:bCs/>
        </w:rPr>
        <w:t>93</w:t>
      </w:r>
      <w:r w:rsidRPr="00E82161">
        <w:rPr>
          <w:rFonts w:ascii="Times New Roman" w:hAnsi="Times New Roman" w:cs="Times New Roman"/>
        </w:rPr>
        <w:t>, 5–48, https://doi.org/10.2151/jmsj.2015-001.</w:t>
      </w:r>
    </w:p>
    <w:p w14:paraId="5B44E5CC" w14:textId="1C44AF38"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Kouketsu, S., 2021: Inverse estimation of diffusivity coefficients from salinity distributions on isopycnal surfaces using Argo float array data. </w:t>
      </w:r>
      <w:r w:rsidRPr="00E82161">
        <w:rPr>
          <w:rFonts w:ascii="Times New Roman" w:hAnsi="Times New Roman" w:cs="Times New Roman"/>
          <w:i/>
          <w:iCs/>
        </w:rPr>
        <w:t>J Oceanogr</w:t>
      </w:r>
      <w:r w:rsidRPr="00E82161">
        <w:rPr>
          <w:rFonts w:ascii="Times New Roman" w:hAnsi="Times New Roman" w:cs="Times New Roman"/>
        </w:rPr>
        <w:t xml:space="preserve">, </w:t>
      </w:r>
      <w:r w:rsidRPr="00E82161">
        <w:rPr>
          <w:rFonts w:ascii="Times New Roman" w:hAnsi="Times New Roman" w:cs="Times New Roman"/>
          <w:b/>
          <w:bCs/>
        </w:rPr>
        <w:t>77</w:t>
      </w:r>
      <w:r w:rsidRPr="00E82161">
        <w:rPr>
          <w:rFonts w:ascii="Times New Roman" w:hAnsi="Times New Roman" w:cs="Times New Roman"/>
        </w:rPr>
        <w:t>, 615–630, https://doi.org/10.1007/s10872-021-00595-5.</w:t>
      </w:r>
    </w:p>
    <w:p w14:paraId="7D30B8AB" w14:textId="1202AD38"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Large, W. G., and S. Pond, 1981: Open Ocean Momentum Flux Measurements in Moderate to Strong Winds. </w:t>
      </w:r>
      <w:r w:rsidRPr="00E82161">
        <w:rPr>
          <w:rFonts w:ascii="Times New Roman" w:hAnsi="Times New Roman" w:cs="Times New Roman"/>
          <w:i/>
          <w:iCs/>
        </w:rPr>
        <w:t>Journal of Physical Oceanography</w:t>
      </w:r>
      <w:r w:rsidRPr="00E82161">
        <w:rPr>
          <w:rFonts w:ascii="Times New Roman" w:hAnsi="Times New Roman" w:cs="Times New Roman"/>
        </w:rPr>
        <w:t xml:space="preserve">, </w:t>
      </w:r>
      <w:r w:rsidRPr="00E82161">
        <w:rPr>
          <w:rFonts w:ascii="Times New Roman" w:hAnsi="Times New Roman" w:cs="Times New Roman"/>
          <w:b/>
          <w:bCs/>
        </w:rPr>
        <w:t>11</w:t>
      </w:r>
      <w:r w:rsidRPr="00E82161">
        <w:rPr>
          <w:rFonts w:ascii="Times New Roman" w:hAnsi="Times New Roman" w:cs="Times New Roman"/>
        </w:rPr>
        <w:t>, 324–336, https://doi.org/10.1175/1520-0485(1981)011&lt;0324:OOMFMI&gt;2.0.CO;2.</w:t>
      </w:r>
    </w:p>
    <w:p w14:paraId="1775F390" w14:textId="5AFFF433" w:rsidR="00E94D5F" w:rsidRPr="00E82161" w:rsidRDefault="00E94D5F" w:rsidP="00575C97">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de Lavergne, C., and Coauthors, 2020: A Parameterization of Local and Remote Tidal Mixing. </w:t>
      </w:r>
      <w:r w:rsidRPr="00E82161">
        <w:rPr>
          <w:rFonts w:ascii="Times New Roman" w:hAnsi="Times New Roman" w:cs="Times New Roman"/>
          <w:i/>
          <w:iCs/>
        </w:rPr>
        <w:t>Journal of Advances in Modeling Earth Systems</w:t>
      </w:r>
      <w:r w:rsidRPr="00E82161">
        <w:rPr>
          <w:rFonts w:ascii="Times New Roman" w:hAnsi="Times New Roman" w:cs="Times New Roman"/>
        </w:rPr>
        <w:t xml:space="preserve">, </w:t>
      </w:r>
      <w:r w:rsidRPr="00E82161">
        <w:rPr>
          <w:rFonts w:ascii="Times New Roman" w:hAnsi="Times New Roman" w:cs="Times New Roman"/>
          <w:b/>
          <w:bCs/>
        </w:rPr>
        <w:t>12</w:t>
      </w:r>
      <w:r w:rsidRPr="00E82161">
        <w:rPr>
          <w:rFonts w:ascii="Times New Roman" w:hAnsi="Times New Roman" w:cs="Times New Roman"/>
        </w:rPr>
        <w:t>, e2020MS002065, https://doi.org/10.1029/2020MS002065.</w:t>
      </w:r>
    </w:p>
    <w:p w14:paraId="3EF13A36" w14:textId="4784F242"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Li, C., J. Huang, L. Ding, X. Liu, D. Han, and J. Huang, 2021: Estimation of Oceanic and Land Carbon Sinks Based on the Most Recent Oxygen Budget. </w:t>
      </w:r>
      <w:r w:rsidRPr="00E82161">
        <w:rPr>
          <w:rFonts w:ascii="Times New Roman" w:hAnsi="Times New Roman" w:cs="Times New Roman"/>
          <w:i/>
          <w:iCs/>
        </w:rPr>
        <w:t>Earth’s Future</w:t>
      </w:r>
      <w:r w:rsidRPr="00E82161">
        <w:rPr>
          <w:rFonts w:ascii="Times New Roman" w:hAnsi="Times New Roman" w:cs="Times New Roman"/>
        </w:rPr>
        <w:t xml:space="preserve">, </w:t>
      </w:r>
      <w:r w:rsidRPr="00E82161">
        <w:rPr>
          <w:rFonts w:ascii="Times New Roman" w:hAnsi="Times New Roman" w:cs="Times New Roman"/>
          <w:b/>
          <w:bCs/>
        </w:rPr>
        <w:t>9</w:t>
      </w:r>
      <w:r w:rsidRPr="00E82161">
        <w:rPr>
          <w:rFonts w:ascii="Times New Roman" w:hAnsi="Times New Roman" w:cs="Times New Roman"/>
        </w:rPr>
        <w:t>, e2021EF002124, https://doi.org/10.1029/2021EF002124.</w:t>
      </w:r>
    </w:p>
    <w:p w14:paraId="47530F5F" w14:textId="524EA83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Liang, J.-H., C. Deutsch, J. C. McWilliams, B. Baschek, P. P. Sullivan, and D. Chiba, 2013: Parameterizing bubble-mediated air-sea gas exchange and its effect on ocean ventilation: BUBBLE-INDUCED SUPERSATURATION. </w:t>
      </w:r>
      <w:r w:rsidRPr="00E82161">
        <w:rPr>
          <w:rFonts w:ascii="Times New Roman" w:hAnsi="Times New Roman" w:cs="Times New Roman"/>
          <w:i/>
          <w:iCs/>
        </w:rPr>
        <w:t>Global Biogeochem. Cycles</w:t>
      </w:r>
      <w:r w:rsidRPr="00E82161">
        <w:rPr>
          <w:rFonts w:ascii="Times New Roman" w:hAnsi="Times New Roman" w:cs="Times New Roman"/>
        </w:rPr>
        <w:t xml:space="preserve">, </w:t>
      </w:r>
      <w:r w:rsidRPr="00E82161">
        <w:rPr>
          <w:rFonts w:ascii="Times New Roman" w:hAnsi="Times New Roman" w:cs="Times New Roman"/>
          <w:b/>
          <w:bCs/>
        </w:rPr>
        <w:t>27</w:t>
      </w:r>
      <w:r w:rsidRPr="00E82161">
        <w:rPr>
          <w:rFonts w:ascii="Times New Roman" w:hAnsi="Times New Roman" w:cs="Times New Roman"/>
        </w:rPr>
        <w:t>, 894–905, https://doi.org/10.1002/gbc.20080.</w:t>
      </w:r>
    </w:p>
    <w:p w14:paraId="58817C9D" w14:textId="2E972DF4"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MacCready, P., and P. Quay, 2001: Biological export flux in the Southern Ocean estimated from a climatological nitrate budget. </w:t>
      </w:r>
      <w:r w:rsidRPr="00E82161">
        <w:rPr>
          <w:rFonts w:ascii="Times New Roman" w:hAnsi="Times New Roman" w:cs="Times New Roman"/>
          <w:i/>
          <w:iCs/>
        </w:rPr>
        <w:t>Deep Sea Research Part II: Topical Studies in Oceanography</w:t>
      </w:r>
      <w:r w:rsidRPr="00E82161">
        <w:rPr>
          <w:rFonts w:ascii="Times New Roman" w:hAnsi="Times New Roman" w:cs="Times New Roman"/>
        </w:rPr>
        <w:t xml:space="preserve">, </w:t>
      </w:r>
      <w:r w:rsidRPr="00E82161">
        <w:rPr>
          <w:rFonts w:ascii="Times New Roman" w:hAnsi="Times New Roman" w:cs="Times New Roman"/>
          <w:b/>
          <w:bCs/>
        </w:rPr>
        <w:t>48</w:t>
      </w:r>
      <w:r w:rsidRPr="00E82161">
        <w:rPr>
          <w:rFonts w:ascii="Times New Roman" w:hAnsi="Times New Roman" w:cs="Times New Roman"/>
        </w:rPr>
        <w:t>, 4299–4322, https://doi.org/10.1016/S0967-0645(01)00090-X.</w:t>
      </w:r>
    </w:p>
    <w:p w14:paraId="7A966959" w14:textId="78CAAE6C"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Manning, A. C., and R. F. Keeling, 2006: Global oceanic and land biotic carbon sinks from the Scripps atmospheric oxygen flask sampling network. </w:t>
      </w:r>
      <w:r w:rsidRPr="00E82161">
        <w:rPr>
          <w:rFonts w:ascii="Times New Roman" w:hAnsi="Times New Roman" w:cs="Times New Roman"/>
          <w:b/>
          <w:bCs/>
        </w:rPr>
        <w:t>58</w:t>
      </w:r>
      <w:r w:rsidRPr="00E82161">
        <w:rPr>
          <w:rFonts w:ascii="Times New Roman" w:hAnsi="Times New Roman" w:cs="Times New Roman"/>
        </w:rPr>
        <w:t>, 95, https://doi.org/10.1111/j.1600-0889.2006.00175.x.</w:t>
      </w:r>
    </w:p>
    <w:p w14:paraId="7754851F" w14:textId="12925BB3"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lastRenderedPageBreak/>
        <w:t xml:space="preserve">Martz, T. R., K. S. Johnson, and S. C. Riser, 2008: Ocean metabolism observed with oxygen sensors on profiling floats in the South Pacific. </w:t>
      </w:r>
      <w:r w:rsidRPr="00E82161">
        <w:rPr>
          <w:rFonts w:ascii="Times New Roman" w:hAnsi="Times New Roman" w:cs="Times New Roman"/>
          <w:i/>
          <w:iCs/>
        </w:rPr>
        <w:t>Limnology and Oceanography</w:t>
      </w:r>
      <w:r w:rsidRPr="00E82161">
        <w:rPr>
          <w:rFonts w:ascii="Times New Roman" w:hAnsi="Times New Roman" w:cs="Times New Roman"/>
        </w:rPr>
        <w:t xml:space="preserve">, </w:t>
      </w:r>
      <w:r w:rsidRPr="00E82161">
        <w:rPr>
          <w:rFonts w:ascii="Times New Roman" w:hAnsi="Times New Roman" w:cs="Times New Roman"/>
          <w:b/>
          <w:bCs/>
        </w:rPr>
        <w:t>53</w:t>
      </w:r>
      <w:r w:rsidRPr="00E82161">
        <w:rPr>
          <w:rFonts w:ascii="Times New Roman" w:hAnsi="Times New Roman" w:cs="Times New Roman"/>
        </w:rPr>
        <w:t>, 2094–2111, https://doi.org/10.4319/lo.2008.53.5_part_2.2094.</w:t>
      </w:r>
    </w:p>
    <w:p w14:paraId="0083F7F7" w14:textId="13D49C4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Mears, C. A., J. Scott, F. J. Wentz, L. Ricciardulli, S. M. Leidner, R. Hoffman, and R. Atlas, 2019: A Near‐Real‐Time Version of the Cross‐Calibrated Multiplatform (CCMP) Ocean Surface Wind Velocity Data Set. </w:t>
      </w:r>
      <w:r w:rsidRPr="00E82161">
        <w:rPr>
          <w:rFonts w:ascii="Times New Roman" w:hAnsi="Times New Roman" w:cs="Times New Roman"/>
          <w:i/>
          <w:iCs/>
        </w:rPr>
        <w:t>JGR Oceans</w:t>
      </w:r>
      <w:r w:rsidRPr="00E82161">
        <w:rPr>
          <w:rFonts w:ascii="Times New Roman" w:hAnsi="Times New Roman" w:cs="Times New Roman"/>
        </w:rPr>
        <w:t xml:space="preserve">, </w:t>
      </w:r>
      <w:r w:rsidRPr="00E82161">
        <w:rPr>
          <w:rFonts w:ascii="Times New Roman" w:hAnsi="Times New Roman" w:cs="Times New Roman"/>
          <w:b/>
          <w:bCs/>
        </w:rPr>
        <w:t>124</w:t>
      </w:r>
      <w:r w:rsidRPr="00E82161">
        <w:rPr>
          <w:rFonts w:ascii="Times New Roman" w:hAnsi="Times New Roman" w:cs="Times New Roman"/>
        </w:rPr>
        <w:t>, 6997–7010, https://doi.org/10.1029/2019JC015367.</w:t>
      </w:r>
    </w:p>
    <w:p w14:paraId="61CC8264" w14:textId="5E7AFBE5"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Midorikawa, T., T. Umeda, N. Hiraishi, K. Ogawa, K. Nemoto, N. Kubo, and M. Ishii, 2002: Estimation of seasonal net community production and air–sea CO2 flux based on the carbon budget above the temperature minimum layer in the western subarctic North Pacific.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49</w:t>
      </w:r>
      <w:r w:rsidRPr="00E82161">
        <w:rPr>
          <w:rFonts w:ascii="Times New Roman" w:hAnsi="Times New Roman" w:cs="Times New Roman"/>
        </w:rPr>
        <w:t>, 339–362, https://doi.org/10.1016/S0967-0637(01)00054-1.</w:t>
      </w:r>
    </w:p>
    <w:p w14:paraId="7DB310FD" w14:textId="2F1E6652"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Munro, D. R., and Coauthors, 2015: Estimates of net community production in the Southern Ocean determined from time series observations (2002–2011) of nutrients, dissolved inorganic carbon, and surface ocean pCO2 in Drake Passage. </w:t>
      </w:r>
      <w:r w:rsidRPr="00E82161">
        <w:rPr>
          <w:rFonts w:ascii="Times New Roman" w:hAnsi="Times New Roman" w:cs="Times New Roman"/>
          <w:i/>
          <w:iCs/>
        </w:rPr>
        <w:t>Deep Sea Research Part II: Topical Studies in Oceanography</w:t>
      </w:r>
      <w:r w:rsidRPr="00E82161">
        <w:rPr>
          <w:rFonts w:ascii="Times New Roman" w:hAnsi="Times New Roman" w:cs="Times New Roman"/>
        </w:rPr>
        <w:t xml:space="preserve">, </w:t>
      </w:r>
      <w:r w:rsidRPr="00E82161">
        <w:rPr>
          <w:rFonts w:ascii="Times New Roman" w:hAnsi="Times New Roman" w:cs="Times New Roman"/>
          <w:b/>
          <w:bCs/>
        </w:rPr>
        <w:t>114</w:t>
      </w:r>
      <w:r w:rsidRPr="00E82161">
        <w:rPr>
          <w:rFonts w:ascii="Times New Roman" w:hAnsi="Times New Roman" w:cs="Times New Roman"/>
        </w:rPr>
        <w:t>, 49–63, https://doi.org/10.1016/j.dsr2.2014.12.014.</w:t>
      </w:r>
    </w:p>
    <w:p w14:paraId="599FBD55" w14:textId="3C48215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Neuer, S., and Coauthors, 2007: Biogeochemistry and hydrography in the eastern subtropical North Atlantic gyre. Results from the European time-series station ESTOC. </w:t>
      </w:r>
      <w:r w:rsidRPr="00E82161">
        <w:rPr>
          <w:rFonts w:ascii="Times New Roman" w:hAnsi="Times New Roman" w:cs="Times New Roman"/>
          <w:i/>
          <w:iCs/>
        </w:rPr>
        <w:t>Progress in Oceanography</w:t>
      </w:r>
      <w:r w:rsidRPr="00E82161">
        <w:rPr>
          <w:rFonts w:ascii="Times New Roman" w:hAnsi="Times New Roman" w:cs="Times New Roman"/>
        </w:rPr>
        <w:t xml:space="preserve">, </w:t>
      </w:r>
      <w:r w:rsidRPr="00E82161">
        <w:rPr>
          <w:rFonts w:ascii="Times New Roman" w:hAnsi="Times New Roman" w:cs="Times New Roman"/>
          <w:b/>
          <w:bCs/>
        </w:rPr>
        <w:t>72</w:t>
      </w:r>
      <w:r w:rsidRPr="00E82161">
        <w:rPr>
          <w:rFonts w:ascii="Times New Roman" w:hAnsi="Times New Roman" w:cs="Times New Roman"/>
        </w:rPr>
        <w:t>, 1–29, https://doi.org/10.1016/j.pocean.2006.08.001.</w:t>
      </w:r>
    </w:p>
    <w:p w14:paraId="602F56A5" w14:textId="3634FB3A"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Palevsky, H. I., P. D. Quay, D. E. Lockwood, and D. P. Nicholson, 2016: The annual cycle of gross primary production, net community production, and export efficiency across the North Pacific Ocean.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30</w:t>
      </w:r>
      <w:r w:rsidRPr="00E82161">
        <w:rPr>
          <w:rFonts w:ascii="Times New Roman" w:hAnsi="Times New Roman" w:cs="Times New Roman"/>
        </w:rPr>
        <w:t>, 361–380, https://doi.org/10.1002/2015GB005318.</w:t>
      </w:r>
    </w:p>
    <w:p w14:paraId="131BDFF2" w14:textId="29969F03"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Pelland, N. A., C. C. Eriksen, S. R. Emerson, and M. F. Cronin, 2018: Seaglider Surveys at Ocean Station Papa: Oxygen Kinematics and Upper-Ocean Metabolism. </w:t>
      </w:r>
      <w:r w:rsidRPr="00E82161">
        <w:rPr>
          <w:rFonts w:ascii="Times New Roman" w:hAnsi="Times New Roman" w:cs="Times New Roman"/>
          <w:i/>
          <w:iCs/>
        </w:rPr>
        <w:t>Journal of Geophysical Research: Oceans</w:t>
      </w:r>
      <w:r w:rsidRPr="00E82161">
        <w:rPr>
          <w:rFonts w:ascii="Times New Roman" w:hAnsi="Times New Roman" w:cs="Times New Roman"/>
        </w:rPr>
        <w:t xml:space="preserve">, </w:t>
      </w:r>
      <w:r w:rsidRPr="00E82161">
        <w:rPr>
          <w:rFonts w:ascii="Times New Roman" w:hAnsi="Times New Roman" w:cs="Times New Roman"/>
          <w:b/>
          <w:bCs/>
        </w:rPr>
        <w:t>123</w:t>
      </w:r>
      <w:r w:rsidRPr="00E82161">
        <w:rPr>
          <w:rFonts w:ascii="Times New Roman" w:hAnsi="Times New Roman" w:cs="Times New Roman"/>
        </w:rPr>
        <w:t>, 6408–6427, https://doi.org/10.1029/2018JC014091.</w:t>
      </w:r>
    </w:p>
    <w:p w14:paraId="2F6AFEE3" w14:textId="125EFFB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Plant, J. N., K. S. Johnson, C. M. Sakamoto, H. W. Jannasch, L. J. Coletti, S. C. Riser, and D. D. Swift, 2016: Net community production at Ocean Station Papa observed with nitrate and oxygen sensors on profiling floats: NCP AT OCEAN STATION PAPA. </w:t>
      </w:r>
      <w:r w:rsidRPr="00E82161">
        <w:rPr>
          <w:rFonts w:ascii="Times New Roman" w:hAnsi="Times New Roman" w:cs="Times New Roman"/>
          <w:i/>
          <w:iCs/>
        </w:rPr>
        <w:t>Global Biogeochem. Cycles</w:t>
      </w:r>
      <w:r w:rsidRPr="00E82161">
        <w:rPr>
          <w:rFonts w:ascii="Times New Roman" w:hAnsi="Times New Roman" w:cs="Times New Roman"/>
        </w:rPr>
        <w:t xml:space="preserve">, </w:t>
      </w:r>
      <w:r w:rsidRPr="00E82161">
        <w:rPr>
          <w:rFonts w:ascii="Times New Roman" w:hAnsi="Times New Roman" w:cs="Times New Roman"/>
          <w:b/>
          <w:bCs/>
        </w:rPr>
        <w:t>30</w:t>
      </w:r>
      <w:r w:rsidRPr="00E82161">
        <w:rPr>
          <w:rFonts w:ascii="Times New Roman" w:hAnsi="Times New Roman" w:cs="Times New Roman"/>
        </w:rPr>
        <w:t>, 859–879, https://doi.org/10.1002/2015GB005349.</w:t>
      </w:r>
    </w:p>
    <w:p w14:paraId="36C1183E" w14:textId="3AF7046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Plattner, G.-K., F. Joos, and T. F. Stocker, 2002: Revision of the global carbon budget due to changing air-sea oxygen fluxes.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16</w:t>
      </w:r>
      <w:r w:rsidRPr="00E82161">
        <w:rPr>
          <w:rFonts w:ascii="Times New Roman" w:hAnsi="Times New Roman" w:cs="Times New Roman"/>
        </w:rPr>
        <w:t>, 43-1-43</w:t>
      </w:r>
      <w:r w:rsidRPr="00575C97">
        <w:rPr>
          <w:rFonts w:ascii="Times New Roman" w:hAnsi="Times New Roman" w:cs="Times New Roman"/>
        </w:rPr>
        <w:t>–</w:t>
      </w:r>
      <w:r w:rsidRPr="00E82161">
        <w:rPr>
          <w:rFonts w:ascii="Times New Roman" w:hAnsi="Times New Roman" w:cs="Times New Roman"/>
        </w:rPr>
        <w:t>12, https://doi.org/10.1029/2001GB001746.</w:t>
      </w:r>
    </w:p>
    <w:p w14:paraId="28CBCAD5" w14:textId="6E636C5B"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Quay, P., and J. Stutsman, 2003: Surface layer carbon budget for the subtropical N. Pacific: δ13C constraints at station ALOHA.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50</w:t>
      </w:r>
      <w:r w:rsidRPr="00E82161">
        <w:rPr>
          <w:rFonts w:ascii="Times New Roman" w:hAnsi="Times New Roman" w:cs="Times New Roman"/>
        </w:rPr>
        <w:t>, 1045–1061, https://doi.org/10.1016/S0967-0637(03)00116-X.</w:t>
      </w:r>
    </w:p>
    <w:p w14:paraId="2D310BB9" w14:textId="7740CF73"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S. Emerson, and H. Palevsky, 2020: Regional Pattern of the Ocean’s Biological Pump Based on Geochemical Observations. </w:t>
      </w:r>
      <w:r w:rsidRPr="00E82161">
        <w:rPr>
          <w:rFonts w:ascii="Times New Roman" w:hAnsi="Times New Roman" w:cs="Times New Roman"/>
          <w:i/>
          <w:iCs/>
        </w:rPr>
        <w:t>Geophys. Res. Lett.</w:t>
      </w:r>
      <w:r w:rsidRPr="00E82161">
        <w:rPr>
          <w:rFonts w:ascii="Times New Roman" w:hAnsi="Times New Roman" w:cs="Times New Roman"/>
        </w:rPr>
        <w:t xml:space="preserve">, </w:t>
      </w:r>
      <w:r w:rsidRPr="00E82161">
        <w:rPr>
          <w:rFonts w:ascii="Times New Roman" w:hAnsi="Times New Roman" w:cs="Times New Roman"/>
          <w:b/>
          <w:bCs/>
        </w:rPr>
        <w:t>47</w:t>
      </w:r>
      <w:r w:rsidRPr="00E82161">
        <w:rPr>
          <w:rFonts w:ascii="Times New Roman" w:hAnsi="Times New Roman" w:cs="Times New Roman"/>
        </w:rPr>
        <w:t>, https://doi.org/10.1029/2020GL088098.</w:t>
      </w:r>
    </w:p>
    <w:p w14:paraId="4D9B707A" w14:textId="0C635A4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Quay, P. D., C. Peacock, K. Björkman, and D. M. Karl, 2010: Measuring primary production rates in the ocean: Enigmatic results between incubation and non-incubation methods at Station ALOHA.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24</w:t>
      </w:r>
      <w:r w:rsidRPr="00E82161">
        <w:rPr>
          <w:rFonts w:ascii="Times New Roman" w:hAnsi="Times New Roman" w:cs="Times New Roman"/>
        </w:rPr>
        <w:t>, https://doi.org/10.1029/2009GB003665.</w:t>
      </w:r>
    </w:p>
    <w:p w14:paraId="5F36E1F8" w14:textId="5A8C089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Schmidtko, S., L. Stramma, and M. Visbeck, 2017: Decline in global oceanic oxygen content during the past five decades. </w:t>
      </w:r>
      <w:r w:rsidRPr="00E82161">
        <w:rPr>
          <w:rFonts w:ascii="Times New Roman" w:hAnsi="Times New Roman" w:cs="Times New Roman"/>
          <w:i/>
          <w:iCs/>
        </w:rPr>
        <w:t>Nature</w:t>
      </w:r>
      <w:r w:rsidRPr="00E82161">
        <w:rPr>
          <w:rFonts w:ascii="Times New Roman" w:hAnsi="Times New Roman" w:cs="Times New Roman"/>
        </w:rPr>
        <w:t xml:space="preserve">, </w:t>
      </w:r>
      <w:r w:rsidRPr="00E82161">
        <w:rPr>
          <w:rFonts w:ascii="Times New Roman" w:hAnsi="Times New Roman" w:cs="Times New Roman"/>
          <w:b/>
          <w:bCs/>
        </w:rPr>
        <w:t>542</w:t>
      </w:r>
      <w:r w:rsidRPr="00E82161">
        <w:rPr>
          <w:rFonts w:ascii="Times New Roman" w:hAnsi="Times New Roman" w:cs="Times New Roman"/>
        </w:rPr>
        <w:t>, 335–339, https://doi.org/10.1038/nature21399.</w:t>
      </w:r>
    </w:p>
    <w:p w14:paraId="5787C547" w14:textId="4933B4F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Shadwick, E. H., T. W. Trull, B. Tilbrook, A. J. Sutton, E. Schulz, and C. L. Sabine, 2015: Seasonality of biological and physical controls on surface ocean CO2 from hourly </w:t>
      </w:r>
      <w:r w:rsidRPr="00E82161">
        <w:rPr>
          <w:rFonts w:ascii="Times New Roman" w:hAnsi="Times New Roman" w:cs="Times New Roman"/>
        </w:rPr>
        <w:lastRenderedPageBreak/>
        <w:t xml:space="preserve">observations at the Southern Ocean Time Series site south of Australia.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29</w:t>
      </w:r>
      <w:r w:rsidRPr="00E82161">
        <w:rPr>
          <w:rFonts w:ascii="Times New Roman" w:hAnsi="Times New Roman" w:cs="Times New Roman"/>
        </w:rPr>
        <w:t>, 223–238, https://doi.org/10.1002/2014GB004906.</w:t>
      </w:r>
    </w:p>
    <w:p w14:paraId="0EA81B00" w14:textId="5FB3706E"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Sonnerup, R. E., P. D. Quay, and J. L. Bullister, 1999: Thermocline ventilation and oxygen utilization rates in the subtropical North Pacific based on CFC distributions during WOCE.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46</w:t>
      </w:r>
      <w:r w:rsidRPr="00E82161">
        <w:rPr>
          <w:rFonts w:ascii="Times New Roman" w:hAnsi="Times New Roman" w:cs="Times New Roman"/>
        </w:rPr>
        <w:t>, 777–805, https://doi.org/10.1016/S0967-0637(98)00092-2.</w:t>
      </w:r>
    </w:p>
    <w:p w14:paraId="6220792F" w14:textId="01ED04FB"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Sonnerup, R. E., S. Mecking, and J. L. Bullister, 2013: Transit time distributions and oxygen utilization rates in the Northeast Pacific Ocean from chlorofluorocarbons and sulfur hexafluoride. </w:t>
      </w:r>
      <w:r w:rsidRPr="00E82161">
        <w:rPr>
          <w:rFonts w:ascii="Times New Roman" w:hAnsi="Times New Roman" w:cs="Times New Roman"/>
          <w:i/>
          <w:iCs/>
        </w:rPr>
        <w:t>Deep Sea Research Part I: Oceanographic Research Papers</w:t>
      </w:r>
      <w:r w:rsidRPr="00E82161">
        <w:rPr>
          <w:rFonts w:ascii="Times New Roman" w:hAnsi="Times New Roman" w:cs="Times New Roman"/>
        </w:rPr>
        <w:t xml:space="preserve">, </w:t>
      </w:r>
      <w:r w:rsidRPr="00E82161">
        <w:rPr>
          <w:rFonts w:ascii="Times New Roman" w:hAnsi="Times New Roman" w:cs="Times New Roman"/>
          <w:b/>
          <w:bCs/>
        </w:rPr>
        <w:t>72</w:t>
      </w:r>
      <w:r w:rsidRPr="00E82161">
        <w:rPr>
          <w:rFonts w:ascii="Times New Roman" w:hAnsi="Times New Roman" w:cs="Times New Roman"/>
        </w:rPr>
        <w:t>, 61–71, https://doi.org/10.1016/j.dsr.2012.10.013.</w:t>
      </w:r>
    </w:p>
    <w:p w14:paraId="12D5E408" w14:textId="7CE4BC9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 ——, and M. J. Warner, 2015: Transit time distributions and oxygen utilization rates from chlorofluorocarbons and sulfur hexafluoride in the Southeast Pacific Ocean. </w:t>
      </w:r>
      <w:r w:rsidRPr="00E82161">
        <w:rPr>
          <w:rFonts w:ascii="Times New Roman" w:hAnsi="Times New Roman" w:cs="Times New Roman"/>
          <w:i/>
          <w:iCs/>
        </w:rPr>
        <w:t>Journal of Geophysical Research: Oceans</w:t>
      </w:r>
      <w:r w:rsidRPr="00E82161">
        <w:rPr>
          <w:rFonts w:ascii="Times New Roman" w:hAnsi="Times New Roman" w:cs="Times New Roman"/>
        </w:rPr>
        <w:t xml:space="preserve">, </w:t>
      </w:r>
      <w:r w:rsidRPr="00E82161">
        <w:rPr>
          <w:rFonts w:ascii="Times New Roman" w:hAnsi="Times New Roman" w:cs="Times New Roman"/>
          <w:b/>
          <w:bCs/>
        </w:rPr>
        <w:t>120</w:t>
      </w:r>
      <w:r w:rsidRPr="00E82161">
        <w:rPr>
          <w:rFonts w:ascii="Times New Roman" w:hAnsi="Times New Roman" w:cs="Times New Roman"/>
        </w:rPr>
        <w:t>, 3761–3776, https://doi.org/10.1002/2015JC010781.</w:t>
      </w:r>
    </w:p>
    <w:p w14:paraId="3299C639" w14:textId="6E22E709"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Spitzer, W. S., and W. J. Jenkins, 1989: Rates of vertical mixing, gas exchange and new production: Estimates from seasonal gas cycles in the upper ocean near Bermuda. </w:t>
      </w:r>
      <w:r w:rsidRPr="00E82161">
        <w:rPr>
          <w:rFonts w:ascii="Times New Roman" w:hAnsi="Times New Roman" w:cs="Times New Roman"/>
          <w:i/>
          <w:iCs/>
        </w:rPr>
        <w:t>J Mar Res</w:t>
      </w:r>
      <w:r w:rsidRPr="00E82161">
        <w:rPr>
          <w:rFonts w:ascii="Times New Roman" w:hAnsi="Times New Roman" w:cs="Times New Roman"/>
        </w:rPr>
        <w:t xml:space="preserve">, </w:t>
      </w:r>
      <w:r w:rsidRPr="00E82161">
        <w:rPr>
          <w:rFonts w:ascii="Times New Roman" w:hAnsi="Times New Roman" w:cs="Times New Roman"/>
          <w:b/>
          <w:bCs/>
        </w:rPr>
        <w:t>47</w:t>
      </w:r>
      <w:r w:rsidRPr="00E82161">
        <w:rPr>
          <w:rFonts w:ascii="Times New Roman" w:hAnsi="Times New Roman" w:cs="Times New Roman"/>
        </w:rPr>
        <w:t>, 169–196, https://doi.org/10.1357/002224089785076370.</w:t>
      </w:r>
    </w:p>
    <w:p w14:paraId="50563ED7" w14:textId="4C062573"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Stanley, R. H. R., J. B. Kirkpatrick, N. Cassar, B. A. Barnett, and M. L. Bender, 2010: Net community production and gross primary production rates in the western equatorial Pacific.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24</w:t>
      </w:r>
      <w:r w:rsidRPr="00E82161">
        <w:rPr>
          <w:rFonts w:ascii="Times New Roman" w:hAnsi="Times New Roman" w:cs="Times New Roman"/>
        </w:rPr>
        <w:t>, https://doi.org/10.1029/2009GB003651.</w:t>
      </w:r>
    </w:p>
    <w:p w14:paraId="17B5988C" w14:textId="22D79D3F"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Stanley, R. H. R., S. C. Doney, W. J. Jenkins, and I. I. I. Lott, 2012: Apparent oxygen utilization rates calculated from tritium and helium-3 profiles at the Bermuda Atlantic Time-series Study site. </w:t>
      </w:r>
      <w:r w:rsidRPr="00E82161">
        <w:rPr>
          <w:rFonts w:ascii="Times New Roman" w:hAnsi="Times New Roman" w:cs="Times New Roman"/>
          <w:i/>
          <w:iCs/>
        </w:rPr>
        <w:t>Biogeosciences</w:t>
      </w:r>
      <w:r w:rsidRPr="00E82161">
        <w:rPr>
          <w:rFonts w:ascii="Times New Roman" w:hAnsi="Times New Roman" w:cs="Times New Roman"/>
        </w:rPr>
        <w:t xml:space="preserve">, </w:t>
      </w:r>
      <w:r w:rsidRPr="00E82161">
        <w:rPr>
          <w:rFonts w:ascii="Times New Roman" w:hAnsi="Times New Roman" w:cs="Times New Roman"/>
          <w:b/>
          <w:bCs/>
        </w:rPr>
        <w:t>9</w:t>
      </w:r>
      <w:r w:rsidRPr="00E82161">
        <w:rPr>
          <w:rFonts w:ascii="Times New Roman" w:hAnsi="Times New Roman" w:cs="Times New Roman"/>
        </w:rPr>
        <w:t>, 1969–1983, https://doi.org/10.5194/bg-9-1969-2012.</w:t>
      </w:r>
    </w:p>
    <w:p w14:paraId="2CA9EF8E" w14:textId="44B84604"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W. J. Jenkins, S. C. Doney, and D. E. Lott III, 2015: The </w:t>
      </w:r>
      <w:r w:rsidRPr="00E82161">
        <w:rPr>
          <w:rFonts w:ascii="Times New Roman" w:hAnsi="Times New Roman" w:cs="Times New Roman"/>
          <w:vertAlign w:val="superscript"/>
        </w:rPr>
        <w:t>3</w:t>
      </w:r>
      <w:r w:rsidRPr="00E82161">
        <w:rPr>
          <w:rFonts w:ascii="Times New Roman" w:hAnsi="Times New Roman" w:cs="Times New Roman"/>
        </w:rPr>
        <w:t xml:space="preserve">He flux gauge in the Sargasso Sea: a determination of physical nutrient fluxes to the euphotic zone at the Bermuda Atlantic Time-series Site. </w:t>
      </w:r>
      <w:r w:rsidRPr="00E82161">
        <w:rPr>
          <w:rFonts w:ascii="Times New Roman" w:hAnsi="Times New Roman" w:cs="Times New Roman"/>
          <w:i/>
          <w:iCs/>
        </w:rPr>
        <w:t>Biogeosciences</w:t>
      </w:r>
      <w:r w:rsidRPr="00E82161">
        <w:rPr>
          <w:rFonts w:ascii="Times New Roman" w:hAnsi="Times New Roman" w:cs="Times New Roman"/>
        </w:rPr>
        <w:t xml:space="preserve">, </w:t>
      </w:r>
      <w:r w:rsidRPr="00E82161">
        <w:rPr>
          <w:rFonts w:ascii="Times New Roman" w:hAnsi="Times New Roman" w:cs="Times New Roman"/>
          <w:b/>
          <w:bCs/>
        </w:rPr>
        <w:t>12</w:t>
      </w:r>
      <w:r w:rsidRPr="00E82161">
        <w:rPr>
          <w:rFonts w:ascii="Times New Roman" w:hAnsi="Times New Roman" w:cs="Times New Roman"/>
        </w:rPr>
        <w:t>, 5199–5210, https://doi.org/10.5194/bg-12-5199-2015.</w:t>
      </w:r>
    </w:p>
    <w:p w14:paraId="0E57D303" w14:textId="6AF56358"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Sullivan, P. P., L. Romero, J. C. McWilliams, and W. K. Melville, 2012: Transient Evolution of Langmuir Turbulence in Ocean Boundary Layers Driven by Hurricane Winds and Waves. </w:t>
      </w:r>
      <w:r w:rsidRPr="00E82161">
        <w:rPr>
          <w:rFonts w:ascii="Times New Roman" w:hAnsi="Times New Roman" w:cs="Times New Roman"/>
          <w:i/>
          <w:iCs/>
        </w:rPr>
        <w:t>Journal of Physical Oceanography</w:t>
      </w:r>
      <w:r w:rsidRPr="00E82161">
        <w:rPr>
          <w:rFonts w:ascii="Times New Roman" w:hAnsi="Times New Roman" w:cs="Times New Roman"/>
        </w:rPr>
        <w:t xml:space="preserve">, </w:t>
      </w:r>
      <w:r w:rsidRPr="00E82161">
        <w:rPr>
          <w:rFonts w:ascii="Times New Roman" w:hAnsi="Times New Roman" w:cs="Times New Roman"/>
          <w:b/>
          <w:bCs/>
        </w:rPr>
        <w:t>42</w:t>
      </w:r>
      <w:r w:rsidRPr="00E82161">
        <w:rPr>
          <w:rFonts w:ascii="Times New Roman" w:hAnsi="Times New Roman" w:cs="Times New Roman"/>
        </w:rPr>
        <w:t>, 1959–1980, https://doi.org/10.1175/JPO-D-12-025.1.</w:t>
      </w:r>
    </w:p>
    <w:p w14:paraId="5A46C4F3" w14:textId="62F1071A"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Tohjima, Y., H. Mukai, T. Machida, Y. Hoshina, and S.-I. Nakaoka, 2019: Global carbon budgets estimated from atmospheric O</w:t>
      </w:r>
      <w:r w:rsidRPr="00E82161">
        <w:rPr>
          <w:rFonts w:ascii="Times New Roman" w:hAnsi="Times New Roman" w:cs="Times New Roman"/>
          <w:vertAlign w:val="subscript"/>
        </w:rPr>
        <w:t>2</w:t>
      </w:r>
      <w:r w:rsidRPr="00E82161">
        <w:rPr>
          <w:rFonts w:ascii="Times New Roman" w:hAnsi="Times New Roman" w:cs="Times New Roman"/>
        </w:rPr>
        <w:t>∕N</w:t>
      </w:r>
      <w:r w:rsidRPr="00E82161">
        <w:rPr>
          <w:rFonts w:ascii="Times New Roman" w:hAnsi="Times New Roman" w:cs="Times New Roman"/>
          <w:vertAlign w:val="subscript"/>
        </w:rPr>
        <w:t>2</w:t>
      </w:r>
      <w:r w:rsidRPr="00E82161">
        <w:rPr>
          <w:rFonts w:ascii="Times New Roman" w:hAnsi="Times New Roman" w:cs="Times New Roman"/>
        </w:rPr>
        <w:t xml:space="preserve"> and CO</w:t>
      </w:r>
      <w:r w:rsidRPr="00E82161">
        <w:rPr>
          <w:rFonts w:ascii="Times New Roman" w:hAnsi="Times New Roman" w:cs="Times New Roman"/>
          <w:vertAlign w:val="subscript"/>
        </w:rPr>
        <w:t>2</w:t>
      </w:r>
      <w:r w:rsidRPr="00E82161">
        <w:rPr>
          <w:rFonts w:ascii="Times New Roman" w:hAnsi="Times New Roman" w:cs="Times New Roman"/>
        </w:rPr>
        <w:t xml:space="preserve"> observations in the western Pacific region over a 15-year period. </w:t>
      </w:r>
      <w:r w:rsidRPr="00E82161">
        <w:rPr>
          <w:rFonts w:ascii="Times New Roman" w:hAnsi="Times New Roman" w:cs="Times New Roman"/>
          <w:i/>
          <w:iCs/>
        </w:rPr>
        <w:t>Atmospheric Chemistry and Physics</w:t>
      </w:r>
      <w:r w:rsidRPr="00E82161">
        <w:rPr>
          <w:rFonts w:ascii="Times New Roman" w:hAnsi="Times New Roman" w:cs="Times New Roman"/>
        </w:rPr>
        <w:t xml:space="preserve">, </w:t>
      </w:r>
      <w:r w:rsidRPr="00E82161">
        <w:rPr>
          <w:rFonts w:ascii="Times New Roman" w:hAnsi="Times New Roman" w:cs="Times New Roman"/>
          <w:b/>
          <w:bCs/>
        </w:rPr>
        <w:t>19</w:t>
      </w:r>
      <w:r w:rsidRPr="00E82161">
        <w:rPr>
          <w:rFonts w:ascii="Times New Roman" w:hAnsi="Times New Roman" w:cs="Times New Roman"/>
        </w:rPr>
        <w:t>, 9269–9285, https://doi.org/10.5194/acp-19-9269-2019.</w:t>
      </w:r>
    </w:p>
    <w:p w14:paraId="67FE7438" w14:textId="53AA4C15"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Tomita, H., T. Hihara, S. Kako, M. Kubota, and K. Kutsuwada, 2019: An introduction to J-OFURO3, a third-generation Japanese ocean flux data set using remote-sensing observations. </w:t>
      </w:r>
      <w:r w:rsidRPr="00E82161">
        <w:rPr>
          <w:rFonts w:ascii="Times New Roman" w:hAnsi="Times New Roman" w:cs="Times New Roman"/>
          <w:i/>
          <w:iCs/>
        </w:rPr>
        <w:t>J Oceanogr</w:t>
      </w:r>
      <w:r w:rsidRPr="00E82161">
        <w:rPr>
          <w:rFonts w:ascii="Times New Roman" w:hAnsi="Times New Roman" w:cs="Times New Roman"/>
        </w:rPr>
        <w:t xml:space="preserve">, </w:t>
      </w:r>
      <w:r w:rsidRPr="00E82161">
        <w:rPr>
          <w:rFonts w:ascii="Times New Roman" w:hAnsi="Times New Roman" w:cs="Times New Roman"/>
          <w:b/>
          <w:bCs/>
        </w:rPr>
        <w:t>75</w:t>
      </w:r>
      <w:r w:rsidRPr="00E82161">
        <w:rPr>
          <w:rFonts w:ascii="Times New Roman" w:hAnsi="Times New Roman" w:cs="Times New Roman"/>
        </w:rPr>
        <w:t>, 171–194, https://doi.org/10.1007/s10872-018-0493-x.</w:t>
      </w:r>
    </w:p>
    <w:p w14:paraId="27BD6F4C" w14:textId="4735A11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Wakita, M., and Coauthors, 2016: Biological organic carbon export estimated from the annual carbon budget observed in the surface waters of the western subarctic and subtropical North Pacific Ocean from 2004 to 2013. </w:t>
      </w:r>
      <w:r w:rsidRPr="00E82161">
        <w:rPr>
          <w:rFonts w:ascii="Times New Roman" w:hAnsi="Times New Roman" w:cs="Times New Roman"/>
          <w:i/>
          <w:iCs/>
        </w:rPr>
        <w:t>J Oceanogr</w:t>
      </w:r>
      <w:r w:rsidRPr="00E82161">
        <w:rPr>
          <w:rFonts w:ascii="Times New Roman" w:hAnsi="Times New Roman" w:cs="Times New Roman"/>
        </w:rPr>
        <w:t xml:space="preserve">, </w:t>
      </w:r>
      <w:r w:rsidRPr="00E82161">
        <w:rPr>
          <w:rFonts w:ascii="Times New Roman" w:hAnsi="Times New Roman" w:cs="Times New Roman"/>
          <w:b/>
          <w:bCs/>
        </w:rPr>
        <w:t>72</w:t>
      </w:r>
      <w:r w:rsidRPr="00E82161">
        <w:rPr>
          <w:rFonts w:ascii="Times New Roman" w:hAnsi="Times New Roman" w:cs="Times New Roman"/>
        </w:rPr>
        <w:t>, 665–685, https://doi.org/10.1007/s10872-016-0379-8.</w:t>
      </w:r>
    </w:p>
    <w:p w14:paraId="2963801E" w14:textId="6F71B29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Watson, A. J., U. Schuster, J. D. Shutler, T. Holding, I. G. C. Ashton, P. Landschützer, D. K. Woolf, and L. Goddijn-Murphy, 2020: Revised estimates of ocean-atmosphere CO 2 flux are consistent with ocean carbon inventory. </w:t>
      </w:r>
      <w:r w:rsidRPr="00E82161">
        <w:rPr>
          <w:rFonts w:ascii="Times New Roman" w:hAnsi="Times New Roman" w:cs="Times New Roman"/>
          <w:i/>
          <w:iCs/>
        </w:rPr>
        <w:t>Nat Commun</w:t>
      </w:r>
      <w:r w:rsidRPr="00E82161">
        <w:rPr>
          <w:rFonts w:ascii="Times New Roman" w:hAnsi="Times New Roman" w:cs="Times New Roman"/>
        </w:rPr>
        <w:t xml:space="preserve">, </w:t>
      </w:r>
      <w:r w:rsidRPr="00E82161">
        <w:rPr>
          <w:rFonts w:ascii="Times New Roman" w:hAnsi="Times New Roman" w:cs="Times New Roman"/>
          <w:b/>
          <w:bCs/>
        </w:rPr>
        <w:t>11</w:t>
      </w:r>
      <w:r w:rsidRPr="00E82161">
        <w:rPr>
          <w:rFonts w:ascii="Times New Roman" w:hAnsi="Times New Roman" w:cs="Times New Roman"/>
        </w:rPr>
        <w:t>, 4422, https://doi.org/10.1038/s41467-020-18203-3.</w:t>
      </w:r>
    </w:p>
    <w:p w14:paraId="6936B9A4" w14:textId="77DC3BE4"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Whalen, C. B., J. A. MacKinnon, and L. D. Talley, 2018: Large-scale impacts of the mesoscale environment on mixing from wind-driven internal waves. </w:t>
      </w:r>
      <w:r w:rsidRPr="00E82161">
        <w:rPr>
          <w:rFonts w:ascii="Times New Roman" w:hAnsi="Times New Roman" w:cs="Times New Roman"/>
          <w:i/>
          <w:iCs/>
        </w:rPr>
        <w:t>Nature Geosci</w:t>
      </w:r>
      <w:r w:rsidRPr="00E82161">
        <w:rPr>
          <w:rFonts w:ascii="Times New Roman" w:hAnsi="Times New Roman" w:cs="Times New Roman"/>
        </w:rPr>
        <w:t xml:space="preserve">, </w:t>
      </w:r>
      <w:r w:rsidRPr="00E82161">
        <w:rPr>
          <w:rFonts w:ascii="Times New Roman" w:hAnsi="Times New Roman" w:cs="Times New Roman"/>
          <w:b/>
          <w:bCs/>
        </w:rPr>
        <w:t>11</w:t>
      </w:r>
      <w:r w:rsidRPr="00E82161">
        <w:rPr>
          <w:rFonts w:ascii="Times New Roman" w:hAnsi="Times New Roman" w:cs="Times New Roman"/>
        </w:rPr>
        <w:t>, 842–847, https://doi.org/10.1038/s41561-018-0213-6.</w:t>
      </w:r>
    </w:p>
    <w:p w14:paraId="737CB200" w14:textId="56F28426"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lastRenderedPageBreak/>
        <w:t xml:space="preserve">Wong, C. S., N. A. D. Waser, Y. Nojiri, F. A. Whitney, J. S. Page, and J. Zeng, 2002: Seasonal cycles of nutrients and dissolved inorganic carbon at high and mid latitudes in the North Pacific Ocean during the Skaugran cruises: determination of new production and nutrient uptake ratios. </w:t>
      </w:r>
      <w:r w:rsidRPr="00E82161">
        <w:rPr>
          <w:rFonts w:ascii="Times New Roman" w:hAnsi="Times New Roman" w:cs="Times New Roman"/>
          <w:i/>
          <w:iCs/>
        </w:rPr>
        <w:t>Deep Sea Research Part II: Topical Studies in Oceanography</w:t>
      </w:r>
      <w:r w:rsidRPr="00E82161">
        <w:rPr>
          <w:rFonts w:ascii="Times New Roman" w:hAnsi="Times New Roman" w:cs="Times New Roman"/>
        </w:rPr>
        <w:t xml:space="preserve">, </w:t>
      </w:r>
      <w:r w:rsidRPr="00E82161">
        <w:rPr>
          <w:rFonts w:ascii="Times New Roman" w:hAnsi="Times New Roman" w:cs="Times New Roman"/>
          <w:b/>
          <w:bCs/>
        </w:rPr>
        <w:t>49</w:t>
      </w:r>
      <w:r w:rsidRPr="00E82161">
        <w:rPr>
          <w:rFonts w:ascii="Times New Roman" w:hAnsi="Times New Roman" w:cs="Times New Roman"/>
        </w:rPr>
        <w:t>, 5317–5338, https://doi.org/10.1016/S0967-0645(02)00193-5.</w:t>
      </w:r>
    </w:p>
    <w:p w14:paraId="11C599A5" w14:textId="30C49C6B"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Yang, B., S. R. Emerson, and S. M. Bushinsky, 2017: Annual net community production in the subtropical Pacific Ocean from in situ oxygen measurements on profiling floats. </w:t>
      </w:r>
      <w:r w:rsidRPr="00E82161">
        <w:rPr>
          <w:rFonts w:ascii="Times New Roman" w:hAnsi="Times New Roman" w:cs="Times New Roman"/>
          <w:i/>
          <w:iCs/>
        </w:rPr>
        <w:t>Global Biogeochemical Cycles</w:t>
      </w:r>
      <w:r w:rsidRPr="00E82161">
        <w:rPr>
          <w:rFonts w:ascii="Times New Roman" w:hAnsi="Times New Roman" w:cs="Times New Roman"/>
        </w:rPr>
        <w:t xml:space="preserve">, </w:t>
      </w:r>
      <w:r w:rsidRPr="00E82161">
        <w:rPr>
          <w:rFonts w:ascii="Times New Roman" w:hAnsi="Times New Roman" w:cs="Times New Roman"/>
          <w:b/>
          <w:bCs/>
        </w:rPr>
        <w:t>31</w:t>
      </w:r>
      <w:r w:rsidRPr="00E82161">
        <w:rPr>
          <w:rFonts w:ascii="Times New Roman" w:hAnsi="Times New Roman" w:cs="Times New Roman"/>
        </w:rPr>
        <w:t>, 728–744, https://doi.org/10.1002/2016GB005545.</w:t>
      </w:r>
    </w:p>
    <w:p w14:paraId="64A41B24" w14:textId="01B17CF5"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 and M. A. Peña, 2018: The effect of the 2013–2016 high temperature anomaly in the subarctic Northeast Pacific (the “Blob”) on net community production. </w:t>
      </w:r>
      <w:r w:rsidRPr="00E82161">
        <w:rPr>
          <w:rFonts w:ascii="Times New Roman" w:hAnsi="Times New Roman" w:cs="Times New Roman"/>
          <w:i/>
          <w:iCs/>
        </w:rPr>
        <w:t>Biogeosciences</w:t>
      </w:r>
      <w:r w:rsidRPr="00E82161">
        <w:rPr>
          <w:rFonts w:ascii="Times New Roman" w:hAnsi="Times New Roman" w:cs="Times New Roman"/>
        </w:rPr>
        <w:t xml:space="preserve">, </w:t>
      </w:r>
      <w:r w:rsidRPr="00E82161">
        <w:rPr>
          <w:rFonts w:ascii="Times New Roman" w:hAnsi="Times New Roman" w:cs="Times New Roman"/>
          <w:b/>
          <w:bCs/>
        </w:rPr>
        <w:t>15</w:t>
      </w:r>
      <w:r w:rsidRPr="00E82161">
        <w:rPr>
          <w:rFonts w:ascii="Times New Roman" w:hAnsi="Times New Roman" w:cs="Times New Roman"/>
        </w:rPr>
        <w:t>, 6747–6759, https://doi.org/10.5194/bg-15-6747-2018.</w:t>
      </w:r>
    </w:p>
    <w:p w14:paraId="06B229DF" w14:textId="11136C71"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 and P. D. Quay, 2019: The Subtropical Ocean’s Biological Carbon Pump Determined From O2 and DIC/DI13C Tracers. </w:t>
      </w:r>
      <w:r w:rsidRPr="00E82161">
        <w:rPr>
          <w:rFonts w:ascii="Times New Roman" w:hAnsi="Times New Roman" w:cs="Times New Roman"/>
          <w:i/>
          <w:iCs/>
        </w:rPr>
        <w:t>Geophysical Research Letters</w:t>
      </w:r>
      <w:r w:rsidRPr="00E82161">
        <w:rPr>
          <w:rFonts w:ascii="Times New Roman" w:hAnsi="Times New Roman" w:cs="Times New Roman"/>
        </w:rPr>
        <w:t xml:space="preserve">, </w:t>
      </w:r>
      <w:r w:rsidRPr="00E82161">
        <w:rPr>
          <w:rFonts w:ascii="Times New Roman" w:hAnsi="Times New Roman" w:cs="Times New Roman"/>
          <w:b/>
          <w:bCs/>
        </w:rPr>
        <w:t>46</w:t>
      </w:r>
      <w:r w:rsidRPr="00E82161">
        <w:rPr>
          <w:rFonts w:ascii="Times New Roman" w:hAnsi="Times New Roman" w:cs="Times New Roman"/>
        </w:rPr>
        <w:t>, 5361–5368, https://doi.org/10.1029/2018GL081239.</w:t>
      </w:r>
    </w:p>
    <w:p w14:paraId="7BFCF1CD" w14:textId="3133EFB0"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 ——, and M. F. Cronin, 2022: Skin Temperature Correction for Calculations of Air-Sea Oxygen Flux and Annual Net Community Production. </w:t>
      </w:r>
      <w:r w:rsidRPr="00E82161">
        <w:rPr>
          <w:rFonts w:ascii="Times New Roman" w:hAnsi="Times New Roman" w:cs="Times New Roman"/>
          <w:i/>
          <w:iCs/>
        </w:rPr>
        <w:t>Geophysical Research Letters</w:t>
      </w:r>
      <w:r w:rsidRPr="00E82161">
        <w:rPr>
          <w:rFonts w:ascii="Times New Roman" w:hAnsi="Times New Roman" w:cs="Times New Roman"/>
        </w:rPr>
        <w:t xml:space="preserve">, </w:t>
      </w:r>
      <w:r w:rsidRPr="00E82161">
        <w:rPr>
          <w:rFonts w:ascii="Times New Roman" w:hAnsi="Times New Roman" w:cs="Times New Roman"/>
          <w:b/>
          <w:bCs/>
        </w:rPr>
        <w:t>49</w:t>
      </w:r>
      <w:r w:rsidRPr="00E82161">
        <w:rPr>
          <w:rFonts w:ascii="Times New Roman" w:hAnsi="Times New Roman" w:cs="Times New Roman"/>
        </w:rPr>
        <w:t>, e2021GL096103, https://doi.org/10.1029/2021GL096103.</w:t>
      </w:r>
    </w:p>
    <w:p w14:paraId="31D5429B" w14:textId="307F0C1A" w:rsidR="00E82161" w:rsidRPr="00E82161" w:rsidRDefault="00E82161" w:rsidP="00E94D5F">
      <w:pPr>
        <w:autoSpaceDE w:val="0"/>
        <w:autoSpaceDN w:val="0"/>
        <w:adjustRightInd w:val="0"/>
        <w:ind w:left="720" w:hanging="720"/>
        <w:rPr>
          <w:rFonts w:ascii="Times New Roman" w:hAnsi="Times New Roman" w:cs="Times New Roman"/>
        </w:rPr>
      </w:pPr>
      <w:r w:rsidRPr="00E82161">
        <w:rPr>
          <w:rFonts w:ascii="Times New Roman" w:hAnsi="Times New Roman" w:cs="Times New Roman"/>
        </w:rPr>
        <w:t xml:space="preserve">Zhang, J., and P. D. Quay, 1997: The total organic carbon export rate based on13C and12C of DIC budgets in the equatorial Pacific region. </w:t>
      </w:r>
      <w:r w:rsidRPr="00E82161">
        <w:rPr>
          <w:rFonts w:ascii="Times New Roman" w:hAnsi="Times New Roman" w:cs="Times New Roman"/>
          <w:i/>
          <w:iCs/>
        </w:rPr>
        <w:t>Deep Sea Research Part II: Topical Studies in Oceanography</w:t>
      </w:r>
      <w:r w:rsidRPr="00E82161">
        <w:rPr>
          <w:rFonts w:ascii="Times New Roman" w:hAnsi="Times New Roman" w:cs="Times New Roman"/>
        </w:rPr>
        <w:t xml:space="preserve">, </w:t>
      </w:r>
      <w:r w:rsidRPr="00E82161">
        <w:rPr>
          <w:rFonts w:ascii="Times New Roman" w:hAnsi="Times New Roman" w:cs="Times New Roman"/>
          <w:b/>
          <w:bCs/>
        </w:rPr>
        <w:t>44</w:t>
      </w:r>
      <w:r w:rsidRPr="00E82161">
        <w:rPr>
          <w:rFonts w:ascii="Times New Roman" w:hAnsi="Times New Roman" w:cs="Times New Roman"/>
        </w:rPr>
        <w:t>, 2163–2190, https://doi.org/10.1016/S0967-0645(97)00032-5.</w:t>
      </w:r>
    </w:p>
    <w:p w14:paraId="5D930115" w14:textId="52D84DCE" w:rsidR="004D6F49" w:rsidRPr="0037216B" w:rsidRDefault="006E46DD" w:rsidP="00630EAA">
      <w:pPr>
        <w:pStyle w:val="13"/>
        <w:ind w:left="660" w:right="240" w:hanging="660"/>
        <w:rPr>
          <w:rStyle w:val="af8"/>
          <w:sz w:val="22"/>
        </w:rPr>
      </w:pPr>
      <w:r>
        <w:rPr>
          <w:rStyle w:val="af8"/>
          <w:sz w:val="22"/>
        </w:rPr>
        <w:fldChar w:fldCharType="end"/>
      </w:r>
    </w:p>
    <w:p w14:paraId="6CE03614" w14:textId="77777777" w:rsidR="0037216B" w:rsidRPr="0037216B" w:rsidRDefault="0037216B" w:rsidP="00B1270B">
      <w:pPr>
        <w:pStyle w:val="13"/>
        <w:ind w:left="720" w:right="240" w:hanging="720"/>
      </w:pPr>
    </w:p>
    <w:sectPr w:rsidR="0037216B" w:rsidRPr="0037216B" w:rsidSect="00122B0A">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A6BC" w14:textId="77777777" w:rsidR="00181B6C" w:rsidRDefault="00181B6C" w:rsidP="008D0DB9">
      <w:r>
        <w:separator/>
      </w:r>
    </w:p>
  </w:endnote>
  <w:endnote w:type="continuationSeparator" w:id="0">
    <w:p w14:paraId="29E50DDA" w14:textId="77777777" w:rsidR="00181B6C" w:rsidRDefault="00181B6C" w:rsidP="008D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243103513"/>
      <w:docPartObj>
        <w:docPartGallery w:val="Page Numbers (Bottom of Page)"/>
        <w:docPartUnique/>
      </w:docPartObj>
    </w:sdtPr>
    <w:sdtContent>
      <w:p w14:paraId="04F072F2" w14:textId="3DA643CE" w:rsidR="00001D5F" w:rsidRDefault="00001D5F" w:rsidP="008211D5">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6D663447" w14:textId="77777777" w:rsidR="00001D5F" w:rsidRDefault="00001D5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36595644"/>
      <w:docPartObj>
        <w:docPartGallery w:val="Page Numbers (Bottom of Page)"/>
        <w:docPartUnique/>
      </w:docPartObj>
    </w:sdtPr>
    <w:sdtContent>
      <w:p w14:paraId="28BE36E5" w14:textId="0A87552F" w:rsidR="00001D5F" w:rsidRDefault="00001D5F" w:rsidP="008211D5">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sidR="00E01077">
          <w:rPr>
            <w:rStyle w:val="a6"/>
            <w:noProof/>
          </w:rPr>
          <w:t>1</w:t>
        </w:r>
        <w:r>
          <w:rPr>
            <w:rStyle w:val="a6"/>
          </w:rPr>
          <w:fldChar w:fldCharType="end"/>
        </w:r>
      </w:p>
    </w:sdtContent>
  </w:sdt>
  <w:p w14:paraId="4820ADF4" w14:textId="77777777" w:rsidR="00001D5F" w:rsidRDefault="00001D5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61AE" w14:textId="77777777" w:rsidR="00181B6C" w:rsidRDefault="00181B6C" w:rsidP="008D0DB9">
      <w:r>
        <w:separator/>
      </w:r>
    </w:p>
  </w:footnote>
  <w:footnote w:type="continuationSeparator" w:id="0">
    <w:p w14:paraId="409765C0" w14:textId="77777777" w:rsidR="00181B6C" w:rsidRDefault="00181B6C" w:rsidP="008D0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57190"/>
    <w:multiLevelType w:val="hybridMultilevel"/>
    <w:tmpl w:val="01766FCE"/>
    <w:lvl w:ilvl="0" w:tplc="70FC0FF0">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41C"/>
    <w:multiLevelType w:val="hybridMultilevel"/>
    <w:tmpl w:val="D17C3812"/>
    <w:lvl w:ilvl="0" w:tplc="A5DC999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F40A92"/>
    <w:multiLevelType w:val="hybridMultilevel"/>
    <w:tmpl w:val="F41C8F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5942603">
    <w:abstractNumId w:val="1"/>
  </w:num>
  <w:num w:numId="2" w16cid:durableId="609972890">
    <w:abstractNumId w:val="2"/>
  </w:num>
  <w:num w:numId="3" w16cid:durableId="195343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166"/>
    <w:rsid w:val="00001D5F"/>
    <w:rsid w:val="0000229B"/>
    <w:rsid w:val="000028E4"/>
    <w:rsid w:val="00002A17"/>
    <w:rsid w:val="000038DC"/>
    <w:rsid w:val="00005F1A"/>
    <w:rsid w:val="00006D0A"/>
    <w:rsid w:val="00007BE9"/>
    <w:rsid w:val="0001341D"/>
    <w:rsid w:val="00013E4C"/>
    <w:rsid w:val="00015D48"/>
    <w:rsid w:val="00017AC9"/>
    <w:rsid w:val="00020354"/>
    <w:rsid w:val="00020FE6"/>
    <w:rsid w:val="00024A97"/>
    <w:rsid w:val="00025807"/>
    <w:rsid w:val="00025CDF"/>
    <w:rsid w:val="00027ACA"/>
    <w:rsid w:val="00027FD7"/>
    <w:rsid w:val="00031FEB"/>
    <w:rsid w:val="00034A4C"/>
    <w:rsid w:val="00036F29"/>
    <w:rsid w:val="00042B7E"/>
    <w:rsid w:val="00043475"/>
    <w:rsid w:val="00043C59"/>
    <w:rsid w:val="0004572E"/>
    <w:rsid w:val="00046249"/>
    <w:rsid w:val="00047A94"/>
    <w:rsid w:val="00050B5A"/>
    <w:rsid w:val="0005358C"/>
    <w:rsid w:val="00057E86"/>
    <w:rsid w:val="0006119E"/>
    <w:rsid w:val="000625D2"/>
    <w:rsid w:val="0006274D"/>
    <w:rsid w:val="000639EF"/>
    <w:rsid w:val="0006475C"/>
    <w:rsid w:val="000660B0"/>
    <w:rsid w:val="00066F43"/>
    <w:rsid w:val="000676F3"/>
    <w:rsid w:val="00071031"/>
    <w:rsid w:val="00082079"/>
    <w:rsid w:val="000823A0"/>
    <w:rsid w:val="00084EE7"/>
    <w:rsid w:val="000862CC"/>
    <w:rsid w:val="000862FD"/>
    <w:rsid w:val="000903C2"/>
    <w:rsid w:val="00091CAA"/>
    <w:rsid w:val="0009518E"/>
    <w:rsid w:val="00095B92"/>
    <w:rsid w:val="00096B4B"/>
    <w:rsid w:val="00096B5F"/>
    <w:rsid w:val="000A145E"/>
    <w:rsid w:val="000A20F0"/>
    <w:rsid w:val="000A4ADF"/>
    <w:rsid w:val="000A646A"/>
    <w:rsid w:val="000A70FE"/>
    <w:rsid w:val="000A7E14"/>
    <w:rsid w:val="000B0D82"/>
    <w:rsid w:val="000B23A1"/>
    <w:rsid w:val="000B46F3"/>
    <w:rsid w:val="000B5642"/>
    <w:rsid w:val="000B5FDD"/>
    <w:rsid w:val="000B7C75"/>
    <w:rsid w:val="000C2327"/>
    <w:rsid w:val="000C3B93"/>
    <w:rsid w:val="000C4612"/>
    <w:rsid w:val="000C50DE"/>
    <w:rsid w:val="000D53FF"/>
    <w:rsid w:val="000D5A7E"/>
    <w:rsid w:val="000D74E0"/>
    <w:rsid w:val="000E2BD9"/>
    <w:rsid w:val="000E5318"/>
    <w:rsid w:val="000F19DC"/>
    <w:rsid w:val="000F2717"/>
    <w:rsid w:val="000F61A5"/>
    <w:rsid w:val="000F76DA"/>
    <w:rsid w:val="00100473"/>
    <w:rsid w:val="0010134B"/>
    <w:rsid w:val="00101842"/>
    <w:rsid w:val="0010373B"/>
    <w:rsid w:val="00103B09"/>
    <w:rsid w:val="0011183C"/>
    <w:rsid w:val="00114E89"/>
    <w:rsid w:val="00117568"/>
    <w:rsid w:val="00122B0A"/>
    <w:rsid w:val="00123A91"/>
    <w:rsid w:val="00124542"/>
    <w:rsid w:val="00124909"/>
    <w:rsid w:val="001250F4"/>
    <w:rsid w:val="00127306"/>
    <w:rsid w:val="00130C55"/>
    <w:rsid w:val="0013303B"/>
    <w:rsid w:val="00141195"/>
    <w:rsid w:val="00141E69"/>
    <w:rsid w:val="001420D7"/>
    <w:rsid w:val="00145494"/>
    <w:rsid w:val="0015054D"/>
    <w:rsid w:val="00150DCE"/>
    <w:rsid w:val="00151289"/>
    <w:rsid w:val="00151D81"/>
    <w:rsid w:val="00152F06"/>
    <w:rsid w:val="0015324B"/>
    <w:rsid w:val="00153AD0"/>
    <w:rsid w:val="00154313"/>
    <w:rsid w:val="00154949"/>
    <w:rsid w:val="00157621"/>
    <w:rsid w:val="0015792F"/>
    <w:rsid w:val="00157A0A"/>
    <w:rsid w:val="00157D86"/>
    <w:rsid w:val="00161ED8"/>
    <w:rsid w:val="0016416E"/>
    <w:rsid w:val="001648DC"/>
    <w:rsid w:val="00164D15"/>
    <w:rsid w:val="00167510"/>
    <w:rsid w:val="00170945"/>
    <w:rsid w:val="001709C9"/>
    <w:rsid w:val="00171F3A"/>
    <w:rsid w:val="00172B08"/>
    <w:rsid w:val="00177153"/>
    <w:rsid w:val="0018052B"/>
    <w:rsid w:val="00181B11"/>
    <w:rsid w:val="00181B6C"/>
    <w:rsid w:val="00181C25"/>
    <w:rsid w:val="00183076"/>
    <w:rsid w:val="001840A2"/>
    <w:rsid w:val="00184DC5"/>
    <w:rsid w:val="00190106"/>
    <w:rsid w:val="00191426"/>
    <w:rsid w:val="00191469"/>
    <w:rsid w:val="00192187"/>
    <w:rsid w:val="001945F8"/>
    <w:rsid w:val="001948B5"/>
    <w:rsid w:val="0019530D"/>
    <w:rsid w:val="00195342"/>
    <w:rsid w:val="001A0307"/>
    <w:rsid w:val="001A2C4C"/>
    <w:rsid w:val="001A46FC"/>
    <w:rsid w:val="001A546C"/>
    <w:rsid w:val="001A59CA"/>
    <w:rsid w:val="001B08EC"/>
    <w:rsid w:val="001B09D6"/>
    <w:rsid w:val="001B139A"/>
    <w:rsid w:val="001B2B1D"/>
    <w:rsid w:val="001B592E"/>
    <w:rsid w:val="001B5CAF"/>
    <w:rsid w:val="001B6E1E"/>
    <w:rsid w:val="001B7F28"/>
    <w:rsid w:val="001C2C3D"/>
    <w:rsid w:val="001C5EFE"/>
    <w:rsid w:val="001D0EA2"/>
    <w:rsid w:val="001D1CD1"/>
    <w:rsid w:val="001D1D5C"/>
    <w:rsid w:val="001D24F2"/>
    <w:rsid w:val="001D3D48"/>
    <w:rsid w:val="001D614A"/>
    <w:rsid w:val="001E106E"/>
    <w:rsid w:val="001E1A8A"/>
    <w:rsid w:val="001E3392"/>
    <w:rsid w:val="001E43F3"/>
    <w:rsid w:val="001E5265"/>
    <w:rsid w:val="001E6D1D"/>
    <w:rsid w:val="001F4C3B"/>
    <w:rsid w:val="00201996"/>
    <w:rsid w:val="00202024"/>
    <w:rsid w:val="002070ED"/>
    <w:rsid w:val="00213333"/>
    <w:rsid w:val="0021435F"/>
    <w:rsid w:val="00215148"/>
    <w:rsid w:val="00217DE3"/>
    <w:rsid w:val="00221E10"/>
    <w:rsid w:val="00222055"/>
    <w:rsid w:val="002258CF"/>
    <w:rsid w:val="002278DE"/>
    <w:rsid w:val="002307B2"/>
    <w:rsid w:val="00231958"/>
    <w:rsid w:val="002325DC"/>
    <w:rsid w:val="00235080"/>
    <w:rsid w:val="00236917"/>
    <w:rsid w:val="00240BEA"/>
    <w:rsid w:val="00241837"/>
    <w:rsid w:val="00251BB7"/>
    <w:rsid w:val="002608A5"/>
    <w:rsid w:val="00261E4C"/>
    <w:rsid w:val="00262153"/>
    <w:rsid w:val="002627C4"/>
    <w:rsid w:val="00262BCF"/>
    <w:rsid w:val="00263DF0"/>
    <w:rsid w:val="00264411"/>
    <w:rsid w:val="00267319"/>
    <w:rsid w:val="00270FAF"/>
    <w:rsid w:val="00271A07"/>
    <w:rsid w:val="002801AD"/>
    <w:rsid w:val="00280DDB"/>
    <w:rsid w:val="00283EB2"/>
    <w:rsid w:val="00292344"/>
    <w:rsid w:val="00293F38"/>
    <w:rsid w:val="00294A26"/>
    <w:rsid w:val="00295A28"/>
    <w:rsid w:val="002A156A"/>
    <w:rsid w:val="002A5244"/>
    <w:rsid w:val="002A6515"/>
    <w:rsid w:val="002B1C1C"/>
    <w:rsid w:val="002B2AEE"/>
    <w:rsid w:val="002B7A61"/>
    <w:rsid w:val="002B7ACC"/>
    <w:rsid w:val="002C09E6"/>
    <w:rsid w:val="002C1E6D"/>
    <w:rsid w:val="002C30F8"/>
    <w:rsid w:val="002D0856"/>
    <w:rsid w:val="002D197E"/>
    <w:rsid w:val="002D1E93"/>
    <w:rsid w:val="002D65CF"/>
    <w:rsid w:val="002D6A74"/>
    <w:rsid w:val="002D788A"/>
    <w:rsid w:val="002D7E0E"/>
    <w:rsid w:val="002E130E"/>
    <w:rsid w:val="002E6304"/>
    <w:rsid w:val="002E6AB7"/>
    <w:rsid w:val="002E79F6"/>
    <w:rsid w:val="002F1C01"/>
    <w:rsid w:val="002F29ED"/>
    <w:rsid w:val="002F36F2"/>
    <w:rsid w:val="002F7C10"/>
    <w:rsid w:val="00300B8D"/>
    <w:rsid w:val="003029F4"/>
    <w:rsid w:val="00304906"/>
    <w:rsid w:val="00306F49"/>
    <w:rsid w:val="0030770E"/>
    <w:rsid w:val="00311093"/>
    <w:rsid w:val="00316DC3"/>
    <w:rsid w:val="003173AD"/>
    <w:rsid w:val="00321E90"/>
    <w:rsid w:val="00322B96"/>
    <w:rsid w:val="00325005"/>
    <w:rsid w:val="00325FE3"/>
    <w:rsid w:val="003263A4"/>
    <w:rsid w:val="00326700"/>
    <w:rsid w:val="00327143"/>
    <w:rsid w:val="00327CB1"/>
    <w:rsid w:val="00327FC5"/>
    <w:rsid w:val="003312E7"/>
    <w:rsid w:val="003363AB"/>
    <w:rsid w:val="00343B46"/>
    <w:rsid w:val="00346B72"/>
    <w:rsid w:val="0035072A"/>
    <w:rsid w:val="00351CB8"/>
    <w:rsid w:val="00352565"/>
    <w:rsid w:val="00353547"/>
    <w:rsid w:val="003567FE"/>
    <w:rsid w:val="003628B6"/>
    <w:rsid w:val="00363934"/>
    <w:rsid w:val="00367D9F"/>
    <w:rsid w:val="0037120B"/>
    <w:rsid w:val="0037216B"/>
    <w:rsid w:val="003733C2"/>
    <w:rsid w:val="00373415"/>
    <w:rsid w:val="00373E71"/>
    <w:rsid w:val="003751A8"/>
    <w:rsid w:val="00375A29"/>
    <w:rsid w:val="003763E6"/>
    <w:rsid w:val="00381F53"/>
    <w:rsid w:val="00384A88"/>
    <w:rsid w:val="00386A43"/>
    <w:rsid w:val="003901CA"/>
    <w:rsid w:val="003905AA"/>
    <w:rsid w:val="003939E7"/>
    <w:rsid w:val="00395DD2"/>
    <w:rsid w:val="00397CC7"/>
    <w:rsid w:val="003A072B"/>
    <w:rsid w:val="003A2A70"/>
    <w:rsid w:val="003A2FF4"/>
    <w:rsid w:val="003A392F"/>
    <w:rsid w:val="003A42D6"/>
    <w:rsid w:val="003A66E7"/>
    <w:rsid w:val="003A6726"/>
    <w:rsid w:val="003B093B"/>
    <w:rsid w:val="003B1E66"/>
    <w:rsid w:val="003B2FF1"/>
    <w:rsid w:val="003B4A5E"/>
    <w:rsid w:val="003B5042"/>
    <w:rsid w:val="003C0DA9"/>
    <w:rsid w:val="003D1659"/>
    <w:rsid w:val="003D617D"/>
    <w:rsid w:val="003D6226"/>
    <w:rsid w:val="003D72BF"/>
    <w:rsid w:val="003F127F"/>
    <w:rsid w:val="003F66D5"/>
    <w:rsid w:val="003F6E7A"/>
    <w:rsid w:val="00400FA5"/>
    <w:rsid w:val="0040616E"/>
    <w:rsid w:val="00412668"/>
    <w:rsid w:val="00415142"/>
    <w:rsid w:val="004220B3"/>
    <w:rsid w:val="0042484A"/>
    <w:rsid w:val="0042541C"/>
    <w:rsid w:val="0042642B"/>
    <w:rsid w:val="0042770E"/>
    <w:rsid w:val="00431628"/>
    <w:rsid w:val="004323FE"/>
    <w:rsid w:val="00437259"/>
    <w:rsid w:val="00442B0E"/>
    <w:rsid w:val="00443836"/>
    <w:rsid w:val="00446B5A"/>
    <w:rsid w:val="00447483"/>
    <w:rsid w:val="004474C9"/>
    <w:rsid w:val="00447A4E"/>
    <w:rsid w:val="00455592"/>
    <w:rsid w:val="004557F1"/>
    <w:rsid w:val="00460264"/>
    <w:rsid w:val="004603A6"/>
    <w:rsid w:val="00462CFE"/>
    <w:rsid w:val="00464EE3"/>
    <w:rsid w:val="00465531"/>
    <w:rsid w:val="00466069"/>
    <w:rsid w:val="00474C3D"/>
    <w:rsid w:val="0047559A"/>
    <w:rsid w:val="00475942"/>
    <w:rsid w:val="00476CC9"/>
    <w:rsid w:val="00481175"/>
    <w:rsid w:val="00486699"/>
    <w:rsid w:val="004918AA"/>
    <w:rsid w:val="004943A8"/>
    <w:rsid w:val="00494BEB"/>
    <w:rsid w:val="0049645E"/>
    <w:rsid w:val="00496F47"/>
    <w:rsid w:val="00497A7F"/>
    <w:rsid w:val="004A0C9C"/>
    <w:rsid w:val="004A1F10"/>
    <w:rsid w:val="004A2A94"/>
    <w:rsid w:val="004A45AE"/>
    <w:rsid w:val="004A6397"/>
    <w:rsid w:val="004A684B"/>
    <w:rsid w:val="004B4733"/>
    <w:rsid w:val="004B747D"/>
    <w:rsid w:val="004C211D"/>
    <w:rsid w:val="004C22C6"/>
    <w:rsid w:val="004D5BA5"/>
    <w:rsid w:val="004D5D09"/>
    <w:rsid w:val="004D6F49"/>
    <w:rsid w:val="004E1C4D"/>
    <w:rsid w:val="004E6E50"/>
    <w:rsid w:val="004F1526"/>
    <w:rsid w:val="004F348F"/>
    <w:rsid w:val="004F5BA8"/>
    <w:rsid w:val="00502663"/>
    <w:rsid w:val="00502A46"/>
    <w:rsid w:val="00505876"/>
    <w:rsid w:val="005059A6"/>
    <w:rsid w:val="00507A1E"/>
    <w:rsid w:val="00513572"/>
    <w:rsid w:val="00513C5A"/>
    <w:rsid w:val="00515C0D"/>
    <w:rsid w:val="00527844"/>
    <w:rsid w:val="00531941"/>
    <w:rsid w:val="00532BE9"/>
    <w:rsid w:val="005360F3"/>
    <w:rsid w:val="00536114"/>
    <w:rsid w:val="0053773A"/>
    <w:rsid w:val="0054073D"/>
    <w:rsid w:val="00542DD7"/>
    <w:rsid w:val="00542FA8"/>
    <w:rsid w:val="00543C9C"/>
    <w:rsid w:val="00545EA4"/>
    <w:rsid w:val="00546644"/>
    <w:rsid w:val="00550DA7"/>
    <w:rsid w:val="005518BD"/>
    <w:rsid w:val="00552554"/>
    <w:rsid w:val="0055349D"/>
    <w:rsid w:val="0055576A"/>
    <w:rsid w:val="00555C2D"/>
    <w:rsid w:val="005610A7"/>
    <w:rsid w:val="0056214F"/>
    <w:rsid w:val="005655DA"/>
    <w:rsid w:val="0057104C"/>
    <w:rsid w:val="00575346"/>
    <w:rsid w:val="00575C97"/>
    <w:rsid w:val="005775F8"/>
    <w:rsid w:val="005778A7"/>
    <w:rsid w:val="00584314"/>
    <w:rsid w:val="0059015D"/>
    <w:rsid w:val="0059092D"/>
    <w:rsid w:val="005913E6"/>
    <w:rsid w:val="0059244C"/>
    <w:rsid w:val="00594ED6"/>
    <w:rsid w:val="005A3623"/>
    <w:rsid w:val="005A5378"/>
    <w:rsid w:val="005A5879"/>
    <w:rsid w:val="005B74F7"/>
    <w:rsid w:val="005C1608"/>
    <w:rsid w:val="005C2B66"/>
    <w:rsid w:val="005C360D"/>
    <w:rsid w:val="005C4E43"/>
    <w:rsid w:val="005C58C3"/>
    <w:rsid w:val="005D2A50"/>
    <w:rsid w:val="005D4241"/>
    <w:rsid w:val="005D53F5"/>
    <w:rsid w:val="005E05B0"/>
    <w:rsid w:val="005E2AF8"/>
    <w:rsid w:val="005E4FFA"/>
    <w:rsid w:val="005F14F2"/>
    <w:rsid w:val="005F1FAE"/>
    <w:rsid w:val="005F62EB"/>
    <w:rsid w:val="005F6F87"/>
    <w:rsid w:val="005F752A"/>
    <w:rsid w:val="0060015F"/>
    <w:rsid w:val="006018E9"/>
    <w:rsid w:val="00602E5F"/>
    <w:rsid w:val="00603891"/>
    <w:rsid w:val="00605E87"/>
    <w:rsid w:val="006069B5"/>
    <w:rsid w:val="00606BDC"/>
    <w:rsid w:val="00610F13"/>
    <w:rsid w:val="006137AB"/>
    <w:rsid w:val="00614F21"/>
    <w:rsid w:val="006156E0"/>
    <w:rsid w:val="00616097"/>
    <w:rsid w:val="00616FC9"/>
    <w:rsid w:val="00625B68"/>
    <w:rsid w:val="0062714D"/>
    <w:rsid w:val="00630753"/>
    <w:rsid w:val="00630EAA"/>
    <w:rsid w:val="00631CD7"/>
    <w:rsid w:val="006360D7"/>
    <w:rsid w:val="0063745F"/>
    <w:rsid w:val="006411B5"/>
    <w:rsid w:val="006426D3"/>
    <w:rsid w:val="00642D59"/>
    <w:rsid w:val="006465C0"/>
    <w:rsid w:val="006503C7"/>
    <w:rsid w:val="00662785"/>
    <w:rsid w:val="00664530"/>
    <w:rsid w:val="006674F4"/>
    <w:rsid w:val="00677671"/>
    <w:rsid w:val="00680087"/>
    <w:rsid w:val="006801D9"/>
    <w:rsid w:val="00682881"/>
    <w:rsid w:val="00682C0F"/>
    <w:rsid w:val="00685C55"/>
    <w:rsid w:val="0068698B"/>
    <w:rsid w:val="00691724"/>
    <w:rsid w:val="00693746"/>
    <w:rsid w:val="00695AB7"/>
    <w:rsid w:val="00695EE0"/>
    <w:rsid w:val="00696861"/>
    <w:rsid w:val="00696DC0"/>
    <w:rsid w:val="006A08CB"/>
    <w:rsid w:val="006A1A97"/>
    <w:rsid w:val="006A2265"/>
    <w:rsid w:val="006A42A3"/>
    <w:rsid w:val="006A5831"/>
    <w:rsid w:val="006A646C"/>
    <w:rsid w:val="006A7DED"/>
    <w:rsid w:val="006A7FE9"/>
    <w:rsid w:val="006B2439"/>
    <w:rsid w:val="006B2626"/>
    <w:rsid w:val="006B2AF3"/>
    <w:rsid w:val="006B42D3"/>
    <w:rsid w:val="006B4891"/>
    <w:rsid w:val="006B4A28"/>
    <w:rsid w:val="006B5237"/>
    <w:rsid w:val="006B64AF"/>
    <w:rsid w:val="006C0333"/>
    <w:rsid w:val="006C147E"/>
    <w:rsid w:val="006C3DF4"/>
    <w:rsid w:val="006D1808"/>
    <w:rsid w:val="006D1E5E"/>
    <w:rsid w:val="006D240F"/>
    <w:rsid w:val="006D32A4"/>
    <w:rsid w:val="006D50C3"/>
    <w:rsid w:val="006D5236"/>
    <w:rsid w:val="006E46DD"/>
    <w:rsid w:val="006E5ACB"/>
    <w:rsid w:val="006E672F"/>
    <w:rsid w:val="006E74BB"/>
    <w:rsid w:val="006F3276"/>
    <w:rsid w:val="006F3E44"/>
    <w:rsid w:val="006F4255"/>
    <w:rsid w:val="00702CA7"/>
    <w:rsid w:val="00703A9B"/>
    <w:rsid w:val="007056AB"/>
    <w:rsid w:val="00715AD0"/>
    <w:rsid w:val="00721EBB"/>
    <w:rsid w:val="00723B66"/>
    <w:rsid w:val="007241FD"/>
    <w:rsid w:val="00727D7D"/>
    <w:rsid w:val="00730A3A"/>
    <w:rsid w:val="0073274A"/>
    <w:rsid w:val="007400DF"/>
    <w:rsid w:val="00741CE6"/>
    <w:rsid w:val="007431F5"/>
    <w:rsid w:val="00743779"/>
    <w:rsid w:val="00746B25"/>
    <w:rsid w:val="007504A7"/>
    <w:rsid w:val="00750647"/>
    <w:rsid w:val="00750A8A"/>
    <w:rsid w:val="00752241"/>
    <w:rsid w:val="00753ACD"/>
    <w:rsid w:val="0075418B"/>
    <w:rsid w:val="00760543"/>
    <w:rsid w:val="00761078"/>
    <w:rsid w:val="00761E7E"/>
    <w:rsid w:val="00762458"/>
    <w:rsid w:val="00764F26"/>
    <w:rsid w:val="00765735"/>
    <w:rsid w:val="00765B88"/>
    <w:rsid w:val="00772588"/>
    <w:rsid w:val="007728BA"/>
    <w:rsid w:val="0077617E"/>
    <w:rsid w:val="0078542D"/>
    <w:rsid w:val="007857F2"/>
    <w:rsid w:val="00787B43"/>
    <w:rsid w:val="0079360A"/>
    <w:rsid w:val="0079533E"/>
    <w:rsid w:val="007A26F3"/>
    <w:rsid w:val="007A7A73"/>
    <w:rsid w:val="007A7CD9"/>
    <w:rsid w:val="007B7A10"/>
    <w:rsid w:val="007C3991"/>
    <w:rsid w:val="007C579D"/>
    <w:rsid w:val="007C6EBC"/>
    <w:rsid w:val="007C75AB"/>
    <w:rsid w:val="007D4690"/>
    <w:rsid w:val="007E1F14"/>
    <w:rsid w:val="007E2069"/>
    <w:rsid w:val="007E65BC"/>
    <w:rsid w:val="007E7D34"/>
    <w:rsid w:val="007E7FB6"/>
    <w:rsid w:val="007F3D58"/>
    <w:rsid w:val="007F6505"/>
    <w:rsid w:val="007F6D07"/>
    <w:rsid w:val="00800DA0"/>
    <w:rsid w:val="008043D6"/>
    <w:rsid w:val="0080700E"/>
    <w:rsid w:val="00812364"/>
    <w:rsid w:val="00814661"/>
    <w:rsid w:val="00814A8F"/>
    <w:rsid w:val="00814C8A"/>
    <w:rsid w:val="0081530B"/>
    <w:rsid w:val="008159A9"/>
    <w:rsid w:val="0081645F"/>
    <w:rsid w:val="00816959"/>
    <w:rsid w:val="00817952"/>
    <w:rsid w:val="00820267"/>
    <w:rsid w:val="00820FFA"/>
    <w:rsid w:val="008211D5"/>
    <w:rsid w:val="008215F4"/>
    <w:rsid w:val="008229C7"/>
    <w:rsid w:val="00825334"/>
    <w:rsid w:val="00827CE0"/>
    <w:rsid w:val="00830234"/>
    <w:rsid w:val="0083110A"/>
    <w:rsid w:val="0083240A"/>
    <w:rsid w:val="00832A34"/>
    <w:rsid w:val="008333E1"/>
    <w:rsid w:val="00834DDD"/>
    <w:rsid w:val="00835B06"/>
    <w:rsid w:val="008405E5"/>
    <w:rsid w:val="0084068B"/>
    <w:rsid w:val="0084629B"/>
    <w:rsid w:val="008507C4"/>
    <w:rsid w:val="00851684"/>
    <w:rsid w:val="00852A56"/>
    <w:rsid w:val="0086487D"/>
    <w:rsid w:val="00866078"/>
    <w:rsid w:val="008738DD"/>
    <w:rsid w:val="00874AD4"/>
    <w:rsid w:val="0088123F"/>
    <w:rsid w:val="008812AA"/>
    <w:rsid w:val="0088309D"/>
    <w:rsid w:val="00884501"/>
    <w:rsid w:val="00886A23"/>
    <w:rsid w:val="0089143D"/>
    <w:rsid w:val="008977BA"/>
    <w:rsid w:val="008A282F"/>
    <w:rsid w:val="008A381E"/>
    <w:rsid w:val="008A6E5F"/>
    <w:rsid w:val="008B06E1"/>
    <w:rsid w:val="008B1D28"/>
    <w:rsid w:val="008B65B2"/>
    <w:rsid w:val="008B6B75"/>
    <w:rsid w:val="008B7ADE"/>
    <w:rsid w:val="008C18E5"/>
    <w:rsid w:val="008C2708"/>
    <w:rsid w:val="008C2F0B"/>
    <w:rsid w:val="008C7308"/>
    <w:rsid w:val="008C7779"/>
    <w:rsid w:val="008D0DB9"/>
    <w:rsid w:val="008D10D3"/>
    <w:rsid w:val="008D128E"/>
    <w:rsid w:val="008D267E"/>
    <w:rsid w:val="008D325A"/>
    <w:rsid w:val="008D6451"/>
    <w:rsid w:val="008D669A"/>
    <w:rsid w:val="008E2C64"/>
    <w:rsid w:val="008E5B5D"/>
    <w:rsid w:val="008F0598"/>
    <w:rsid w:val="008F123A"/>
    <w:rsid w:val="008F1C8B"/>
    <w:rsid w:val="008F58D7"/>
    <w:rsid w:val="008F683C"/>
    <w:rsid w:val="0090127E"/>
    <w:rsid w:val="00901C4F"/>
    <w:rsid w:val="00902D0C"/>
    <w:rsid w:val="00906F50"/>
    <w:rsid w:val="009074FA"/>
    <w:rsid w:val="009104F6"/>
    <w:rsid w:val="00915D9F"/>
    <w:rsid w:val="00923370"/>
    <w:rsid w:val="00923E26"/>
    <w:rsid w:val="0092438C"/>
    <w:rsid w:val="00925ABC"/>
    <w:rsid w:val="00926BBF"/>
    <w:rsid w:val="0092797A"/>
    <w:rsid w:val="00930B8C"/>
    <w:rsid w:val="00933951"/>
    <w:rsid w:val="00933D14"/>
    <w:rsid w:val="00935857"/>
    <w:rsid w:val="009371C1"/>
    <w:rsid w:val="009376D6"/>
    <w:rsid w:val="00941DAD"/>
    <w:rsid w:val="009446B5"/>
    <w:rsid w:val="00944EAD"/>
    <w:rsid w:val="00945122"/>
    <w:rsid w:val="0094584A"/>
    <w:rsid w:val="00947937"/>
    <w:rsid w:val="009500F3"/>
    <w:rsid w:val="0095039F"/>
    <w:rsid w:val="00950ECB"/>
    <w:rsid w:val="00951862"/>
    <w:rsid w:val="0095325B"/>
    <w:rsid w:val="00953A5D"/>
    <w:rsid w:val="009569BA"/>
    <w:rsid w:val="00956CBF"/>
    <w:rsid w:val="009604FC"/>
    <w:rsid w:val="00961E54"/>
    <w:rsid w:val="0096533D"/>
    <w:rsid w:val="009657F9"/>
    <w:rsid w:val="00966D0D"/>
    <w:rsid w:val="00971F58"/>
    <w:rsid w:val="00971F98"/>
    <w:rsid w:val="009740BB"/>
    <w:rsid w:val="0097473D"/>
    <w:rsid w:val="00976780"/>
    <w:rsid w:val="009823FC"/>
    <w:rsid w:val="009840C1"/>
    <w:rsid w:val="0098507F"/>
    <w:rsid w:val="0098528F"/>
    <w:rsid w:val="00987F41"/>
    <w:rsid w:val="00990173"/>
    <w:rsid w:val="00993B3D"/>
    <w:rsid w:val="00995E6D"/>
    <w:rsid w:val="00995FE9"/>
    <w:rsid w:val="0099799C"/>
    <w:rsid w:val="009A07CD"/>
    <w:rsid w:val="009A51D4"/>
    <w:rsid w:val="009B013D"/>
    <w:rsid w:val="009B32B4"/>
    <w:rsid w:val="009B5FBF"/>
    <w:rsid w:val="009C251A"/>
    <w:rsid w:val="009D76CD"/>
    <w:rsid w:val="009E3035"/>
    <w:rsid w:val="009E4E46"/>
    <w:rsid w:val="009E51DC"/>
    <w:rsid w:val="009E58FD"/>
    <w:rsid w:val="009E6AD5"/>
    <w:rsid w:val="009E6CB5"/>
    <w:rsid w:val="009E72D2"/>
    <w:rsid w:val="009E793E"/>
    <w:rsid w:val="009F10F1"/>
    <w:rsid w:val="009F1E21"/>
    <w:rsid w:val="009F35FE"/>
    <w:rsid w:val="009F61B0"/>
    <w:rsid w:val="00A041EE"/>
    <w:rsid w:val="00A05360"/>
    <w:rsid w:val="00A1007C"/>
    <w:rsid w:val="00A10553"/>
    <w:rsid w:val="00A111A7"/>
    <w:rsid w:val="00A12082"/>
    <w:rsid w:val="00A22BD1"/>
    <w:rsid w:val="00A24CBA"/>
    <w:rsid w:val="00A40859"/>
    <w:rsid w:val="00A418B4"/>
    <w:rsid w:val="00A51985"/>
    <w:rsid w:val="00A54050"/>
    <w:rsid w:val="00A545B5"/>
    <w:rsid w:val="00A546A7"/>
    <w:rsid w:val="00A55423"/>
    <w:rsid w:val="00A570EE"/>
    <w:rsid w:val="00A573BC"/>
    <w:rsid w:val="00A60A57"/>
    <w:rsid w:val="00A6245E"/>
    <w:rsid w:val="00A72459"/>
    <w:rsid w:val="00A7475F"/>
    <w:rsid w:val="00A75CE8"/>
    <w:rsid w:val="00A81325"/>
    <w:rsid w:val="00A8576D"/>
    <w:rsid w:val="00A861FB"/>
    <w:rsid w:val="00A9005F"/>
    <w:rsid w:val="00A9316E"/>
    <w:rsid w:val="00A954E3"/>
    <w:rsid w:val="00A961B2"/>
    <w:rsid w:val="00AA14A1"/>
    <w:rsid w:val="00AA5CEC"/>
    <w:rsid w:val="00AA61B1"/>
    <w:rsid w:val="00AA6E45"/>
    <w:rsid w:val="00AB5680"/>
    <w:rsid w:val="00AB7CE2"/>
    <w:rsid w:val="00AC09DC"/>
    <w:rsid w:val="00AC26F5"/>
    <w:rsid w:val="00AC51F8"/>
    <w:rsid w:val="00AC77AB"/>
    <w:rsid w:val="00AD3A28"/>
    <w:rsid w:val="00AD6CE5"/>
    <w:rsid w:val="00AD6EDB"/>
    <w:rsid w:val="00AE2806"/>
    <w:rsid w:val="00AE29C0"/>
    <w:rsid w:val="00AE75A6"/>
    <w:rsid w:val="00AE77D8"/>
    <w:rsid w:val="00AF0943"/>
    <w:rsid w:val="00AF3DE3"/>
    <w:rsid w:val="00B02FDF"/>
    <w:rsid w:val="00B033FC"/>
    <w:rsid w:val="00B05482"/>
    <w:rsid w:val="00B05C11"/>
    <w:rsid w:val="00B10983"/>
    <w:rsid w:val="00B1270B"/>
    <w:rsid w:val="00B127FF"/>
    <w:rsid w:val="00B15FE0"/>
    <w:rsid w:val="00B176E9"/>
    <w:rsid w:val="00B204A5"/>
    <w:rsid w:val="00B20A8A"/>
    <w:rsid w:val="00B21E19"/>
    <w:rsid w:val="00B27758"/>
    <w:rsid w:val="00B34ED3"/>
    <w:rsid w:val="00B357EC"/>
    <w:rsid w:val="00B4061F"/>
    <w:rsid w:val="00B416B8"/>
    <w:rsid w:val="00B42DA3"/>
    <w:rsid w:val="00B44AFC"/>
    <w:rsid w:val="00B4563E"/>
    <w:rsid w:val="00B45D4C"/>
    <w:rsid w:val="00B51A9A"/>
    <w:rsid w:val="00B55EAA"/>
    <w:rsid w:val="00B60062"/>
    <w:rsid w:val="00B63341"/>
    <w:rsid w:val="00B65CE3"/>
    <w:rsid w:val="00B65DFE"/>
    <w:rsid w:val="00B6717B"/>
    <w:rsid w:val="00B713A4"/>
    <w:rsid w:val="00B74044"/>
    <w:rsid w:val="00B746D3"/>
    <w:rsid w:val="00B75CD9"/>
    <w:rsid w:val="00B770A7"/>
    <w:rsid w:val="00B81199"/>
    <w:rsid w:val="00B832E1"/>
    <w:rsid w:val="00B84084"/>
    <w:rsid w:val="00B86426"/>
    <w:rsid w:val="00B8767A"/>
    <w:rsid w:val="00B95004"/>
    <w:rsid w:val="00B95696"/>
    <w:rsid w:val="00B97354"/>
    <w:rsid w:val="00BA4017"/>
    <w:rsid w:val="00BA4ADE"/>
    <w:rsid w:val="00BA4C1B"/>
    <w:rsid w:val="00BA5F1C"/>
    <w:rsid w:val="00BA6394"/>
    <w:rsid w:val="00BA648C"/>
    <w:rsid w:val="00BB20E6"/>
    <w:rsid w:val="00BB3072"/>
    <w:rsid w:val="00BB33DE"/>
    <w:rsid w:val="00BB514B"/>
    <w:rsid w:val="00BB58EA"/>
    <w:rsid w:val="00BB5FE1"/>
    <w:rsid w:val="00BB600A"/>
    <w:rsid w:val="00BB74C8"/>
    <w:rsid w:val="00BC244D"/>
    <w:rsid w:val="00BC3937"/>
    <w:rsid w:val="00BD0A35"/>
    <w:rsid w:val="00BD63A6"/>
    <w:rsid w:val="00BE4B1B"/>
    <w:rsid w:val="00BE5FC0"/>
    <w:rsid w:val="00BF0D88"/>
    <w:rsid w:val="00BF2B77"/>
    <w:rsid w:val="00BF2E4F"/>
    <w:rsid w:val="00BF4FD0"/>
    <w:rsid w:val="00BF5BD5"/>
    <w:rsid w:val="00C011FA"/>
    <w:rsid w:val="00C01A6F"/>
    <w:rsid w:val="00C0231A"/>
    <w:rsid w:val="00C034A6"/>
    <w:rsid w:val="00C03C28"/>
    <w:rsid w:val="00C03F1E"/>
    <w:rsid w:val="00C069F0"/>
    <w:rsid w:val="00C10708"/>
    <w:rsid w:val="00C119F9"/>
    <w:rsid w:val="00C15B0E"/>
    <w:rsid w:val="00C223DA"/>
    <w:rsid w:val="00C30D4D"/>
    <w:rsid w:val="00C31254"/>
    <w:rsid w:val="00C3414D"/>
    <w:rsid w:val="00C50E78"/>
    <w:rsid w:val="00C52970"/>
    <w:rsid w:val="00C53EB0"/>
    <w:rsid w:val="00C63CBE"/>
    <w:rsid w:val="00C64659"/>
    <w:rsid w:val="00C6505D"/>
    <w:rsid w:val="00C6625F"/>
    <w:rsid w:val="00C66686"/>
    <w:rsid w:val="00C7379B"/>
    <w:rsid w:val="00C746FA"/>
    <w:rsid w:val="00C77ADD"/>
    <w:rsid w:val="00C83D2A"/>
    <w:rsid w:val="00C85599"/>
    <w:rsid w:val="00C86445"/>
    <w:rsid w:val="00C86FA9"/>
    <w:rsid w:val="00C918F5"/>
    <w:rsid w:val="00C93503"/>
    <w:rsid w:val="00C93A21"/>
    <w:rsid w:val="00C94015"/>
    <w:rsid w:val="00C9666A"/>
    <w:rsid w:val="00CA0116"/>
    <w:rsid w:val="00CA36E8"/>
    <w:rsid w:val="00CB31C2"/>
    <w:rsid w:val="00CB3C68"/>
    <w:rsid w:val="00CB7642"/>
    <w:rsid w:val="00CC178B"/>
    <w:rsid w:val="00CC35B4"/>
    <w:rsid w:val="00CC5460"/>
    <w:rsid w:val="00CC666D"/>
    <w:rsid w:val="00CC713E"/>
    <w:rsid w:val="00CC73ED"/>
    <w:rsid w:val="00CC7CB2"/>
    <w:rsid w:val="00CD0E2E"/>
    <w:rsid w:val="00CD6657"/>
    <w:rsid w:val="00CD6D80"/>
    <w:rsid w:val="00CE0216"/>
    <w:rsid w:val="00CE1A9A"/>
    <w:rsid w:val="00CE3160"/>
    <w:rsid w:val="00CE576E"/>
    <w:rsid w:val="00CE5B81"/>
    <w:rsid w:val="00CE61FB"/>
    <w:rsid w:val="00CE6880"/>
    <w:rsid w:val="00CE75F5"/>
    <w:rsid w:val="00D00B56"/>
    <w:rsid w:val="00D01705"/>
    <w:rsid w:val="00D0354A"/>
    <w:rsid w:val="00D0465C"/>
    <w:rsid w:val="00D04C1D"/>
    <w:rsid w:val="00D108E6"/>
    <w:rsid w:val="00D11802"/>
    <w:rsid w:val="00D1291C"/>
    <w:rsid w:val="00D176C2"/>
    <w:rsid w:val="00D22022"/>
    <w:rsid w:val="00D266CF"/>
    <w:rsid w:val="00D3009E"/>
    <w:rsid w:val="00D30802"/>
    <w:rsid w:val="00D31662"/>
    <w:rsid w:val="00D31DF6"/>
    <w:rsid w:val="00D325AE"/>
    <w:rsid w:val="00D33CC4"/>
    <w:rsid w:val="00D4196A"/>
    <w:rsid w:val="00D43104"/>
    <w:rsid w:val="00D4335E"/>
    <w:rsid w:val="00D43B21"/>
    <w:rsid w:val="00D46576"/>
    <w:rsid w:val="00D47055"/>
    <w:rsid w:val="00D535C1"/>
    <w:rsid w:val="00D547CE"/>
    <w:rsid w:val="00D55CD6"/>
    <w:rsid w:val="00D569AA"/>
    <w:rsid w:val="00D57293"/>
    <w:rsid w:val="00D57563"/>
    <w:rsid w:val="00D575C4"/>
    <w:rsid w:val="00D57FCA"/>
    <w:rsid w:val="00D6373E"/>
    <w:rsid w:val="00D71AD6"/>
    <w:rsid w:val="00D722DE"/>
    <w:rsid w:val="00D72569"/>
    <w:rsid w:val="00D81389"/>
    <w:rsid w:val="00D83431"/>
    <w:rsid w:val="00D8684C"/>
    <w:rsid w:val="00D9564B"/>
    <w:rsid w:val="00D96141"/>
    <w:rsid w:val="00DA090D"/>
    <w:rsid w:val="00DA341D"/>
    <w:rsid w:val="00DB328A"/>
    <w:rsid w:val="00DB5A88"/>
    <w:rsid w:val="00DC07F8"/>
    <w:rsid w:val="00DC550A"/>
    <w:rsid w:val="00DD0779"/>
    <w:rsid w:val="00DD1FC5"/>
    <w:rsid w:val="00DD2139"/>
    <w:rsid w:val="00DD368D"/>
    <w:rsid w:val="00DD557B"/>
    <w:rsid w:val="00DD67ED"/>
    <w:rsid w:val="00DD7722"/>
    <w:rsid w:val="00DE122A"/>
    <w:rsid w:val="00DE5C6C"/>
    <w:rsid w:val="00DE5CAA"/>
    <w:rsid w:val="00DE6379"/>
    <w:rsid w:val="00DF16C1"/>
    <w:rsid w:val="00DF1B8F"/>
    <w:rsid w:val="00DF2461"/>
    <w:rsid w:val="00DF2650"/>
    <w:rsid w:val="00DF3879"/>
    <w:rsid w:val="00DF4196"/>
    <w:rsid w:val="00DF5338"/>
    <w:rsid w:val="00DF7B54"/>
    <w:rsid w:val="00E01077"/>
    <w:rsid w:val="00E04AC0"/>
    <w:rsid w:val="00E1003C"/>
    <w:rsid w:val="00E105BB"/>
    <w:rsid w:val="00E10E00"/>
    <w:rsid w:val="00E10E8D"/>
    <w:rsid w:val="00E11EB4"/>
    <w:rsid w:val="00E1380D"/>
    <w:rsid w:val="00E14D11"/>
    <w:rsid w:val="00E20286"/>
    <w:rsid w:val="00E20361"/>
    <w:rsid w:val="00E21042"/>
    <w:rsid w:val="00E22D46"/>
    <w:rsid w:val="00E249B2"/>
    <w:rsid w:val="00E30D10"/>
    <w:rsid w:val="00E32EA8"/>
    <w:rsid w:val="00E351D7"/>
    <w:rsid w:val="00E36A40"/>
    <w:rsid w:val="00E4247B"/>
    <w:rsid w:val="00E42ADF"/>
    <w:rsid w:val="00E430A1"/>
    <w:rsid w:val="00E434DE"/>
    <w:rsid w:val="00E43A20"/>
    <w:rsid w:val="00E45920"/>
    <w:rsid w:val="00E46166"/>
    <w:rsid w:val="00E4653A"/>
    <w:rsid w:val="00E47233"/>
    <w:rsid w:val="00E5195A"/>
    <w:rsid w:val="00E54663"/>
    <w:rsid w:val="00E562F9"/>
    <w:rsid w:val="00E57FA8"/>
    <w:rsid w:val="00E6237E"/>
    <w:rsid w:val="00E67C06"/>
    <w:rsid w:val="00E76277"/>
    <w:rsid w:val="00E8091E"/>
    <w:rsid w:val="00E81A6C"/>
    <w:rsid w:val="00E81D92"/>
    <w:rsid w:val="00E82161"/>
    <w:rsid w:val="00E8232A"/>
    <w:rsid w:val="00E83834"/>
    <w:rsid w:val="00E87D1C"/>
    <w:rsid w:val="00E91407"/>
    <w:rsid w:val="00E92089"/>
    <w:rsid w:val="00E93114"/>
    <w:rsid w:val="00E931CD"/>
    <w:rsid w:val="00E94D5F"/>
    <w:rsid w:val="00E96C81"/>
    <w:rsid w:val="00EA16C8"/>
    <w:rsid w:val="00EA18E0"/>
    <w:rsid w:val="00EA1B57"/>
    <w:rsid w:val="00EB1220"/>
    <w:rsid w:val="00EB12F1"/>
    <w:rsid w:val="00EB349C"/>
    <w:rsid w:val="00EB36DE"/>
    <w:rsid w:val="00EB4252"/>
    <w:rsid w:val="00EB63AB"/>
    <w:rsid w:val="00EC3B37"/>
    <w:rsid w:val="00EC3C09"/>
    <w:rsid w:val="00EC6D5B"/>
    <w:rsid w:val="00ED2BAC"/>
    <w:rsid w:val="00ED4953"/>
    <w:rsid w:val="00ED5823"/>
    <w:rsid w:val="00ED6543"/>
    <w:rsid w:val="00EE4DCE"/>
    <w:rsid w:val="00EE550F"/>
    <w:rsid w:val="00EE65C0"/>
    <w:rsid w:val="00EF1C66"/>
    <w:rsid w:val="00EF201F"/>
    <w:rsid w:val="00EF445F"/>
    <w:rsid w:val="00EF4946"/>
    <w:rsid w:val="00EF5537"/>
    <w:rsid w:val="00EF6BDC"/>
    <w:rsid w:val="00EF7627"/>
    <w:rsid w:val="00F013F3"/>
    <w:rsid w:val="00F02CE2"/>
    <w:rsid w:val="00F03FDD"/>
    <w:rsid w:val="00F04F62"/>
    <w:rsid w:val="00F04F8F"/>
    <w:rsid w:val="00F05378"/>
    <w:rsid w:val="00F066A2"/>
    <w:rsid w:val="00F06CB9"/>
    <w:rsid w:val="00F07610"/>
    <w:rsid w:val="00F1077F"/>
    <w:rsid w:val="00F1081B"/>
    <w:rsid w:val="00F12857"/>
    <w:rsid w:val="00F16C67"/>
    <w:rsid w:val="00F20643"/>
    <w:rsid w:val="00F267EE"/>
    <w:rsid w:val="00F30155"/>
    <w:rsid w:val="00F304DB"/>
    <w:rsid w:val="00F377A8"/>
    <w:rsid w:val="00F441F4"/>
    <w:rsid w:val="00F44653"/>
    <w:rsid w:val="00F452C1"/>
    <w:rsid w:val="00F51C90"/>
    <w:rsid w:val="00F5418C"/>
    <w:rsid w:val="00F5674D"/>
    <w:rsid w:val="00F56AFD"/>
    <w:rsid w:val="00F60920"/>
    <w:rsid w:val="00F6163D"/>
    <w:rsid w:val="00F61E21"/>
    <w:rsid w:val="00F6377A"/>
    <w:rsid w:val="00F63BF5"/>
    <w:rsid w:val="00F63FB4"/>
    <w:rsid w:val="00F65911"/>
    <w:rsid w:val="00F65FDF"/>
    <w:rsid w:val="00F670A0"/>
    <w:rsid w:val="00F673F1"/>
    <w:rsid w:val="00F732C1"/>
    <w:rsid w:val="00F7390F"/>
    <w:rsid w:val="00F73F9C"/>
    <w:rsid w:val="00F87F00"/>
    <w:rsid w:val="00F97AFA"/>
    <w:rsid w:val="00FA3BD9"/>
    <w:rsid w:val="00FB1383"/>
    <w:rsid w:val="00FB1AD2"/>
    <w:rsid w:val="00FB2700"/>
    <w:rsid w:val="00FB5FBE"/>
    <w:rsid w:val="00FB6431"/>
    <w:rsid w:val="00FC157C"/>
    <w:rsid w:val="00FC1BE7"/>
    <w:rsid w:val="00FC368F"/>
    <w:rsid w:val="00FC748A"/>
    <w:rsid w:val="00FD2BBD"/>
    <w:rsid w:val="00FD2CE3"/>
    <w:rsid w:val="00FD35C0"/>
    <w:rsid w:val="00FD6FC5"/>
    <w:rsid w:val="00FD7855"/>
    <w:rsid w:val="00FE527E"/>
    <w:rsid w:val="00FE612F"/>
    <w:rsid w:val="00FE6654"/>
    <w:rsid w:val="00FF4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BD72EA"/>
  <w15:docId w15:val="{AA4C09BD-5341-4235-ABBE-F3B0F530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7AB"/>
    <w:rPr>
      <w:rFonts w:ascii="ＭＳ Ｐゴシック" w:eastAsia="ＭＳ Ｐゴシック" w:hAnsi="ＭＳ Ｐゴシック" w:cs="ＭＳ Ｐゴシック"/>
    </w:rPr>
  </w:style>
  <w:style w:type="paragraph" w:styleId="1">
    <w:name w:val="heading 1"/>
    <w:basedOn w:val="a"/>
    <w:next w:val="a"/>
    <w:link w:val="10"/>
    <w:uiPriority w:val="9"/>
    <w:qFormat/>
    <w:rsid w:val="006B42D3"/>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D0DB9"/>
  </w:style>
  <w:style w:type="paragraph" w:styleId="a4">
    <w:name w:val="footer"/>
    <w:basedOn w:val="a"/>
    <w:link w:val="a5"/>
    <w:uiPriority w:val="99"/>
    <w:unhideWhenUsed/>
    <w:rsid w:val="008D0DB9"/>
    <w:pPr>
      <w:tabs>
        <w:tab w:val="center" w:pos="4680"/>
        <w:tab w:val="right" w:pos="9360"/>
      </w:tabs>
    </w:pPr>
    <w:rPr>
      <w:rFonts w:asciiTheme="minorHAnsi" w:eastAsiaTheme="minorEastAsia" w:hAnsiTheme="minorHAnsi" w:cstheme="minorBidi"/>
    </w:rPr>
  </w:style>
  <w:style w:type="character" w:customStyle="1" w:styleId="a5">
    <w:name w:val="フッター (文字)"/>
    <w:basedOn w:val="a0"/>
    <w:link w:val="a4"/>
    <w:uiPriority w:val="99"/>
    <w:rsid w:val="008D0DB9"/>
  </w:style>
  <w:style w:type="character" w:styleId="a6">
    <w:name w:val="page number"/>
    <w:basedOn w:val="a0"/>
    <w:uiPriority w:val="99"/>
    <w:semiHidden/>
    <w:unhideWhenUsed/>
    <w:rsid w:val="008D0DB9"/>
  </w:style>
  <w:style w:type="paragraph" w:styleId="a7">
    <w:name w:val="List Paragraph"/>
    <w:basedOn w:val="a"/>
    <w:uiPriority w:val="34"/>
    <w:qFormat/>
    <w:rsid w:val="00BF2B77"/>
    <w:pPr>
      <w:ind w:left="720"/>
      <w:contextualSpacing/>
    </w:pPr>
    <w:rPr>
      <w:rFonts w:asciiTheme="minorHAnsi" w:eastAsiaTheme="minorEastAsia" w:hAnsiTheme="minorHAnsi" w:cstheme="minorBidi"/>
    </w:rPr>
  </w:style>
  <w:style w:type="paragraph" w:styleId="a8">
    <w:name w:val="Balloon Text"/>
    <w:basedOn w:val="a"/>
    <w:link w:val="a9"/>
    <w:uiPriority w:val="99"/>
    <w:semiHidden/>
    <w:unhideWhenUsed/>
    <w:rsid w:val="00D47055"/>
    <w:rPr>
      <w:rFonts w:ascii="Times New Roman" w:eastAsiaTheme="minorEastAsia" w:hAnsi="Times New Roman" w:cs="Times New Roman"/>
      <w:sz w:val="18"/>
      <w:szCs w:val="18"/>
    </w:rPr>
  </w:style>
  <w:style w:type="character" w:customStyle="1" w:styleId="a9">
    <w:name w:val="吹き出し (文字)"/>
    <w:basedOn w:val="a0"/>
    <w:link w:val="a8"/>
    <w:uiPriority w:val="99"/>
    <w:semiHidden/>
    <w:rsid w:val="00D47055"/>
    <w:rPr>
      <w:rFonts w:ascii="Times New Roman" w:hAnsi="Times New Roman" w:cs="Times New Roman"/>
      <w:sz w:val="18"/>
      <w:szCs w:val="18"/>
    </w:rPr>
  </w:style>
  <w:style w:type="character" w:styleId="aa">
    <w:name w:val="Placeholder Text"/>
    <w:basedOn w:val="a0"/>
    <w:uiPriority w:val="99"/>
    <w:semiHidden/>
    <w:rsid w:val="00BB600A"/>
    <w:rPr>
      <w:color w:val="808080"/>
    </w:rPr>
  </w:style>
  <w:style w:type="table" w:styleId="ab">
    <w:name w:val="Table Grid"/>
    <w:basedOn w:val="a1"/>
    <w:uiPriority w:val="39"/>
    <w:rsid w:val="00BB6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0F2717"/>
    <w:rPr>
      <w:color w:val="0563C1" w:themeColor="hyperlink"/>
      <w:u w:val="single"/>
    </w:rPr>
  </w:style>
  <w:style w:type="character" w:customStyle="1" w:styleId="UnresolvedMention1">
    <w:name w:val="Unresolved Mention1"/>
    <w:basedOn w:val="a0"/>
    <w:uiPriority w:val="99"/>
    <w:semiHidden/>
    <w:unhideWhenUsed/>
    <w:rsid w:val="000F2717"/>
    <w:rPr>
      <w:color w:val="605E5C"/>
      <w:shd w:val="clear" w:color="auto" w:fill="E1DFDD"/>
    </w:rPr>
  </w:style>
  <w:style w:type="paragraph" w:styleId="ad">
    <w:name w:val="footnote text"/>
    <w:basedOn w:val="a"/>
    <w:link w:val="ae"/>
    <w:uiPriority w:val="99"/>
    <w:semiHidden/>
    <w:unhideWhenUsed/>
    <w:rsid w:val="006B42D3"/>
    <w:rPr>
      <w:rFonts w:asciiTheme="minorHAnsi" w:eastAsiaTheme="minorEastAsia" w:hAnsiTheme="minorHAnsi" w:cstheme="minorBidi"/>
      <w:sz w:val="20"/>
      <w:szCs w:val="20"/>
    </w:rPr>
  </w:style>
  <w:style w:type="character" w:customStyle="1" w:styleId="ae">
    <w:name w:val="脚注文字列 (文字)"/>
    <w:basedOn w:val="a0"/>
    <w:link w:val="ad"/>
    <w:uiPriority w:val="99"/>
    <w:semiHidden/>
    <w:rsid w:val="006B42D3"/>
    <w:rPr>
      <w:sz w:val="20"/>
      <w:szCs w:val="20"/>
    </w:rPr>
  </w:style>
  <w:style w:type="character" w:styleId="af">
    <w:name w:val="footnote reference"/>
    <w:basedOn w:val="a0"/>
    <w:uiPriority w:val="99"/>
    <w:semiHidden/>
    <w:unhideWhenUsed/>
    <w:rsid w:val="006B42D3"/>
    <w:rPr>
      <w:vertAlign w:val="superscript"/>
    </w:rPr>
  </w:style>
  <w:style w:type="character" w:customStyle="1" w:styleId="10">
    <w:name w:val="見出し 1 (文字)"/>
    <w:basedOn w:val="a0"/>
    <w:link w:val="1"/>
    <w:uiPriority w:val="9"/>
    <w:rsid w:val="006B42D3"/>
    <w:rPr>
      <w:rFonts w:asciiTheme="majorHAnsi" w:eastAsiaTheme="majorEastAsia" w:hAnsiTheme="majorHAnsi" w:cstheme="majorBidi"/>
      <w:b/>
      <w:bCs/>
      <w:color w:val="2F5496" w:themeColor="accent1" w:themeShade="BF"/>
      <w:sz w:val="28"/>
      <w:szCs w:val="28"/>
      <w:lang w:val="en-US" w:eastAsia="en-US" w:bidi="en-US"/>
    </w:rPr>
  </w:style>
  <w:style w:type="character" w:styleId="af0">
    <w:name w:val="annotation reference"/>
    <w:basedOn w:val="a0"/>
    <w:uiPriority w:val="99"/>
    <w:semiHidden/>
    <w:unhideWhenUsed/>
    <w:rsid w:val="00CD6657"/>
    <w:rPr>
      <w:sz w:val="16"/>
      <w:szCs w:val="16"/>
    </w:rPr>
  </w:style>
  <w:style w:type="paragraph" w:styleId="af1">
    <w:name w:val="annotation text"/>
    <w:basedOn w:val="a"/>
    <w:link w:val="af2"/>
    <w:uiPriority w:val="99"/>
    <w:unhideWhenUsed/>
    <w:rsid w:val="000639EF"/>
    <w:rPr>
      <w:rFonts w:asciiTheme="minorHAnsi" w:eastAsiaTheme="minorEastAsia" w:hAnsiTheme="minorHAnsi" w:cstheme="minorBidi"/>
      <w:sz w:val="20"/>
      <w:szCs w:val="20"/>
    </w:rPr>
  </w:style>
  <w:style w:type="character" w:customStyle="1" w:styleId="af2">
    <w:name w:val="コメント文字列 (文字)"/>
    <w:basedOn w:val="a0"/>
    <w:link w:val="af1"/>
    <w:uiPriority w:val="99"/>
    <w:rsid w:val="00CD6657"/>
    <w:rPr>
      <w:sz w:val="20"/>
      <w:szCs w:val="20"/>
    </w:rPr>
  </w:style>
  <w:style w:type="paragraph" w:styleId="af3">
    <w:name w:val="annotation subject"/>
    <w:basedOn w:val="af1"/>
    <w:next w:val="af1"/>
    <w:link w:val="af4"/>
    <w:uiPriority w:val="99"/>
    <w:semiHidden/>
    <w:unhideWhenUsed/>
    <w:rsid w:val="00CD6657"/>
    <w:rPr>
      <w:b/>
      <w:bCs/>
    </w:rPr>
  </w:style>
  <w:style w:type="character" w:customStyle="1" w:styleId="af4">
    <w:name w:val="コメント内容 (文字)"/>
    <w:basedOn w:val="af2"/>
    <w:link w:val="af3"/>
    <w:uiPriority w:val="99"/>
    <w:semiHidden/>
    <w:rsid w:val="00CD6657"/>
    <w:rPr>
      <w:b/>
      <w:bCs/>
      <w:sz w:val="20"/>
      <w:szCs w:val="20"/>
    </w:rPr>
  </w:style>
  <w:style w:type="paragraph" w:styleId="af5">
    <w:name w:val="Revision"/>
    <w:hidden/>
    <w:uiPriority w:val="99"/>
    <w:semiHidden/>
    <w:rsid w:val="00F6163D"/>
  </w:style>
  <w:style w:type="paragraph" w:styleId="af6">
    <w:name w:val="Bibliography"/>
    <w:basedOn w:val="a"/>
    <w:next w:val="a"/>
    <w:uiPriority w:val="37"/>
    <w:unhideWhenUsed/>
    <w:rsid w:val="001D614A"/>
    <w:pPr>
      <w:tabs>
        <w:tab w:val="left" w:pos="260"/>
      </w:tabs>
      <w:spacing w:line="480" w:lineRule="auto"/>
      <w:ind w:left="264" w:hanging="264"/>
    </w:pPr>
    <w:rPr>
      <w:rFonts w:asciiTheme="minorHAnsi" w:eastAsiaTheme="minorEastAsia" w:hAnsiTheme="minorHAnsi" w:cstheme="minorBidi"/>
    </w:rPr>
  </w:style>
  <w:style w:type="numbering" w:customStyle="1" w:styleId="11">
    <w:name w:val="リストなし1"/>
    <w:next w:val="a2"/>
    <w:uiPriority w:val="99"/>
    <w:semiHidden/>
    <w:unhideWhenUsed/>
    <w:rsid w:val="00181B11"/>
  </w:style>
  <w:style w:type="character" w:styleId="af7">
    <w:name w:val="FollowedHyperlink"/>
    <w:basedOn w:val="a0"/>
    <w:uiPriority w:val="99"/>
    <w:semiHidden/>
    <w:unhideWhenUsed/>
    <w:rsid w:val="00181B11"/>
    <w:rPr>
      <w:color w:val="954F72"/>
      <w:u w:val="single"/>
    </w:rPr>
  </w:style>
  <w:style w:type="paragraph" w:customStyle="1" w:styleId="msonormal0">
    <w:name w:val="msonormal"/>
    <w:basedOn w:val="a"/>
    <w:rsid w:val="00181B11"/>
    <w:pPr>
      <w:spacing w:before="100" w:beforeAutospacing="1" w:after="100" w:afterAutospacing="1"/>
    </w:pPr>
  </w:style>
  <w:style w:type="paragraph" w:customStyle="1" w:styleId="font0">
    <w:name w:val="font0"/>
    <w:basedOn w:val="a"/>
    <w:rsid w:val="00181B11"/>
    <w:pPr>
      <w:spacing w:before="100" w:beforeAutospacing="1" w:after="100" w:afterAutospacing="1"/>
    </w:pPr>
    <w:rPr>
      <w:rFonts w:ascii="Yu Gothic" w:eastAsia="Yu Gothic" w:hAnsi="Yu Gothic"/>
      <w:color w:val="000000"/>
    </w:rPr>
  </w:style>
  <w:style w:type="paragraph" w:customStyle="1" w:styleId="font5">
    <w:name w:val="font5"/>
    <w:basedOn w:val="a"/>
    <w:rsid w:val="00181B11"/>
    <w:pPr>
      <w:spacing w:before="100" w:beforeAutospacing="1" w:after="100" w:afterAutospacing="1"/>
    </w:pPr>
    <w:rPr>
      <w:rFonts w:ascii="Yu Gothic" w:eastAsia="Yu Gothic" w:hAnsi="Yu Gothic"/>
      <w:sz w:val="12"/>
      <w:szCs w:val="12"/>
    </w:rPr>
  </w:style>
  <w:style w:type="paragraph" w:customStyle="1" w:styleId="font6">
    <w:name w:val="font6"/>
    <w:basedOn w:val="a"/>
    <w:rsid w:val="00181B11"/>
    <w:pPr>
      <w:spacing w:before="100" w:beforeAutospacing="1" w:after="100" w:afterAutospacing="1"/>
    </w:pPr>
    <w:rPr>
      <w:rFonts w:ascii="Yu Gothic" w:eastAsia="Yu Gothic" w:hAnsi="Yu Gothic"/>
      <w:color w:val="000000"/>
    </w:rPr>
  </w:style>
  <w:style w:type="paragraph" w:customStyle="1" w:styleId="font7">
    <w:name w:val="font7"/>
    <w:basedOn w:val="a"/>
    <w:rsid w:val="00181B11"/>
    <w:pPr>
      <w:spacing w:before="100" w:beforeAutospacing="1" w:after="100" w:afterAutospacing="1"/>
    </w:pPr>
    <w:rPr>
      <w:rFonts w:ascii="Yu Gothic" w:eastAsia="Yu Gothic" w:hAnsi="Yu Gothic"/>
      <w:color w:val="000000"/>
    </w:rPr>
  </w:style>
  <w:style w:type="paragraph" w:customStyle="1" w:styleId="font8">
    <w:name w:val="font8"/>
    <w:basedOn w:val="a"/>
    <w:rsid w:val="00181B11"/>
    <w:pPr>
      <w:spacing w:before="100" w:beforeAutospacing="1" w:after="100" w:afterAutospacing="1"/>
    </w:pPr>
    <w:rPr>
      <w:rFonts w:ascii="Yu Gothic" w:eastAsia="Yu Gothic" w:hAnsi="Yu Gothic"/>
      <w:color w:val="000000"/>
    </w:rPr>
  </w:style>
  <w:style w:type="paragraph" w:customStyle="1" w:styleId="font9">
    <w:name w:val="font9"/>
    <w:basedOn w:val="a"/>
    <w:rsid w:val="00181B11"/>
    <w:pPr>
      <w:spacing w:before="100" w:beforeAutospacing="1" w:after="100" w:afterAutospacing="1"/>
    </w:pPr>
    <w:rPr>
      <w:rFonts w:ascii="Yu Gothic" w:eastAsia="Yu Gothic" w:hAnsi="Yu Gothic"/>
      <w:color w:val="000000"/>
    </w:rPr>
  </w:style>
  <w:style w:type="paragraph" w:customStyle="1" w:styleId="font10">
    <w:name w:val="font10"/>
    <w:basedOn w:val="a"/>
    <w:rsid w:val="00181B11"/>
    <w:pPr>
      <w:spacing w:before="100" w:beforeAutospacing="1" w:after="100" w:afterAutospacing="1"/>
    </w:pPr>
    <w:rPr>
      <w:rFonts w:ascii="Yu Gothic" w:eastAsia="Yu Gothic" w:hAnsi="Yu Gothic"/>
      <w:color w:val="000000"/>
    </w:rPr>
  </w:style>
  <w:style w:type="paragraph" w:customStyle="1" w:styleId="xl63">
    <w:name w:val="xl63"/>
    <w:basedOn w:val="a"/>
    <w:rsid w:val="00181B11"/>
    <w:pPr>
      <w:spacing w:before="100" w:beforeAutospacing="1" w:after="100" w:afterAutospacing="1"/>
      <w:jc w:val="center"/>
    </w:pPr>
  </w:style>
  <w:style w:type="paragraph" w:customStyle="1" w:styleId="xl64">
    <w:name w:val="xl64"/>
    <w:basedOn w:val="a"/>
    <w:rsid w:val="00181B11"/>
    <w:pPr>
      <w:spacing w:before="100" w:beforeAutospacing="1" w:after="100" w:afterAutospacing="1"/>
      <w:jc w:val="center"/>
    </w:pPr>
  </w:style>
  <w:style w:type="paragraph" w:customStyle="1" w:styleId="xl65">
    <w:name w:val="xl65"/>
    <w:basedOn w:val="a"/>
    <w:rsid w:val="00181B11"/>
    <w:pPr>
      <w:spacing w:before="100" w:beforeAutospacing="1" w:after="100" w:afterAutospacing="1"/>
      <w:jc w:val="center"/>
    </w:pPr>
    <w:rPr>
      <w:color w:val="000000"/>
    </w:rPr>
  </w:style>
  <w:style w:type="paragraph" w:customStyle="1" w:styleId="xl66">
    <w:name w:val="xl66"/>
    <w:basedOn w:val="a"/>
    <w:rsid w:val="00181B11"/>
    <w:pPr>
      <w:spacing w:before="100" w:beforeAutospacing="1" w:after="100" w:afterAutospacing="1"/>
      <w:jc w:val="center"/>
    </w:pPr>
    <w:rPr>
      <w:color w:val="000000"/>
    </w:rPr>
  </w:style>
  <w:style w:type="paragraph" w:customStyle="1" w:styleId="xl67">
    <w:name w:val="xl67"/>
    <w:basedOn w:val="a"/>
    <w:rsid w:val="00181B11"/>
    <w:pPr>
      <w:spacing w:before="100" w:beforeAutospacing="1" w:after="100" w:afterAutospacing="1"/>
      <w:jc w:val="center"/>
    </w:pPr>
  </w:style>
  <w:style w:type="paragraph" w:customStyle="1" w:styleId="xl68">
    <w:name w:val="xl68"/>
    <w:basedOn w:val="a"/>
    <w:rsid w:val="00181B11"/>
    <w:pPr>
      <w:spacing w:before="100" w:beforeAutospacing="1" w:after="100" w:afterAutospacing="1"/>
      <w:jc w:val="center"/>
    </w:pPr>
    <w:rPr>
      <w:color w:val="000000"/>
    </w:rPr>
  </w:style>
  <w:style w:type="paragraph" w:customStyle="1" w:styleId="xl69">
    <w:name w:val="xl69"/>
    <w:basedOn w:val="a"/>
    <w:rsid w:val="00181B11"/>
    <w:pPr>
      <w:spacing w:before="100" w:beforeAutospacing="1" w:after="100" w:afterAutospacing="1"/>
      <w:jc w:val="center"/>
    </w:pPr>
  </w:style>
  <w:style w:type="paragraph" w:customStyle="1" w:styleId="xl70">
    <w:name w:val="xl70"/>
    <w:basedOn w:val="a"/>
    <w:rsid w:val="00FD2BBD"/>
    <w:pPr>
      <w:spacing w:before="100" w:beforeAutospacing="1" w:after="100" w:afterAutospacing="1"/>
      <w:jc w:val="center"/>
    </w:pPr>
    <w:rPr>
      <w:color w:val="000000"/>
    </w:rPr>
  </w:style>
  <w:style w:type="paragraph" w:customStyle="1" w:styleId="xl71">
    <w:name w:val="xl71"/>
    <w:basedOn w:val="a"/>
    <w:rsid w:val="00FD2BBD"/>
    <w:pPr>
      <w:spacing w:before="100" w:beforeAutospacing="1" w:after="100" w:afterAutospacing="1"/>
      <w:jc w:val="center"/>
    </w:pPr>
  </w:style>
  <w:style w:type="paragraph" w:customStyle="1" w:styleId="12">
    <w:name w:val="文献目録1"/>
    <w:basedOn w:val="a"/>
    <w:link w:val="Bibliography"/>
    <w:rsid w:val="00F066A2"/>
    <w:pPr>
      <w:spacing w:after="240"/>
      <w:ind w:left="720" w:hanging="720"/>
      <w:jc w:val="both"/>
    </w:pPr>
    <w:rPr>
      <w:rFonts w:ascii="Times New Roman" w:hAnsi="Times New Roman" w:cs="Times New Roman"/>
    </w:rPr>
  </w:style>
  <w:style w:type="character" w:customStyle="1" w:styleId="Bibliography">
    <w:name w:val="Bibliography (文字)"/>
    <w:basedOn w:val="a0"/>
    <w:link w:val="12"/>
    <w:rsid w:val="00F066A2"/>
    <w:rPr>
      <w:rFonts w:ascii="Times New Roman" w:eastAsia="ＭＳ Ｐゴシック" w:hAnsi="Times New Roman" w:cs="Times New Roman"/>
    </w:rPr>
  </w:style>
  <w:style w:type="character" w:styleId="af8">
    <w:name w:val="Subtle Reference"/>
    <w:basedOn w:val="a0"/>
    <w:uiPriority w:val="31"/>
    <w:qFormat/>
    <w:rsid w:val="00995FE9"/>
    <w:rPr>
      <w:smallCaps/>
      <w:color w:val="5A5A5A" w:themeColor="text1" w:themeTint="A5"/>
    </w:rPr>
  </w:style>
  <w:style w:type="paragraph" w:customStyle="1" w:styleId="13">
    <w:name w:val="スタイル1"/>
    <w:basedOn w:val="a"/>
    <w:qFormat/>
    <w:rsid w:val="00BD63A6"/>
    <w:pPr>
      <w:autoSpaceDE w:val="0"/>
      <w:autoSpaceDN w:val="0"/>
      <w:adjustRightInd w:val="0"/>
      <w:spacing w:line="360" w:lineRule="auto"/>
      <w:ind w:left="300" w:rightChars="100" w:right="100" w:hangingChars="300" w:hanging="300"/>
    </w:pPr>
    <w:rPr>
      <w:rFonts w:ascii="Times New Roman" w:eastAsia="Times New Roman" w:hAnsi="Times New Roman" w:cs="Times New Roman"/>
      <w:color w:val="000000" w:themeColor="text1"/>
      <w:szCs w:val="22"/>
    </w:rPr>
  </w:style>
  <w:style w:type="paragraph" w:styleId="af9">
    <w:name w:val="header"/>
    <w:basedOn w:val="a"/>
    <w:link w:val="afa"/>
    <w:uiPriority w:val="99"/>
    <w:unhideWhenUsed/>
    <w:rsid w:val="00157D86"/>
    <w:pPr>
      <w:tabs>
        <w:tab w:val="center" w:pos="4419"/>
        <w:tab w:val="right" w:pos="8838"/>
      </w:tabs>
    </w:pPr>
  </w:style>
  <w:style w:type="character" w:customStyle="1" w:styleId="afa">
    <w:name w:val="ヘッダー (文字)"/>
    <w:basedOn w:val="a0"/>
    <w:link w:val="af9"/>
    <w:uiPriority w:val="99"/>
    <w:rsid w:val="00157D86"/>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198">
      <w:bodyDiv w:val="1"/>
      <w:marLeft w:val="0"/>
      <w:marRight w:val="0"/>
      <w:marTop w:val="0"/>
      <w:marBottom w:val="0"/>
      <w:divBdr>
        <w:top w:val="none" w:sz="0" w:space="0" w:color="auto"/>
        <w:left w:val="none" w:sz="0" w:space="0" w:color="auto"/>
        <w:bottom w:val="none" w:sz="0" w:space="0" w:color="auto"/>
        <w:right w:val="none" w:sz="0" w:space="0" w:color="auto"/>
      </w:divBdr>
    </w:div>
    <w:div w:id="131800825">
      <w:bodyDiv w:val="1"/>
      <w:marLeft w:val="0"/>
      <w:marRight w:val="0"/>
      <w:marTop w:val="0"/>
      <w:marBottom w:val="0"/>
      <w:divBdr>
        <w:top w:val="none" w:sz="0" w:space="0" w:color="auto"/>
        <w:left w:val="none" w:sz="0" w:space="0" w:color="auto"/>
        <w:bottom w:val="none" w:sz="0" w:space="0" w:color="auto"/>
        <w:right w:val="none" w:sz="0" w:space="0" w:color="auto"/>
      </w:divBdr>
    </w:div>
    <w:div w:id="1336487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19">
          <w:marLeft w:val="0"/>
          <w:marRight w:val="0"/>
          <w:marTop w:val="0"/>
          <w:marBottom w:val="0"/>
          <w:divBdr>
            <w:top w:val="none" w:sz="0" w:space="0" w:color="auto"/>
            <w:left w:val="none" w:sz="0" w:space="0" w:color="auto"/>
            <w:bottom w:val="none" w:sz="0" w:space="0" w:color="auto"/>
            <w:right w:val="none" w:sz="0" w:space="0" w:color="auto"/>
          </w:divBdr>
          <w:divsChild>
            <w:div w:id="102191234">
              <w:marLeft w:val="0"/>
              <w:marRight w:val="0"/>
              <w:marTop w:val="0"/>
              <w:marBottom w:val="0"/>
              <w:divBdr>
                <w:top w:val="none" w:sz="0" w:space="0" w:color="auto"/>
                <w:left w:val="none" w:sz="0" w:space="0" w:color="auto"/>
                <w:bottom w:val="none" w:sz="0" w:space="0" w:color="auto"/>
                <w:right w:val="none" w:sz="0" w:space="0" w:color="auto"/>
              </w:divBdr>
              <w:divsChild>
                <w:div w:id="786200651">
                  <w:marLeft w:val="0"/>
                  <w:marRight w:val="0"/>
                  <w:marTop w:val="0"/>
                  <w:marBottom w:val="0"/>
                  <w:divBdr>
                    <w:top w:val="none" w:sz="0" w:space="0" w:color="auto"/>
                    <w:left w:val="none" w:sz="0" w:space="0" w:color="auto"/>
                    <w:bottom w:val="none" w:sz="0" w:space="0" w:color="auto"/>
                    <w:right w:val="none" w:sz="0" w:space="0" w:color="auto"/>
                  </w:divBdr>
                  <w:divsChild>
                    <w:div w:id="4884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851509">
      <w:bodyDiv w:val="1"/>
      <w:marLeft w:val="0"/>
      <w:marRight w:val="0"/>
      <w:marTop w:val="0"/>
      <w:marBottom w:val="0"/>
      <w:divBdr>
        <w:top w:val="none" w:sz="0" w:space="0" w:color="auto"/>
        <w:left w:val="none" w:sz="0" w:space="0" w:color="auto"/>
        <w:bottom w:val="none" w:sz="0" w:space="0" w:color="auto"/>
        <w:right w:val="none" w:sz="0" w:space="0" w:color="auto"/>
      </w:divBdr>
    </w:div>
    <w:div w:id="286745869">
      <w:bodyDiv w:val="1"/>
      <w:marLeft w:val="0"/>
      <w:marRight w:val="0"/>
      <w:marTop w:val="0"/>
      <w:marBottom w:val="0"/>
      <w:divBdr>
        <w:top w:val="none" w:sz="0" w:space="0" w:color="auto"/>
        <w:left w:val="none" w:sz="0" w:space="0" w:color="auto"/>
        <w:bottom w:val="none" w:sz="0" w:space="0" w:color="auto"/>
        <w:right w:val="none" w:sz="0" w:space="0" w:color="auto"/>
      </w:divBdr>
      <w:divsChild>
        <w:div w:id="1197348082">
          <w:marLeft w:val="0"/>
          <w:marRight w:val="0"/>
          <w:marTop w:val="0"/>
          <w:marBottom w:val="0"/>
          <w:divBdr>
            <w:top w:val="none" w:sz="0" w:space="0" w:color="auto"/>
            <w:left w:val="none" w:sz="0" w:space="0" w:color="auto"/>
            <w:bottom w:val="none" w:sz="0" w:space="0" w:color="auto"/>
            <w:right w:val="none" w:sz="0" w:space="0" w:color="auto"/>
          </w:divBdr>
          <w:divsChild>
            <w:div w:id="71054031">
              <w:marLeft w:val="0"/>
              <w:marRight w:val="0"/>
              <w:marTop w:val="0"/>
              <w:marBottom w:val="0"/>
              <w:divBdr>
                <w:top w:val="none" w:sz="0" w:space="0" w:color="auto"/>
                <w:left w:val="none" w:sz="0" w:space="0" w:color="auto"/>
                <w:bottom w:val="none" w:sz="0" w:space="0" w:color="auto"/>
                <w:right w:val="none" w:sz="0" w:space="0" w:color="auto"/>
              </w:divBdr>
              <w:divsChild>
                <w:div w:id="127558152">
                  <w:marLeft w:val="0"/>
                  <w:marRight w:val="0"/>
                  <w:marTop w:val="0"/>
                  <w:marBottom w:val="0"/>
                  <w:divBdr>
                    <w:top w:val="none" w:sz="0" w:space="0" w:color="auto"/>
                    <w:left w:val="none" w:sz="0" w:space="0" w:color="auto"/>
                    <w:bottom w:val="none" w:sz="0" w:space="0" w:color="auto"/>
                    <w:right w:val="none" w:sz="0" w:space="0" w:color="auto"/>
                  </w:divBdr>
                  <w:divsChild>
                    <w:div w:id="82497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847301">
      <w:bodyDiv w:val="1"/>
      <w:marLeft w:val="0"/>
      <w:marRight w:val="0"/>
      <w:marTop w:val="0"/>
      <w:marBottom w:val="0"/>
      <w:divBdr>
        <w:top w:val="none" w:sz="0" w:space="0" w:color="auto"/>
        <w:left w:val="none" w:sz="0" w:space="0" w:color="auto"/>
        <w:bottom w:val="none" w:sz="0" w:space="0" w:color="auto"/>
        <w:right w:val="none" w:sz="0" w:space="0" w:color="auto"/>
      </w:divBdr>
      <w:divsChild>
        <w:div w:id="571619926">
          <w:marLeft w:val="0"/>
          <w:marRight w:val="0"/>
          <w:marTop w:val="0"/>
          <w:marBottom w:val="0"/>
          <w:divBdr>
            <w:top w:val="none" w:sz="0" w:space="0" w:color="auto"/>
            <w:left w:val="none" w:sz="0" w:space="0" w:color="auto"/>
            <w:bottom w:val="none" w:sz="0" w:space="0" w:color="auto"/>
            <w:right w:val="none" w:sz="0" w:space="0" w:color="auto"/>
          </w:divBdr>
          <w:divsChild>
            <w:div w:id="801774998">
              <w:marLeft w:val="0"/>
              <w:marRight w:val="0"/>
              <w:marTop w:val="0"/>
              <w:marBottom w:val="0"/>
              <w:divBdr>
                <w:top w:val="none" w:sz="0" w:space="0" w:color="auto"/>
                <w:left w:val="none" w:sz="0" w:space="0" w:color="auto"/>
                <w:bottom w:val="none" w:sz="0" w:space="0" w:color="auto"/>
                <w:right w:val="none" w:sz="0" w:space="0" w:color="auto"/>
              </w:divBdr>
              <w:divsChild>
                <w:div w:id="1754353093">
                  <w:marLeft w:val="0"/>
                  <w:marRight w:val="0"/>
                  <w:marTop w:val="0"/>
                  <w:marBottom w:val="0"/>
                  <w:divBdr>
                    <w:top w:val="none" w:sz="0" w:space="0" w:color="auto"/>
                    <w:left w:val="none" w:sz="0" w:space="0" w:color="auto"/>
                    <w:bottom w:val="none" w:sz="0" w:space="0" w:color="auto"/>
                    <w:right w:val="none" w:sz="0" w:space="0" w:color="auto"/>
                  </w:divBdr>
                  <w:divsChild>
                    <w:div w:id="43898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358138">
      <w:bodyDiv w:val="1"/>
      <w:marLeft w:val="0"/>
      <w:marRight w:val="0"/>
      <w:marTop w:val="0"/>
      <w:marBottom w:val="0"/>
      <w:divBdr>
        <w:top w:val="none" w:sz="0" w:space="0" w:color="auto"/>
        <w:left w:val="none" w:sz="0" w:space="0" w:color="auto"/>
        <w:bottom w:val="none" w:sz="0" w:space="0" w:color="auto"/>
        <w:right w:val="none" w:sz="0" w:space="0" w:color="auto"/>
      </w:divBdr>
      <w:divsChild>
        <w:div w:id="405803850">
          <w:marLeft w:val="0"/>
          <w:marRight w:val="0"/>
          <w:marTop w:val="0"/>
          <w:marBottom w:val="0"/>
          <w:divBdr>
            <w:top w:val="none" w:sz="0" w:space="0" w:color="auto"/>
            <w:left w:val="none" w:sz="0" w:space="0" w:color="auto"/>
            <w:bottom w:val="none" w:sz="0" w:space="0" w:color="auto"/>
            <w:right w:val="none" w:sz="0" w:space="0" w:color="auto"/>
          </w:divBdr>
          <w:divsChild>
            <w:div w:id="1885798784">
              <w:marLeft w:val="0"/>
              <w:marRight w:val="0"/>
              <w:marTop w:val="0"/>
              <w:marBottom w:val="0"/>
              <w:divBdr>
                <w:top w:val="none" w:sz="0" w:space="0" w:color="auto"/>
                <w:left w:val="none" w:sz="0" w:space="0" w:color="auto"/>
                <w:bottom w:val="none" w:sz="0" w:space="0" w:color="auto"/>
                <w:right w:val="none" w:sz="0" w:space="0" w:color="auto"/>
              </w:divBdr>
              <w:divsChild>
                <w:div w:id="15082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71970">
      <w:bodyDiv w:val="1"/>
      <w:marLeft w:val="0"/>
      <w:marRight w:val="0"/>
      <w:marTop w:val="0"/>
      <w:marBottom w:val="0"/>
      <w:divBdr>
        <w:top w:val="none" w:sz="0" w:space="0" w:color="auto"/>
        <w:left w:val="none" w:sz="0" w:space="0" w:color="auto"/>
        <w:bottom w:val="none" w:sz="0" w:space="0" w:color="auto"/>
        <w:right w:val="none" w:sz="0" w:space="0" w:color="auto"/>
      </w:divBdr>
    </w:div>
    <w:div w:id="593899258">
      <w:bodyDiv w:val="1"/>
      <w:marLeft w:val="0"/>
      <w:marRight w:val="0"/>
      <w:marTop w:val="0"/>
      <w:marBottom w:val="0"/>
      <w:divBdr>
        <w:top w:val="none" w:sz="0" w:space="0" w:color="auto"/>
        <w:left w:val="none" w:sz="0" w:space="0" w:color="auto"/>
        <w:bottom w:val="none" w:sz="0" w:space="0" w:color="auto"/>
        <w:right w:val="none" w:sz="0" w:space="0" w:color="auto"/>
      </w:divBdr>
    </w:div>
    <w:div w:id="601189905">
      <w:bodyDiv w:val="1"/>
      <w:marLeft w:val="0"/>
      <w:marRight w:val="0"/>
      <w:marTop w:val="0"/>
      <w:marBottom w:val="0"/>
      <w:divBdr>
        <w:top w:val="none" w:sz="0" w:space="0" w:color="auto"/>
        <w:left w:val="none" w:sz="0" w:space="0" w:color="auto"/>
        <w:bottom w:val="none" w:sz="0" w:space="0" w:color="auto"/>
        <w:right w:val="none" w:sz="0" w:space="0" w:color="auto"/>
      </w:divBdr>
    </w:div>
    <w:div w:id="791552670">
      <w:bodyDiv w:val="1"/>
      <w:marLeft w:val="0"/>
      <w:marRight w:val="0"/>
      <w:marTop w:val="0"/>
      <w:marBottom w:val="0"/>
      <w:divBdr>
        <w:top w:val="none" w:sz="0" w:space="0" w:color="auto"/>
        <w:left w:val="none" w:sz="0" w:space="0" w:color="auto"/>
        <w:bottom w:val="none" w:sz="0" w:space="0" w:color="auto"/>
        <w:right w:val="none" w:sz="0" w:space="0" w:color="auto"/>
      </w:divBdr>
    </w:div>
    <w:div w:id="914165680">
      <w:bodyDiv w:val="1"/>
      <w:marLeft w:val="0"/>
      <w:marRight w:val="0"/>
      <w:marTop w:val="0"/>
      <w:marBottom w:val="0"/>
      <w:divBdr>
        <w:top w:val="none" w:sz="0" w:space="0" w:color="auto"/>
        <w:left w:val="none" w:sz="0" w:space="0" w:color="auto"/>
        <w:bottom w:val="none" w:sz="0" w:space="0" w:color="auto"/>
        <w:right w:val="none" w:sz="0" w:space="0" w:color="auto"/>
      </w:divBdr>
    </w:div>
    <w:div w:id="1024019309">
      <w:bodyDiv w:val="1"/>
      <w:marLeft w:val="0"/>
      <w:marRight w:val="0"/>
      <w:marTop w:val="0"/>
      <w:marBottom w:val="0"/>
      <w:divBdr>
        <w:top w:val="none" w:sz="0" w:space="0" w:color="auto"/>
        <w:left w:val="none" w:sz="0" w:space="0" w:color="auto"/>
        <w:bottom w:val="none" w:sz="0" w:space="0" w:color="auto"/>
        <w:right w:val="none" w:sz="0" w:space="0" w:color="auto"/>
      </w:divBdr>
    </w:div>
    <w:div w:id="1077745028">
      <w:bodyDiv w:val="1"/>
      <w:marLeft w:val="0"/>
      <w:marRight w:val="0"/>
      <w:marTop w:val="0"/>
      <w:marBottom w:val="0"/>
      <w:divBdr>
        <w:top w:val="none" w:sz="0" w:space="0" w:color="auto"/>
        <w:left w:val="none" w:sz="0" w:space="0" w:color="auto"/>
        <w:bottom w:val="none" w:sz="0" w:space="0" w:color="auto"/>
        <w:right w:val="none" w:sz="0" w:space="0" w:color="auto"/>
      </w:divBdr>
    </w:div>
    <w:div w:id="1119489014">
      <w:bodyDiv w:val="1"/>
      <w:marLeft w:val="0"/>
      <w:marRight w:val="0"/>
      <w:marTop w:val="0"/>
      <w:marBottom w:val="0"/>
      <w:divBdr>
        <w:top w:val="none" w:sz="0" w:space="0" w:color="auto"/>
        <w:left w:val="none" w:sz="0" w:space="0" w:color="auto"/>
        <w:bottom w:val="none" w:sz="0" w:space="0" w:color="auto"/>
        <w:right w:val="none" w:sz="0" w:space="0" w:color="auto"/>
      </w:divBdr>
    </w:div>
    <w:div w:id="1148785932">
      <w:bodyDiv w:val="1"/>
      <w:marLeft w:val="0"/>
      <w:marRight w:val="0"/>
      <w:marTop w:val="0"/>
      <w:marBottom w:val="0"/>
      <w:divBdr>
        <w:top w:val="none" w:sz="0" w:space="0" w:color="auto"/>
        <w:left w:val="none" w:sz="0" w:space="0" w:color="auto"/>
        <w:bottom w:val="none" w:sz="0" w:space="0" w:color="auto"/>
        <w:right w:val="none" w:sz="0" w:space="0" w:color="auto"/>
      </w:divBdr>
    </w:div>
    <w:div w:id="1215770383">
      <w:bodyDiv w:val="1"/>
      <w:marLeft w:val="0"/>
      <w:marRight w:val="0"/>
      <w:marTop w:val="0"/>
      <w:marBottom w:val="0"/>
      <w:divBdr>
        <w:top w:val="none" w:sz="0" w:space="0" w:color="auto"/>
        <w:left w:val="none" w:sz="0" w:space="0" w:color="auto"/>
        <w:bottom w:val="none" w:sz="0" w:space="0" w:color="auto"/>
        <w:right w:val="none" w:sz="0" w:space="0" w:color="auto"/>
      </w:divBdr>
    </w:div>
    <w:div w:id="1218586392">
      <w:bodyDiv w:val="1"/>
      <w:marLeft w:val="0"/>
      <w:marRight w:val="0"/>
      <w:marTop w:val="0"/>
      <w:marBottom w:val="0"/>
      <w:divBdr>
        <w:top w:val="none" w:sz="0" w:space="0" w:color="auto"/>
        <w:left w:val="none" w:sz="0" w:space="0" w:color="auto"/>
        <w:bottom w:val="none" w:sz="0" w:space="0" w:color="auto"/>
        <w:right w:val="none" w:sz="0" w:space="0" w:color="auto"/>
      </w:divBdr>
    </w:div>
    <w:div w:id="1242059921">
      <w:bodyDiv w:val="1"/>
      <w:marLeft w:val="0"/>
      <w:marRight w:val="0"/>
      <w:marTop w:val="0"/>
      <w:marBottom w:val="0"/>
      <w:divBdr>
        <w:top w:val="none" w:sz="0" w:space="0" w:color="auto"/>
        <w:left w:val="none" w:sz="0" w:space="0" w:color="auto"/>
        <w:bottom w:val="none" w:sz="0" w:space="0" w:color="auto"/>
        <w:right w:val="none" w:sz="0" w:space="0" w:color="auto"/>
      </w:divBdr>
    </w:div>
    <w:div w:id="1400129486">
      <w:bodyDiv w:val="1"/>
      <w:marLeft w:val="0"/>
      <w:marRight w:val="0"/>
      <w:marTop w:val="0"/>
      <w:marBottom w:val="0"/>
      <w:divBdr>
        <w:top w:val="none" w:sz="0" w:space="0" w:color="auto"/>
        <w:left w:val="none" w:sz="0" w:space="0" w:color="auto"/>
        <w:bottom w:val="none" w:sz="0" w:space="0" w:color="auto"/>
        <w:right w:val="none" w:sz="0" w:space="0" w:color="auto"/>
      </w:divBdr>
    </w:div>
    <w:div w:id="1441484205">
      <w:bodyDiv w:val="1"/>
      <w:marLeft w:val="0"/>
      <w:marRight w:val="0"/>
      <w:marTop w:val="0"/>
      <w:marBottom w:val="0"/>
      <w:divBdr>
        <w:top w:val="none" w:sz="0" w:space="0" w:color="auto"/>
        <w:left w:val="none" w:sz="0" w:space="0" w:color="auto"/>
        <w:bottom w:val="none" w:sz="0" w:space="0" w:color="auto"/>
        <w:right w:val="none" w:sz="0" w:space="0" w:color="auto"/>
      </w:divBdr>
      <w:divsChild>
        <w:div w:id="1730106603">
          <w:marLeft w:val="0"/>
          <w:marRight w:val="0"/>
          <w:marTop w:val="0"/>
          <w:marBottom w:val="0"/>
          <w:divBdr>
            <w:top w:val="none" w:sz="0" w:space="0" w:color="auto"/>
            <w:left w:val="none" w:sz="0" w:space="0" w:color="auto"/>
            <w:bottom w:val="none" w:sz="0" w:space="0" w:color="auto"/>
            <w:right w:val="none" w:sz="0" w:space="0" w:color="auto"/>
          </w:divBdr>
          <w:divsChild>
            <w:div w:id="1053579837">
              <w:marLeft w:val="0"/>
              <w:marRight w:val="0"/>
              <w:marTop w:val="0"/>
              <w:marBottom w:val="0"/>
              <w:divBdr>
                <w:top w:val="none" w:sz="0" w:space="0" w:color="auto"/>
                <w:left w:val="none" w:sz="0" w:space="0" w:color="auto"/>
                <w:bottom w:val="none" w:sz="0" w:space="0" w:color="auto"/>
                <w:right w:val="none" w:sz="0" w:space="0" w:color="auto"/>
              </w:divBdr>
              <w:divsChild>
                <w:div w:id="1118526302">
                  <w:marLeft w:val="0"/>
                  <w:marRight w:val="0"/>
                  <w:marTop w:val="0"/>
                  <w:marBottom w:val="0"/>
                  <w:divBdr>
                    <w:top w:val="none" w:sz="0" w:space="0" w:color="auto"/>
                    <w:left w:val="none" w:sz="0" w:space="0" w:color="auto"/>
                    <w:bottom w:val="none" w:sz="0" w:space="0" w:color="auto"/>
                    <w:right w:val="none" w:sz="0" w:space="0" w:color="auto"/>
                  </w:divBdr>
                  <w:divsChild>
                    <w:div w:id="9342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228916">
      <w:bodyDiv w:val="1"/>
      <w:marLeft w:val="0"/>
      <w:marRight w:val="0"/>
      <w:marTop w:val="0"/>
      <w:marBottom w:val="0"/>
      <w:divBdr>
        <w:top w:val="none" w:sz="0" w:space="0" w:color="auto"/>
        <w:left w:val="none" w:sz="0" w:space="0" w:color="auto"/>
        <w:bottom w:val="none" w:sz="0" w:space="0" w:color="auto"/>
        <w:right w:val="none" w:sz="0" w:space="0" w:color="auto"/>
      </w:divBdr>
      <w:divsChild>
        <w:div w:id="1715425758">
          <w:marLeft w:val="0"/>
          <w:marRight w:val="0"/>
          <w:marTop w:val="0"/>
          <w:marBottom w:val="0"/>
          <w:divBdr>
            <w:top w:val="none" w:sz="0" w:space="0" w:color="auto"/>
            <w:left w:val="none" w:sz="0" w:space="0" w:color="auto"/>
            <w:bottom w:val="none" w:sz="0" w:space="0" w:color="auto"/>
            <w:right w:val="none" w:sz="0" w:space="0" w:color="auto"/>
          </w:divBdr>
          <w:divsChild>
            <w:div w:id="1214387771">
              <w:marLeft w:val="0"/>
              <w:marRight w:val="0"/>
              <w:marTop w:val="0"/>
              <w:marBottom w:val="0"/>
              <w:divBdr>
                <w:top w:val="none" w:sz="0" w:space="0" w:color="auto"/>
                <w:left w:val="none" w:sz="0" w:space="0" w:color="auto"/>
                <w:bottom w:val="none" w:sz="0" w:space="0" w:color="auto"/>
                <w:right w:val="none" w:sz="0" w:space="0" w:color="auto"/>
              </w:divBdr>
              <w:divsChild>
                <w:div w:id="697699918">
                  <w:marLeft w:val="0"/>
                  <w:marRight w:val="0"/>
                  <w:marTop w:val="0"/>
                  <w:marBottom w:val="0"/>
                  <w:divBdr>
                    <w:top w:val="none" w:sz="0" w:space="0" w:color="auto"/>
                    <w:left w:val="none" w:sz="0" w:space="0" w:color="auto"/>
                    <w:bottom w:val="none" w:sz="0" w:space="0" w:color="auto"/>
                    <w:right w:val="none" w:sz="0" w:space="0" w:color="auto"/>
                  </w:divBdr>
                  <w:divsChild>
                    <w:div w:id="5800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89636">
      <w:bodyDiv w:val="1"/>
      <w:marLeft w:val="0"/>
      <w:marRight w:val="0"/>
      <w:marTop w:val="0"/>
      <w:marBottom w:val="0"/>
      <w:divBdr>
        <w:top w:val="none" w:sz="0" w:space="0" w:color="auto"/>
        <w:left w:val="none" w:sz="0" w:space="0" w:color="auto"/>
        <w:bottom w:val="none" w:sz="0" w:space="0" w:color="auto"/>
        <w:right w:val="none" w:sz="0" w:space="0" w:color="auto"/>
      </w:divBdr>
    </w:div>
    <w:div w:id="1546405652">
      <w:bodyDiv w:val="1"/>
      <w:marLeft w:val="0"/>
      <w:marRight w:val="0"/>
      <w:marTop w:val="0"/>
      <w:marBottom w:val="0"/>
      <w:divBdr>
        <w:top w:val="none" w:sz="0" w:space="0" w:color="auto"/>
        <w:left w:val="none" w:sz="0" w:space="0" w:color="auto"/>
        <w:bottom w:val="none" w:sz="0" w:space="0" w:color="auto"/>
        <w:right w:val="none" w:sz="0" w:space="0" w:color="auto"/>
      </w:divBdr>
    </w:div>
    <w:div w:id="1585916979">
      <w:bodyDiv w:val="1"/>
      <w:marLeft w:val="0"/>
      <w:marRight w:val="0"/>
      <w:marTop w:val="0"/>
      <w:marBottom w:val="0"/>
      <w:divBdr>
        <w:top w:val="none" w:sz="0" w:space="0" w:color="auto"/>
        <w:left w:val="none" w:sz="0" w:space="0" w:color="auto"/>
        <w:bottom w:val="none" w:sz="0" w:space="0" w:color="auto"/>
        <w:right w:val="none" w:sz="0" w:space="0" w:color="auto"/>
      </w:divBdr>
    </w:div>
    <w:div w:id="1667245574">
      <w:bodyDiv w:val="1"/>
      <w:marLeft w:val="0"/>
      <w:marRight w:val="0"/>
      <w:marTop w:val="0"/>
      <w:marBottom w:val="0"/>
      <w:divBdr>
        <w:top w:val="none" w:sz="0" w:space="0" w:color="auto"/>
        <w:left w:val="none" w:sz="0" w:space="0" w:color="auto"/>
        <w:bottom w:val="none" w:sz="0" w:space="0" w:color="auto"/>
        <w:right w:val="none" w:sz="0" w:space="0" w:color="auto"/>
      </w:divBdr>
    </w:div>
    <w:div w:id="1777023683">
      <w:bodyDiv w:val="1"/>
      <w:marLeft w:val="0"/>
      <w:marRight w:val="0"/>
      <w:marTop w:val="0"/>
      <w:marBottom w:val="0"/>
      <w:divBdr>
        <w:top w:val="none" w:sz="0" w:space="0" w:color="auto"/>
        <w:left w:val="none" w:sz="0" w:space="0" w:color="auto"/>
        <w:bottom w:val="none" w:sz="0" w:space="0" w:color="auto"/>
        <w:right w:val="none" w:sz="0" w:space="0" w:color="auto"/>
      </w:divBdr>
    </w:div>
    <w:div w:id="1815095885">
      <w:bodyDiv w:val="1"/>
      <w:marLeft w:val="0"/>
      <w:marRight w:val="0"/>
      <w:marTop w:val="0"/>
      <w:marBottom w:val="0"/>
      <w:divBdr>
        <w:top w:val="none" w:sz="0" w:space="0" w:color="auto"/>
        <w:left w:val="none" w:sz="0" w:space="0" w:color="auto"/>
        <w:bottom w:val="none" w:sz="0" w:space="0" w:color="auto"/>
        <w:right w:val="none" w:sz="0" w:space="0" w:color="auto"/>
      </w:divBdr>
      <w:divsChild>
        <w:div w:id="1297106348">
          <w:marLeft w:val="0"/>
          <w:marRight w:val="0"/>
          <w:marTop w:val="0"/>
          <w:marBottom w:val="0"/>
          <w:divBdr>
            <w:top w:val="none" w:sz="0" w:space="0" w:color="auto"/>
            <w:left w:val="none" w:sz="0" w:space="0" w:color="auto"/>
            <w:bottom w:val="none" w:sz="0" w:space="0" w:color="auto"/>
            <w:right w:val="none" w:sz="0" w:space="0" w:color="auto"/>
          </w:divBdr>
          <w:divsChild>
            <w:div w:id="860898397">
              <w:marLeft w:val="0"/>
              <w:marRight w:val="0"/>
              <w:marTop w:val="0"/>
              <w:marBottom w:val="0"/>
              <w:divBdr>
                <w:top w:val="none" w:sz="0" w:space="0" w:color="auto"/>
                <w:left w:val="none" w:sz="0" w:space="0" w:color="auto"/>
                <w:bottom w:val="none" w:sz="0" w:space="0" w:color="auto"/>
                <w:right w:val="none" w:sz="0" w:space="0" w:color="auto"/>
              </w:divBdr>
              <w:divsChild>
                <w:div w:id="892470761">
                  <w:marLeft w:val="0"/>
                  <w:marRight w:val="0"/>
                  <w:marTop w:val="0"/>
                  <w:marBottom w:val="0"/>
                  <w:divBdr>
                    <w:top w:val="none" w:sz="0" w:space="0" w:color="auto"/>
                    <w:left w:val="none" w:sz="0" w:space="0" w:color="auto"/>
                    <w:bottom w:val="none" w:sz="0" w:space="0" w:color="auto"/>
                    <w:right w:val="none" w:sz="0" w:space="0" w:color="auto"/>
                  </w:divBdr>
                  <w:divsChild>
                    <w:div w:id="10624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818343">
      <w:bodyDiv w:val="1"/>
      <w:marLeft w:val="0"/>
      <w:marRight w:val="0"/>
      <w:marTop w:val="0"/>
      <w:marBottom w:val="0"/>
      <w:divBdr>
        <w:top w:val="none" w:sz="0" w:space="0" w:color="auto"/>
        <w:left w:val="none" w:sz="0" w:space="0" w:color="auto"/>
        <w:bottom w:val="none" w:sz="0" w:space="0" w:color="auto"/>
        <w:right w:val="none" w:sz="0" w:space="0" w:color="auto"/>
      </w:divBdr>
    </w:div>
    <w:div w:id="2026397997">
      <w:bodyDiv w:val="1"/>
      <w:marLeft w:val="0"/>
      <w:marRight w:val="0"/>
      <w:marTop w:val="0"/>
      <w:marBottom w:val="0"/>
      <w:divBdr>
        <w:top w:val="none" w:sz="0" w:space="0" w:color="auto"/>
        <w:left w:val="none" w:sz="0" w:space="0" w:color="auto"/>
        <w:bottom w:val="none" w:sz="0" w:space="0" w:color="auto"/>
        <w:right w:val="none" w:sz="0" w:space="0" w:color="auto"/>
      </w:divBdr>
      <w:divsChild>
        <w:div w:id="1960060857">
          <w:marLeft w:val="0"/>
          <w:marRight w:val="0"/>
          <w:marTop w:val="0"/>
          <w:marBottom w:val="0"/>
          <w:divBdr>
            <w:top w:val="none" w:sz="0" w:space="0" w:color="auto"/>
            <w:left w:val="none" w:sz="0" w:space="0" w:color="auto"/>
            <w:bottom w:val="none" w:sz="0" w:space="0" w:color="auto"/>
            <w:right w:val="none" w:sz="0" w:space="0" w:color="auto"/>
          </w:divBdr>
          <w:divsChild>
            <w:div w:id="444662861">
              <w:marLeft w:val="0"/>
              <w:marRight w:val="0"/>
              <w:marTop w:val="0"/>
              <w:marBottom w:val="0"/>
              <w:divBdr>
                <w:top w:val="none" w:sz="0" w:space="0" w:color="auto"/>
                <w:left w:val="none" w:sz="0" w:space="0" w:color="auto"/>
                <w:bottom w:val="none" w:sz="0" w:space="0" w:color="auto"/>
                <w:right w:val="none" w:sz="0" w:space="0" w:color="auto"/>
              </w:divBdr>
              <w:divsChild>
                <w:div w:id="188779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297977">
      <w:bodyDiv w:val="1"/>
      <w:marLeft w:val="0"/>
      <w:marRight w:val="0"/>
      <w:marTop w:val="0"/>
      <w:marBottom w:val="0"/>
      <w:divBdr>
        <w:top w:val="none" w:sz="0" w:space="0" w:color="auto"/>
        <w:left w:val="none" w:sz="0" w:space="0" w:color="auto"/>
        <w:bottom w:val="none" w:sz="0" w:space="0" w:color="auto"/>
        <w:right w:val="none" w:sz="0" w:space="0" w:color="auto"/>
      </w:divBdr>
    </w:div>
    <w:div w:id="2052920167">
      <w:bodyDiv w:val="1"/>
      <w:marLeft w:val="0"/>
      <w:marRight w:val="0"/>
      <w:marTop w:val="0"/>
      <w:marBottom w:val="0"/>
      <w:divBdr>
        <w:top w:val="none" w:sz="0" w:space="0" w:color="auto"/>
        <w:left w:val="none" w:sz="0" w:space="0" w:color="auto"/>
        <w:bottom w:val="none" w:sz="0" w:space="0" w:color="auto"/>
        <w:right w:val="none" w:sz="0" w:space="0" w:color="auto"/>
      </w:divBdr>
    </w:div>
    <w:div w:id="2075228893">
      <w:bodyDiv w:val="1"/>
      <w:marLeft w:val="0"/>
      <w:marRight w:val="0"/>
      <w:marTop w:val="0"/>
      <w:marBottom w:val="0"/>
      <w:divBdr>
        <w:top w:val="none" w:sz="0" w:space="0" w:color="auto"/>
        <w:left w:val="none" w:sz="0" w:space="0" w:color="auto"/>
        <w:bottom w:val="none" w:sz="0" w:space="0" w:color="auto"/>
        <w:right w:val="none" w:sz="0" w:space="0" w:color="auto"/>
      </w:divBdr>
    </w:div>
    <w:div w:id="213038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Book</b:SourceType>
    <b:Guid>{D9A7F7BB-F3A4-8D47-AC96-0FF3A5E3CAC3}</b:Guid>
    <b:RefOrder>2</b:RefOrder>
  </b:Source>
  <b:Source>
    <b:Tag>NAS18</b:Tag>
    <b:SourceType>Report</b:SourceType>
    <b:Guid>{9567FF53-4945-9E45-8FD4-6CB0CB2EBCE7}</b:Guid>
    <b:Author>
      <b:Author>
        <b:NameList>
          <b:Person>
            <b:Last>NASA Goddard Space Flight Center</b:Last>
            <b:First>Ocean</b:First>
            <b:Middle>Ecology Laboratory, Ocean Biology Processing Group</b:Middle>
          </b:Person>
        </b:NameList>
      </b:Author>
    </b:Author>
    <b:Title>Moderate-resolution Imaging Spectroradiometer (MODIS) Aqua Chlorophyll Data</b:Title>
    <b:City>Greenbelt, MD, USA</b:City>
    <b:Publisher>NASA OB.DAAC</b:Publisher>
    <b:Year>2018</b:Year>
    <b:RefOrder>1</b:RefOrder>
  </b:Source>
</b:Sources>
</file>

<file path=customXml/itemProps1.xml><?xml version="1.0" encoding="utf-8"?>
<ds:datastoreItem xmlns:ds="http://schemas.openxmlformats.org/officeDocument/2006/customXml" ds:itemID="{3C5D76E6-4198-4502-8F7E-E8A516F8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24</Pages>
  <Words>63527</Words>
  <Characters>362108</Characters>
  <Application>Microsoft Office Word</Application>
  <DocSecurity>0</DocSecurity>
  <Lines>3017</Lines>
  <Paragraphs>849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Ryohei Yamaguchi</dc:creator>
  <cp:lastModifiedBy>Yamaguchi Ryohei</cp:lastModifiedBy>
  <cp:revision>11</cp:revision>
  <cp:lastPrinted>2023-07-28T02:29:00Z</cp:lastPrinted>
  <dcterms:created xsi:type="dcterms:W3CDTF">2023-09-26T02:27:00Z</dcterms:created>
  <dcterms:modified xsi:type="dcterms:W3CDTF">2023-09-28T03:30:00Z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84110ebe-4eba-3442-a5dd-3850128d72a3</vt:lpwstr>
  </property>
  <property fmtid="{D5CDD505-2E9C-101B-9397-08002B2CF9AE}" pid="24" name="Mendeley Citation Style_1">
    <vt:lpwstr>http://www.zotero.org/styles/nature</vt:lpwstr>
  </property>
  <property fmtid="{D5CDD505-2E9C-101B-9397-08002B2CF9AE}" pid="25" name="ZOTERO_PREF_1">
    <vt:lpwstr>&lt;data data-version="3" zotero-version="6.0.26"&gt;&lt;session id="7iRfQjAc"/&gt;&lt;style id="http://www.zotero.org/styles/journal-of-climate" hasBibliography="1" bibliographyStyleHasBeenSet="1"/&gt;&lt;prefs&gt;&lt;pref name="fieldType" value="Field"/&gt;&lt;pref name="dontAskDelayCi</vt:lpwstr>
  </property>
  <property fmtid="{D5CDD505-2E9C-101B-9397-08002B2CF9AE}" pid="26" name="ZOTERO_PREF_2">
    <vt:lpwstr>tationUpdates" value="true"/&gt;&lt;/prefs&gt;&lt;/data&gt;</vt:lpwstr>
  </property>
</Properties>
</file>