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1F2D7" w14:textId="3F508E66" w:rsidR="00806CB8" w:rsidRPr="00864063" w:rsidRDefault="00806CB8" w:rsidP="00806CB8">
      <w:pPr>
        <w:adjustRightInd w:val="0"/>
        <w:spacing w:line="360" w:lineRule="auto"/>
        <w:contextualSpacing/>
        <w:jc w:val="center"/>
        <w:rPr>
          <w:rFonts w:ascii="Times New Roman" w:hAnsi="Times New Roman" w:cs="Times New Roman"/>
          <w:color w:val="000000" w:themeColor="text1"/>
          <w:sz w:val="20"/>
          <w:szCs w:val="20"/>
        </w:rPr>
      </w:pPr>
      <w:bookmarkStart w:id="0" w:name="_Hlk134910135"/>
      <w:r w:rsidRPr="00864063">
        <w:rPr>
          <w:rFonts w:ascii="Times New Roman" w:hAnsi="Times New Roman" w:cs="Times New Roman"/>
          <w:b/>
          <w:bCs/>
          <w:color w:val="000000" w:themeColor="text1"/>
          <w:sz w:val="20"/>
          <w:szCs w:val="20"/>
        </w:rPr>
        <w:t>Table. 1.</w:t>
      </w:r>
      <w:r w:rsidRPr="00864063">
        <w:rPr>
          <w:rFonts w:ascii="Times New Roman" w:hAnsi="Times New Roman" w:cs="Times New Roman"/>
          <w:color w:val="000000" w:themeColor="text1"/>
          <w:sz w:val="20"/>
          <w:szCs w:val="20"/>
        </w:rPr>
        <w:t xml:space="preserve"> MA performance of similar materials reported in the literature</w:t>
      </w:r>
      <w:r w:rsidRPr="00864063">
        <w:rPr>
          <w:rFonts w:ascii="Times New Roman" w:hAnsi="Times New Roman" w:cs="Times New Roman" w:hint="eastAsia"/>
          <w:color w:val="000000" w:themeColor="text1"/>
          <w:sz w:val="20"/>
          <w:szCs w:val="20"/>
        </w:rPr>
        <w:t>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992"/>
        <w:gridCol w:w="1134"/>
        <w:gridCol w:w="1276"/>
        <w:gridCol w:w="1274"/>
      </w:tblGrid>
      <w:tr w:rsidR="00864063" w:rsidRPr="00864063" w14:paraId="7C1D2352" w14:textId="77777777" w:rsidTr="00286C00">
        <w:tc>
          <w:tcPr>
            <w:tcW w:w="2251" w:type="pct"/>
            <w:tcBorders>
              <w:top w:val="single" w:sz="12" w:space="0" w:color="auto"/>
              <w:bottom w:val="single" w:sz="12" w:space="0" w:color="auto"/>
            </w:tcBorders>
            <w:vAlign w:val="center"/>
          </w:tcPr>
          <w:p w14:paraId="1B8DFBB9"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Absorbers</w:t>
            </w:r>
          </w:p>
        </w:tc>
        <w:tc>
          <w:tcPr>
            <w:tcW w:w="583" w:type="pct"/>
            <w:tcBorders>
              <w:top w:val="single" w:sz="12" w:space="0" w:color="auto"/>
              <w:bottom w:val="single" w:sz="12" w:space="0" w:color="auto"/>
            </w:tcBorders>
            <w:vAlign w:val="center"/>
          </w:tcPr>
          <w:p w14:paraId="30FEA4FA"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D</w:t>
            </w:r>
            <w:r w:rsidRPr="00864063">
              <w:rPr>
                <w:rFonts w:ascii="Times New Roman" w:hAnsi="Times New Roman" w:cs="Times New Roman"/>
                <w:color w:val="000000" w:themeColor="text1"/>
                <w:sz w:val="20"/>
                <w:szCs w:val="20"/>
                <w:vertAlign w:val="superscript"/>
              </w:rPr>
              <w:t>a</w:t>
            </w:r>
            <w:r w:rsidRPr="00864063">
              <w:rPr>
                <w:rFonts w:ascii="Times New Roman" w:hAnsi="Times New Roman" w:cs="Times New Roman"/>
                <w:color w:val="000000" w:themeColor="text1"/>
                <w:sz w:val="20"/>
                <w:szCs w:val="20"/>
              </w:rPr>
              <w:t xml:space="preserve"> (mm)</w:t>
            </w:r>
          </w:p>
        </w:tc>
        <w:tc>
          <w:tcPr>
            <w:tcW w:w="667" w:type="pct"/>
            <w:tcBorders>
              <w:top w:val="single" w:sz="12" w:space="0" w:color="auto"/>
              <w:bottom w:val="single" w:sz="12" w:space="0" w:color="auto"/>
            </w:tcBorders>
            <w:vAlign w:val="center"/>
          </w:tcPr>
          <w:p w14:paraId="340BCA36"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proofErr w:type="spellStart"/>
            <w:r w:rsidRPr="00864063">
              <w:rPr>
                <w:rFonts w:ascii="Times New Roman" w:hAnsi="Times New Roman" w:cs="Times New Roman"/>
                <w:i/>
                <w:iCs/>
                <w:color w:val="000000" w:themeColor="text1"/>
                <w:sz w:val="20"/>
                <w:szCs w:val="20"/>
              </w:rPr>
              <w:t>RL</w:t>
            </w:r>
            <w:r w:rsidRPr="00864063">
              <w:rPr>
                <w:rFonts w:ascii="Times New Roman" w:hAnsi="Times New Roman" w:cs="Times New Roman"/>
                <w:i/>
                <w:iCs/>
                <w:color w:val="000000" w:themeColor="text1"/>
                <w:sz w:val="20"/>
                <w:szCs w:val="20"/>
                <w:vertAlign w:val="subscript"/>
              </w:rPr>
              <w:t>min</w:t>
            </w:r>
            <w:r w:rsidRPr="00864063">
              <w:rPr>
                <w:rFonts w:ascii="Times New Roman" w:hAnsi="Times New Roman" w:cs="Times New Roman"/>
                <w:color w:val="000000" w:themeColor="text1"/>
                <w:sz w:val="20"/>
                <w:szCs w:val="20"/>
                <w:vertAlign w:val="superscript"/>
              </w:rPr>
              <w:t>b</w:t>
            </w:r>
            <w:proofErr w:type="spellEnd"/>
            <w:r w:rsidRPr="00864063">
              <w:rPr>
                <w:rFonts w:ascii="Times New Roman" w:hAnsi="Times New Roman" w:cs="Times New Roman"/>
                <w:i/>
                <w:iCs/>
                <w:color w:val="000000" w:themeColor="text1"/>
                <w:sz w:val="20"/>
                <w:szCs w:val="20"/>
                <w:vertAlign w:val="subscript"/>
              </w:rPr>
              <w:t xml:space="preserve"> </w:t>
            </w:r>
            <w:r w:rsidRPr="00864063">
              <w:rPr>
                <w:rFonts w:ascii="Times New Roman" w:hAnsi="Times New Roman" w:cs="Times New Roman"/>
                <w:color w:val="000000" w:themeColor="text1"/>
                <w:sz w:val="20"/>
                <w:szCs w:val="20"/>
              </w:rPr>
              <w:t>(dB)</w:t>
            </w:r>
          </w:p>
        </w:tc>
        <w:tc>
          <w:tcPr>
            <w:tcW w:w="750" w:type="pct"/>
            <w:tcBorders>
              <w:top w:val="single" w:sz="12" w:space="0" w:color="auto"/>
              <w:bottom w:val="single" w:sz="12" w:space="0" w:color="auto"/>
            </w:tcBorders>
            <w:vAlign w:val="center"/>
          </w:tcPr>
          <w:p w14:paraId="435946B8"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proofErr w:type="spellStart"/>
            <w:r w:rsidRPr="00864063">
              <w:rPr>
                <w:rFonts w:ascii="Times New Roman" w:hAnsi="Times New Roman" w:cs="Times New Roman"/>
                <w:color w:val="000000" w:themeColor="text1"/>
                <w:sz w:val="20"/>
                <w:szCs w:val="20"/>
              </w:rPr>
              <w:t>EAB</w:t>
            </w:r>
            <w:r w:rsidRPr="00864063">
              <w:rPr>
                <w:rFonts w:ascii="Times New Roman" w:hAnsi="Times New Roman" w:cs="Times New Roman"/>
                <w:color w:val="000000" w:themeColor="text1"/>
                <w:sz w:val="20"/>
                <w:szCs w:val="20"/>
                <w:vertAlign w:val="superscript"/>
              </w:rPr>
              <w:t>c</w:t>
            </w:r>
            <w:proofErr w:type="spellEnd"/>
            <w:r w:rsidRPr="00864063">
              <w:rPr>
                <w:rFonts w:ascii="Times New Roman" w:hAnsi="Times New Roman" w:cs="Times New Roman"/>
                <w:color w:val="000000" w:themeColor="text1"/>
                <w:sz w:val="20"/>
                <w:szCs w:val="20"/>
              </w:rPr>
              <w:t xml:space="preserve"> (GH</w:t>
            </w:r>
            <w:r w:rsidRPr="00864063">
              <w:rPr>
                <w:rFonts w:ascii="Times New Roman" w:hAnsi="Times New Roman" w:cs="Times New Roman"/>
                <w:color w:val="000000" w:themeColor="text1"/>
                <w:sz w:val="20"/>
                <w:szCs w:val="20"/>
                <w:vertAlign w:val="subscript"/>
              </w:rPr>
              <w:t>Z</w:t>
            </w:r>
            <w:r w:rsidRPr="00864063">
              <w:rPr>
                <w:rFonts w:ascii="Times New Roman" w:hAnsi="Times New Roman" w:cs="Times New Roman"/>
                <w:color w:val="000000" w:themeColor="text1"/>
                <w:sz w:val="20"/>
                <w:szCs w:val="20"/>
              </w:rPr>
              <w:t>)</w:t>
            </w:r>
          </w:p>
        </w:tc>
        <w:tc>
          <w:tcPr>
            <w:tcW w:w="749" w:type="pct"/>
            <w:tcBorders>
              <w:top w:val="single" w:sz="12" w:space="0" w:color="auto"/>
              <w:bottom w:val="single" w:sz="12" w:space="0" w:color="auto"/>
            </w:tcBorders>
            <w:vAlign w:val="center"/>
          </w:tcPr>
          <w:p w14:paraId="52FAD729"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Ref.</w:t>
            </w:r>
          </w:p>
        </w:tc>
      </w:tr>
      <w:tr w:rsidR="00864063" w:rsidRPr="00864063" w14:paraId="35E10E1D" w14:textId="77777777" w:rsidTr="00286C00">
        <w:tc>
          <w:tcPr>
            <w:tcW w:w="2251" w:type="pct"/>
          </w:tcPr>
          <w:p w14:paraId="04E1026B" w14:textId="13A158B4" w:rsidR="00806CB8" w:rsidRPr="00864063" w:rsidRDefault="00864063" w:rsidP="00E94238">
            <w:pPr>
              <w:adjustRightInd w:val="0"/>
              <w:spacing w:line="360" w:lineRule="auto"/>
              <w:contextualSpacing/>
              <w:rPr>
                <w:rFonts w:ascii="Times New Roman" w:hAnsi="Times New Roman" w:cs="Times New Roman"/>
                <w:b/>
                <w:bCs/>
                <w:color w:val="000000" w:themeColor="text1"/>
                <w:sz w:val="20"/>
                <w:szCs w:val="20"/>
              </w:rPr>
            </w:pPr>
            <w:proofErr w:type="spellStart"/>
            <w:r w:rsidRPr="00864063">
              <w:rPr>
                <w:rFonts w:ascii="Times New Roman" w:hAnsi="Times New Roman" w:cs="Times New Roman"/>
                <w:bCs/>
                <w:color w:val="000000" w:themeColor="text1"/>
                <w:sz w:val="20"/>
                <w:szCs w:val="20"/>
              </w:rPr>
              <w:t>SiOC</w:t>
            </w:r>
            <w:proofErr w:type="spellEnd"/>
            <w:r w:rsidRPr="00864063">
              <w:rPr>
                <w:rFonts w:ascii="Times New Roman" w:hAnsi="Times New Roman" w:cs="Times New Roman"/>
                <w:bCs/>
                <w:color w:val="000000" w:themeColor="text1"/>
                <w:sz w:val="20"/>
                <w:szCs w:val="20"/>
              </w:rPr>
              <w:t>/CFs</w:t>
            </w:r>
          </w:p>
        </w:tc>
        <w:tc>
          <w:tcPr>
            <w:tcW w:w="583" w:type="pct"/>
          </w:tcPr>
          <w:p w14:paraId="47267FA3" w14:textId="1BCC6EAA"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sidR="00806CB8" w:rsidRPr="0086406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806CB8" w:rsidRPr="00864063">
              <w:rPr>
                <w:rFonts w:ascii="Times New Roman" w:hAnsi="Times New Roman" w:cs="Times New Roman"/>
                <w:color w:val="000000" w:themeColor="text1"/>
                <w:sz w:val="20"/>
                <w:szCs w:val="20"/>
              </w:rPr>
              <w:t>0</w:t>
            </w:r>
          </w:p>
        </w:tc>
        <w:tc>
          <w:tcPr>
            <w:tcW w:w="667" w:type="pct"/>
          </w:tcPr>
          <w:p w14:paraId="2AFB75F8" w14:textId="652DB6ED"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9B0015">
              <w:rPr>
                <w:rFonts w:ascii="Times New Roman" w:hAnsi="Times New Roman" w:cs="Times New Roman"/>
                <w:color w:val="000000" w:themeColor="text1"/>
                <w:sz w:val="20"/>
                <w:szCs w:val="20"/>
              </w:rPr>
              <w:t>47.50</w:t>
            </w:r>
          </w:p>
        </w:tc>
        <w:tc>
          <w:tcPr>
            <w:tcW w:w="750" w:type="pct"/>
          </w:tcPr>
          <w:p w14:paraId="0BE97833" w14:textId="18C22D1A"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806CB8" w:rsidRPr="0086406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806CB8" w:rsidRPr="00864063">
              <w:rPr>
                <w:rFonts w:ascii="Times New Roman" w:hAnsi="Times New Roman" w:cs="Times New Roman"/>
                <w:color w:val="000000" w:themeColor="text1"/>
                <w:sz w:val="20"/>
                <w:szCs w:val="20"/>
              </w:rPr>
              <w:t>0</w:t>
            </w:r>
          </w:p>
        </w:tc>
        <w:tc>
          <w:tcPr>
            <w:tcW w:w="749" w:type="pct"/>
          </w:tcPr>
          <w:p w14:paraId="16B4EC7C" w14:textId="614A33F3" w:rsidR="00806CB8" w:rsidRPr="00B0219D" w:rsidRDefault="009B0015"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{"citationID":"eARVVH3c","properties":{"formattedCitation":"\\super [1]\\nosupersub{}","plainCitation":"[1]","noteIndex":0},"citationItems":[{"id":597,"uris":["http://zotero.org/users/local/w2lYXoUg/items/MJ6UJN76"],"itemData":{"id":597,"type":"article-journal","abstract":"Multi-functional carbon fiber (CF) based composites have great potential as new-type microwave absorption materials (MAMs). However, it was still a huge challenge to integrate antioxidation and MA properties into CF based composites. Herein, the SiOC ceramics coating modified carbon fibers (SiOC/CFs) were prepared by a polymer precursor pyrolysis method. The X-ray photoelectron spectroscopy (XPS) revealed that the SiOC coating was composed of SiOC, SiO2, and amorphous carbon phases. The SiOC ceramics as dual-functional coating not only heightened the oxidation temperature from 415 °C to 890 °C, but also highly improved the microwave absorbing ability from −12.60 dB to −47.50 dB. The enhanced MA performance could be attributed to multiple reflections in the cross-linked structure, various polarization relaxation processes, and the favorable impedance matching effect. The SiOC ceramics coating as a semiconductor could suppress the skin effect originating from the cross-linked CF network, thus leading to a favorable impedance matching behavior.","container-title":"RSC Advances","DOI":"10.1039/C9RA06166E","ISSN":"2046-2069","issue":"53","journalAbbreviation":"RSC Adv.","language":"en","note":"publisher: The Royal Society of Chemistry","page":"30685-30692","source":"pubs.rsc.org","title":"Dual-functional SiOC ceramics coating modified carbon fibers with enhanced microwave absorption performance","volume":"9","author":[{"family":"Zeng","given":"Sifan"},{"family":"Feng","given":"Wanlin"},{"family":"Peng","given":"Shuyuan"},{"family":"Teng","given":"Zhen"},{"family":"Chen","given":"Chen"},{"family":"Zhang","given":"Haibin"},{"family":"Peng","given":"Shuming"}],"issued":{"date-parts":[["2019",9,26]]}}}],"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[1]</w:t>
            </w:r>
            <w:r w:rsidRPr="00B0219D">
              <w:rPr>
                <w:rFonts w:ascii="Times New Roman" w:hAnsi="Times New Roman" w:cs="Times New Roman"/>
                <w:color w:val="000000" w:themeColor="text1"/>
                <w:sz w:val="20"/>
                <w:szCs w:val="20"/>
              </w:rPr>
              <w:fldChar w:fldCharType="end"/>
            </w:r>
          </w:p>
        </w:tc>
      </w:tr>
      <w:tr w:rsidR="00864063" w:rsidRPr="00864063" w14:paraId="6E776D19" w14:textId="77777777" w:rsidTr="00286C00">
        <w:tc>
          <w:tcPr>
            <w:tcW w:w="2251" w:type="pct"/>
          </w:tcPr>
          <w:p w14:paraId="15E749CD" w14:textId="5990B3DD"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sidRPr="009B0015">
              <w:rPr>
                <w:rFonts w:ascii="Times New Roman" w:hAnsi="Times New Roman" w:cs="Times New Roman"/>
                <w:color w:val="000000" w:themeColor="text1"/>
                <w:sz w:val="20"/>
                <w:szCs w:val="20"/>
              </w:rPr>
              <w:t>CF-</w:t>
            </w:r>
            <w:proofErr w:type="spellStart"/>
            <w:r w:rsidRPr="009B0015">
              <w:rPr>
                <w:rFonts w:ascii="Times New Roman" w:hAnsi="Times New Roman" w:cs="Times New Roman"/>
                <w:color w:val="000000" w:themeColor="text1"/>
                <w:sz w:val="20"/>
                <w:szCs w:val="20"/>
              </w:rPr>
              <w:t>SiCw</w:t>
            </w:r>
            <w:proofErr w:type="spellEnd"/>
          </w:p>
        </w:tc>
        <w:tc>
          <w:tcPr>
            <w:tcW w:w="583" w:type="pct"/>
          </w:tcPr>
          <w:p w14:paraId="6506FA16" w14:textId="72DF47D9"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3.00</w:t>
            </w:r>
          </w:p>
        </w:tc>
        <w:tc>
          <w:tcPr>
            <w:tcW w:w="667" w:type="pct"/>
          </w:tcPr>
          <w:p w14:paraId="57B51C2C" w14:textId="61FC434B"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9B0015">
              <w:rPr>
                <w:rFonts w:ascii="Times New Roman" w:hAnsi="Times New Roman" w:cs="Times New Roman"/>
                <w:color w:val="000000" w:themeColor="text1"/>
                <w:sz w:val="20"/>
                <w:szCs w:val="20"/>
              </w:rPr>
              <w:t>44.52</w:t>
            </w:r>
          </w:p>
        </w:tc>
        <w:tc>
          <w:tcPr>
            <w:tcW w:w="750" w:type="pct"/>
          </w:tcPr>
          <w:p w14:paraId="5A069954" w14:textId="3DA1FFEE"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sidR="00806CB8" w:rsidRPr="00864063">
              <w:rPr>
                <w:rFonts w:ascii="Times New Roman" w:hAnsi="Times New Roman" w:cs="Times New Roman"/>
                <w:color w:val="000000" w:themeColor="text1"/>
                <w:sz w:val="20"/>
                <w:szCs w:val="20"/>
              </w:rPr>
              <w:t>.</w:t>
            </w:r>
            <w:r w:rsidR="007D3197" w:rsidRPr="00864063">
              <w:rPr>
                <w:rFonts w:ascii="Times New Roman" w:hAnsi="Times New Roman" w:cs="Times New Roman"/>
                <w:color w:val="000000" w:themeColor="text1"/>
                <w:sz w:val="20"/>
                <w:szCs w:val="20"/>
              </w:rPr>
              <w:t>2</w:t>
            </w:r>
            <w:r w:rsidR="00806CB8" w:rsidRPr="00864063">
              <w:rPr>
                <w:rFonts w:ascii="Times New Roman" w:hAnsi="Times New Roman" w:cs="Times New Roman"/>
                <w:color w:val="000000" w:themeColor="text1"/>
                <w:sz w:val="20"/>
                <w:szCs w:val="20"/>
              </w:rPr>
              <w:t>0</w:t>
            </w:r>
          </w:p>
        </w:tc>
        <w:tc>
          <w:tcPr>
            <w:tcW w:w="749" w:type="pct"/>
          </w:tcPr>
          <w:p w14:paraId="4A350115" w14:textId="7F824E5A" w:rsidR="00806CB8" w:rsidRPr="00B0219D" w:rsidRDefault="009B0015"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{"citationID":"lmftWG5G","properties":{"formattedCitation":"\\super [2]\\nosupersub{}","plainCitation":"[2]","noteIndex":0},"citationItems":[{"id":601,"uris":["http://zotero.org/users/local/w2lYXoUg/items/366STEKI"],"itemData":{"id":601,"type":"article-journal","abstract":"SiC whisker-coated carbon fibers with improved microwave absorption properties were synthesized by catalysis chemical vapor deposition. Dielectric response and microwave absorption properties of SiC whisker-coated carbon fibers were investigated at the frequency range of 2–18 GHz. 8 and 18 wt% SiC whiskers were grown on carbon fibers after depositing for 2 and 3 h, respectively, and the whiskers grew thicker and more compact with prolonged deposition time. Many stacking faults formed during the growth of SiC whiskers. Moreover, carbon fibers coated with 8 and 18 wt% SiC whiskers both presented decreased complex permittivity. Although their electromagnetic wave attenuation capability slightly decreased, impedance matching clearly improved. The minimum reflection loss of carbon fibers significantly increased from around − 2 to − 19.8 dB after coating with 18 wt% SiC whiskers at a thickness of 2.0 mm. Carbon fibers coated with 18 wt% SiC whiskers also exhibited remarkably enhanced microwave absorbing properties of − 44.53 dB at 7.4 GHz at a thickness of 3.0 mm.","container-title":"Journal of Materials Science: Materials in Electronics","DOI":"10.1007/s10854-019-01880-2","ISSN":"1573-482X","issue":"16","journalAbbreviation":"J Mater Sci: Mater Electron","language":"en","page":"15075-15083","source":"Springer Link","title":"Dielectric response and microwave absorption properties of SiC whisker-coated carbon fibers","volume":"30","author":[{"family":"Wang","given":"Yichen"},{"family":"Wen","given":"Zhongliu"},{"family":"Long","given":"Lan"},{"family":"Li","given":"Yang"},{"family":"Zhou","given":"Wei"}],"issued":{"date-parts":[["2019",8,1]]}}}],"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[2]</w:t>
            </w:r>
            <w:r w:rsidRPr="00B0219D">
              <w:rPr>
                <w:rFonts w:ascii="Times New Roman" w:hAnsi="Times New Roman" w:cs="Times New Roman"/>
                <w:color w:val="000000" w:themeColor="text1"/>
                <w:sz w:val="20"/>
                <w:szCs w:val="20"/>
              </w:rPr>
              <w:fldChar w:fldCharType="end"/>
            </w:r>
          </w:p>
        </w:tc>
      </w:tr>
      <w:tr w:rsidR="00864063" w:rsidRPr="00864063" w14:paraId="5A454232" w14:textId="77777777" w:rsidTr="00286C00">
        <w:tc>
          <w:tcPr>
            <w:tcW w:w="2251" w:type="pct"/>
            <w:vAlign w:val="center"/>
          </w:tcPr>
          <w:p w14:paraId="76A15C8D" w14:textId="1F290D15" w:rsidR="00806CB8" w:rsidRPr="00864063" w:rsidRDefault="009B0015" w:rsidP="00E94238">
            <w:pPr>
              <w:adjustRightInd w:val="0"/>
              <w:spacing w:line="360" w:lineRule="auto"/>
              <w:contextualSpacing/>
              <w:rPr>
                <w:rFonts w:ascii="Times New Roman" w:hAnsi="Times New Roman" w:cs="Times New Roman"/>
                <w:color w:val="000000" w:themeColor="text1"/>
                <w:sz w:val="20"/>
                <w:szCs w:val="20"/>
              </w:rPr>
            </w:pPr>
            <w:proofErr w:type="spellStart"/>
            <w:r w:rsidRPr="009B0015">
              <w:rPr>
                <w:rFonts w:ascii="Times New Roman" w:hAnsi="Times New Roman" w:cs="Times New Roman"/>
                <w:color w:val="000000" w:themeColor="text1"/>
                <w:sz w:val="20"/>
                <w:szCs w:val="20"/>
              </w:rPr>
              <w:t>NiCo@NPC@CF</w:t>
            </w:r>
            <w:proofErr w:type="spellEnd"/>
          </w:p>
        </w:tc>
        <w:tc>
          <w:tcPr>
            <w:tcW w:w="583" w:type="pct"/>
            <w:vAlign w:val="center"/>
          </w:tcPr>
          <w:p w14:paraId="276892D2" w14:textId="2ACD7E6D"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sidRPr="00965243">
              <w:rPr>
                <w:rFonts w:ascii="Times New Roman" w:hAnsi="Times New Roman" w:cs="Times New Roman"/>
                <w:color w:val="000000" w:themeColor="text1"/>
                <w:sz w:val="20"/>
                <w:szCs w:val="20"/>
              </w:rPr>
              <w:t>3.5</w:t>
            </w:r>
            <w:r w:rsidR="007D3197" w:rsidRPr="00864063">
              <w:rPr>
                <w:rFonts w:ascii="Times New Roman" w:hAnsi="Times New Roman" w:cs="Times New Roman"/>
                <w:color w:val="000000" w:themeColor="text1"/>
                <w:sz w:val="20"/>
                <w:szCs w:val="20"/>
              </w:rPr>
              <w:t>0</w:t>
            </w:r>
          </w:p>
        </w:tc>
        <w:tc>
          <w:tcPr>
            <w:tcW w:w="667" w:type="pct"/>
            <w:vAlign w:val="center"/>
          </w:tcPr>
          <w:p w14:paraId="71D55708" w14:textId="7E549110"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9B0015" w:rsidRPr="009B0015">
              <w:rPr>
                <w:rFonts w:ascii="Times New Roman" w:hAnsi="Times New Roman" w:cs="Times New Roman"/>
                <w:color w:val="000000" w:themeColor="text1"/>
                <w:sz w:val="20"/>
                <w:szCs w:val="20"/>
              </w:rPr>
              <w:t>46.5</w:t>
            </w:r>
            <w:r w:rsidR="007D3197" w:rsidRPr="00864063">
              <w:rPr>
                <w:rFonts w:ascii="Times New Roman" w:hAnsi="Times New Roman" w:cs="Times New Roman"/>
                <w:color w:val="000000" w:themeColor="text1"/>
                <w:sz w:val="20"/>
                <w:szCs w:val="20"/>
              </w:rPr>
              <w:t>0</w:t>
            </w:r>
          </w:p>
        </w:tc>
        <w:tc>
          <w:tcPr>
            <w:tcW w:w="750" w:type="pct"/>
            <w:vAlign w:val="center"/>
          </w:tcPr>
          <w:p w14:paraId="2078B875" w14:textId="33BFA099"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sidRPr="00965243">
              <w:rPr>
                <w:rFonts w:ascii="Times New Roman" w:hAnsi="Times New Roman" w:cs="Times New Roman"/>
                <w:color w:val="000000" w:themeColor="text1"/>
                <w:sz w:val="20"/>
                <w:szCs w:val="20"/>
              </w:rPr>
              <w:t>10.0</w:t>
            </w:r>
          </w:p>
        </w:tc>
        <w:tc>
          <w:tcPr>
            <w:tcW w:w="749" w:type="pct"/>
            <w:vAlign w:val="center"/>
          </w:tcPr>
          <w:p w14:paraId="52491F5E" w14:textId="349DD4A0" w:rsidR="00806CB8" w:rsidRPr="00B0219D" w:rsidRDefault="00965243"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{"citationID":"JNlSz0ng","properties":{"formattedCitation":"\\super [3]\\nosupersub{}","plainCitation":"[3]","noteIndex":0},"citationItems":[{"id":604,"uris":["http://zotero.org/users/local/w2lYXoUg/items/LQLMRR4W"],"itemData":{"id":604,"type":"article-journal","abstract":"Electromagnetic (EM) wave absorption materials with a light weight and low-cost are in urgent need, because of the increasing radiation interference and pollution by EM. Although a large number of carbon materials have been explored as EM wave absorbers, most of them exhibit a quite limited EM wave absorption performance because of their unstable structure, low permittivity and poor impedance matching. To overcome this limitation, a series of NiCo@nanoporous carbon@carbon fiber nanocomposites (NiCo@NPC@CF-x, x = 600, 700 or 800) composed of a micro-to-nano hierarchical porous carbon structure and flower-like NiCo@C particles using Ni/Co-MOF particles and biomass cotton as precursors, are fabricated. Benefiting from the participation of biomass cotton, the minimum reflection loss (RLmin) of hierarchical NiCo@NPC@CF is dramatically enhanced to −46.5 dB with a wide effective absorption bandwidth (EAB) of 10.0 GHz at a thickness of 3.5 mm. The total shielding effectiveness (SET) value of NiCo@NPC@CF-800 is 30.58 dB, suggesting that the sample is sufficient to shield more than 99.99% of incident EM waves. The carbonized 1D CFs facilitated the microwave energy dissipated by electron transportation and improved the impedance matching. The improvement of the wave absorption capacity was mainly attributed to the synergistic effect of the hierarchical pore structure, better impedance matching and a larger attenuation constant. Therefore, this work provides a feasible strategy to design and synthesize excellent EM wave absorbers and shielding materials by using the combination of MOFs and biomass materials as precursors.","container-title":"Journal of Materials Chemistry C","DOI":"10.1039/D2TC00965J","ISSN":"2050-7534","issue":"21","journalAbbreviation":"J. Mater. Chem. C","language":"en","note":"publisher: The Royal Society of Chemistry","page":"8310-8320","source":"pubs.rsc.org","title":"NiCo@NPC@CF nanocomposites derived from NiCo-MOF/cotton for high-performance electromagnetic wave absorption","volume":"10","author":[{"family":"Jin","given":"Hongdu"},{"family":"Wen","given":"Hui-Min"},{"family":"Hong","given":"Qu"},{"family":"Lin","given":"Jun"},{"family":"Li","given":"Jun"},{"family":"Hu","given":"Jun"}],"issued":{"date-parts":[["2022",6,1]]}}}],"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[3]</w:t>
            </w:r>
            <w:r w:rsidRPr="00B0219D">
              <w:rPr>
                <w:rFonts w:ascii="Times New Roman" w:hAnsi="Times New Roman" w:cs="Times New Roman"/>
                <w:color w:val="000000" w:themeColor="text1"/>
                <w:sz w:val="20"/>
                <w:szCs w:val="20"/>
              </w:rPr>
              <w:fldChar w:fldCharType="end"/>
            </w:r>
          </w:p>
        </w:tc>
      </w:tr>
      <w:tr w:rsidR="00864063" w:rsidRPr="00864063" w14:paraId="68E7F24F" w14:textId="77777777" w:rsidTr="00286C00">
        <w:tc>
          <w:tcPr>
            <w:tcW w:w="2251" w:type="pct"/>
            <w:vAlign w:val="center"/>
          </w:tcPr>
          <w:p w14:paraId="2E096B55" w14:textId="4197FD12"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sidRPr="00965243">
              <w:rPr>
                <w:rFonts w:ascii="Times New Roman" w:hAnsi="Times New Roman" w:cs="Times New Roman"/>
                <w:color w:val="000000" w:themeColor="text1"/>
                <w:sz w:val="20"/>
                <w:szCs w:val="20"/>
              </w:rPr>
              <w:t>MnO</w:t>
            </w:r>
            <w:r w:rsidRPr="00965243">
              <w:rPr>
                <w:rFonts w:ascii="Times New Roman" w:hAnsi="Times New Roman" w:cs="Times New Roman"/>
                <w:color w:val="000000" w:themeColor="text1"/>
                <w:sz w:val="20"/>
                <w:szCs w:val="20"/>
                <w:vertAlign w:val="subscript"/>
              </w:rPr>
              <w:t>2</w:t>
            </w:r>
            <w:r w:rsidRPr="00965243">
              <w:rPr>
                <w:rFonts w:ascii="Times New Roman" w:hAnsi="Times New Roman" w:cs="Times New Roman"/>
                <w:color w:val="000000" w:themeColor="text1"/>
                <w:sz w:val="20"/>
                <w:szCs w:val="20"/>
              </w:rPr>
              <w:t>@HNCFs</w:t>
            </w:r>
          </w:p>
        </w:tc>
        <w:tc>
          <w:tcPr>
            <w:tcW w:w="583" w:type="pct"/>
            <w:vAlign w:val="center"/>
          </w:tcPr>
          <w:p w14:paraId="3A675653" w14:textId="33BDA3FC"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2.</w:t>
            </w:r>
            <w:r w:rsidR="00965243">
              <w:rPr>
                <w:rFonts w:ascii="Times New Roman" w:hAnsi="Times New Roman" w:cs="Times New Roman"/>
                <w:color w:val="000000" w:themeColor="text1"/>
                <w:sz w:val="20"/>
                <w:szCs w:val="20"/>
              </w:rPr>
              <w:t>8</w:t>
            </w:r>
            <w:r w:rsidRPr="00864063">
              <w:rPr>
                <w:rFonts w:ascii="Times New Roman" w:hAnsi="Times New Roman" w:cs="Times New Roman"/>
                <w:color w:val="000000" w:themeColor="text1"/>
                <w:sz w:val="20"/>
                <w:szCs w:val="20"/>
              </w:rPr>
              <w:t>0</w:t>
            </w:r>
          </w:p>
        </w:tc>
        <w:tc>
          <w:tcPr>
            <w:tcW w:w="667" w:type="pct"/>
            <w:vAlign w:val="center"/>
          </w:tcPr>
          <w:p w14:paraId="29677BB4" w14:textId="61ED21BB"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965243" w:rsidRPr="00965243">
              <w:rPr>
                <w:rFonts w:ascii="Times New Roman" w:hAnsi="Times New Roman" w:cs="Times New Roman"/>
                <w:color w:val="000000" w:themeColor="text1"/>
                <w:sz w:val="20"/>
                <w:szCs w:val="20"/>
              </w:rPr>
              <w:t>32.17</w:t>
            </w:r>
          </w:p>
        </w:tc>
        <w:tc>
          <w:tcPr>
            <w:tcW w:w="750" w:type="pct"/>
            <w:vAlign w:val="center"/>
          </w:tcPr>
          <w:p w14:paraId="02018229" w14:textId="559D60BD"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r w:rsidR="00806CB8" w:rsidRPr="00864063">
              <w:rPr>
                <w:rFonts w:ascii="Times New Roman" w:hAnsi="Times New Roman" w:cs="Times New Roman"/>
                <w:color w:val="000000" w:themeColor="text1"/>
                <w:sz w:val="20"/>
                <w:szCs w:val="20"/>
              </w:rPr>
              <w:t>.</w:t>
            </w:r>
            <w:r w:rsidR="007D3197" w:rsidRPr="00864063">
              <w:rPr>
                <w:rFonts w:ascii="Times New Roman" w:hAnsi="Times New Roman" w:cs="Times New Roman"/>
                <w:color w:val="000000" w:themeColor="text1"/>
                <w:sz w:val="20"/>
                <w:szCs w:val="20"/>
              </w:rPr>
              <w:t>8</w:t>
            </w:r>
            <w:r w:rsidR="00806CB8" w:rsidRPr="00864063">
              <w:rPr>
                <w:rFonts w:ascii="Times New Roman" w:hAnsi="Times New Roman" w:cs="Times New Roman"/>
                <w:color w:val="000000" w:themeColor="text1"/>
                <w:sz w:val="20"/>
                <w:szCs w:val="20"/>
              </w:rPr>
              <w:t>0</w:t>
            </w:r>
          </w:p>
        </w:tc>
        <w:tc>
          <w:tcPr>
            <w:tcW w:w="749" w:type="pct"/>
            <w:vAlign w:val="center"/>
          </w:tcPr>
          <w:p w14:paraId="0EEB033D" w14:textId="1D4E8887" w:rsidR="00806CB8" w:rsidRPr="00B0219D" w:rsidRDefault="00965243"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{"citationID":"PKGdbHVX","properties":{"formattedCitation":"\\super [4]\\nosupersub{}","plainCitation":"[4]","noteIndex":0},"citationItems":[{"id":607,"uris":["http://zotero.org/users/local/w2lYXoUg/items/MTFFJR4N"],"itemData":{"id":607,"type":"article-journal","abstract":"The nitrogen-doped carbon nanofiber absorber (MnO2@HNCFs) filled with MnO2 nanoparticles/nanosheets is constructed through layer-by-layer coating assisted by vacuum carbonization and etching. The MnO2 nanoparticles/nanosheets filled in the hollow carbon fibers make the material exhibit a hierarchical porous structure, and reduce the density of the material as well. MnO2@HNCFs show excellent microwave absorbing properties, with a minimum reflection loss (RLmin) of −48.87 dB@14.9 GHz at a low loading of 10%, and the thickness is 2.5 mm. The corresponding effective absorption bandwidth (EAB) is 6.2 GHz, covering the entire Ku-band. When the thickness is adjusted to 2.8 mm, the EAB is up to 7.8 GHz and the RLmin is −32.17 dB. The EAB is 5.7 GHz at 3.4 mm, covering the X-band, and the RLmin is −30.62 dB. Through the comparison of the absorbing properties of materials, it is proved that the construction of porous structures can effectively enhance the absorbing properties, which provides a solid argument for the claim that multiple reflection can enhance the electromagnetic wave loss. This work is of great significance to the construction of porous structure microwave absorbing materials, and provides a new idea for the design of lightweight microwave absorbing materials.","container-title":"Carbon","DOI":"10.1016/j.carbon.2022.04.044","ISSN":"0008-6223","journalAbbreviation":"Carbon","language":"en","page":"49-58","source":"ScienceDirect","title":"Hollow nitrogen-doped carbon nanofibers filled with MnO2 nanoparticles/nanosheets as high-performance microwave absorbing materials","volume":"196","author":[{"family":"Cui","given":"Yuhong"},{"family":"Yang","given":"Ke"},{"family":"Lyu","given":"Yanting"},{"family":"Liu","given":"Pei"},{"family":"Zhang","given":"Qiuyu"},{"family":"Zhang","given":"Baoliang"}],"issued":{"date-parts":[["2022",8,30]]}}}],"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[4]</w:t>
            </w:r>
            <w:r w:rsidRPr="00B0219D">
              <w:rPr>
                <w:rFonts w:ascii="Times New Roman" w:hAnsi="Times New Roman" w:cs="Times New Roman"/>
                <w:color w:val="000000" w:themeColor="text1"/>
                <w:sz w:val="20"/>
                <w:szCs w:val="20"/>
              </w:rPr>
              <w:fldChar w:fldCharType="end"/>
            </w:r>
          </w:p>
        </w:tc>
      </w:tr>
      <w:tr w:rsidR="00864063" w:rsidRPr="00864063" w14:paraId="1CA7CA03" w14:textId="77777777" w:rsidTr="00286C00">
        <w:tc>
          <w:tcPr>
            <w:tcW w:w="2251" w:type="pct"/>
            <w:vAlign w:val="center"/>
          </w:tcPr>
          <w:p w14:paraId="2547A58E" w14:textId="6C49197D"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sidRPr="00965243">
              <w:rPr>
                <w:rFonts w:ascii="Times New Roman" w:hAnsi="Times New Roman" w:cs="Times New Roman"/>
                <w:color w:val="000000" w:themeColor="text1"/>
                <w:sz w:val="20"/>
                <w:szCs w:val="20"/>
              </w:rPr>
              <w:t>ATP/IF</w:t>
            </w:r>
          </w:p>
        </w:tc>
        <w:tc>
          <w:tcPr>
            <w:tcW w:w="583" w:type="pct"/>
            <w:vAlign w:val="center"/>
          </w:tcPr>
          <w:p w14:paraId="48A6FECB" w14:textId="47D02667" w:rsidR="00806CB8" w:rsidRPr="00864063" w:rsidRDefault="00286C00"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1</w:t>
            </w:r>
            <w:r w:rsidR="00806CB8" w:rsidRPr="00864063">
              <w:rPr>
                <w:rFonts w:ascii="Times New Roman" w:hAnsi="Times New Roman" w:cs="Times New Roman"/>
                <w:color w:val="000000" w:themeColor="text1"/>
                <w:sz w:val="20"/>
                <w:szCs w:val="20"/>
              </w:rPr>
              <w:t>.</w:t>
            </w:r>
            <w:r w:rsidRPr="00864063">
              <w:rPr>
                <w:rFonts w:ascii="Times New Roman" w:hAnsi="Times New Roman" w:cs="Times New Roman"/>
                <w:color w:val="000000" w:themeColor="text1"/>
                <w:sz w:val="20"/>
                <w:szCs w:val="20"/>
              </w:rPr>
              <w:t>8</w:t>
            </w:r>
            <w:r w:rsidR="00806CB8" w:rsidRPr="00864063">
              <w:rPr>
                <w:rFonts w:ascii="Times New Roman" w:hAnsi="Times New Roman" w:cs="Times New Roman"/>
                <w:color w:val="000000" w:themeColor="text1"/>
                <w:sz w:val="20"/>
                <w:szCs w:val="20"/>
              </w:rPr>
              <w:t>0</w:t>
            </w:r>
          </w:p>
        </w:tc>
        <w:tc>
          <w:tcPr>
            <w:tcW w:w="667" w:type="pct"/>
            <w:vAlign w:val="center"/>
          </w:tcPr>
          <w:p w14:paraId="49899327" w14:textId="1DD6DB4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965243">
              <w:rPr>
                <w:rFonts w:ascii="Times New Roman" w:hAnsi="Times New Roman" w:cs="Times New Roman"/>
                <w:color w:val="000000" w:themeColor="text1"/>
                <w:sz w:val="20"/>
                <w:szCs w:val="20"/>
              </w:rPr>
              <w:t>35</w:t>
            </w:r>
            <w:r w:rsidR="00286C00" w:rsidRPr="00864063">
              <w:rPr>
                <w:rFonts w:ascii="Times New Roman" w:hAnsi="Times New Roman" w:cs="Times New Roman"/>
                <w:color w:val="000000" w:themeColor="text1"/>
                <w:sz w:val="20"/>
                <w:szCs w:val="20"/>
              </w:rPr>
              <w:t>.0</w:t>
            </w:r>
            <w:r w:rsidR="00965243">
              <w:rPr>
                <w:rFonts w:ascii="Times New Roman" w:hAnsi="Times New Roman" w:cs="Times New Roman"/>
                <w:color w:val="000000" w:themeColor="text1"/>
                <w:sz w:val="20"/>
                <w:szCs w:val="20"/>
              </w:rPr>
              <w:t>0</w:t>
            </w:r>
          </w:p>
        </w:tc>
        <w:tc>
          <w:tcPr>
            <w:tcW w:w="750" w:type="pct"/>
            <w:vAlign w:val="center"/>
          </w:tcPr>
          <w:p w14:paraId="3DDF1E1A" w14:textId="3BB95A0E"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8.80</w:t>
            </w:r>
          </w:p>
        </w:tc>
        <w:tc>
          <w:tcPr>
            <w:tcW w:w="749" w:type="pct"/>
            <w:vAlign w:val="center"/>
          </w:tcPr>
          <w:p w14:paraId="3392AA9B" w14:textId="0CA519B7" w:rsidR="00806CB8" w:rsidRPr="00B0219D" w:rsidRDefault="00965243"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{"citationID":"3h3Jldgd","properties":{"formattedCitation":"\\super [5]\\nosupersub{}","plainCitation":"[5]","noteIndex":0},"citationItems":[{"id":610,"uris":["http://zotero.org/users/local/w2lYXoUg/items/GWUY5RM6"],"itemData":{"id":610,"type":"article-journal","abstract":"In this study, attapulgite coated polycrystalline iron fibers (ATP/IF) composites were prepared by layer-by-layer electrostatic self-assembly technology and aligned ATP/IF composite were prepared by shear-force. The complex permittivity decreases from 35 to 20 and permeability decreases from 1.3 to 1.15 at 2.6 GHz for ATP/IF-1 composite. Anisotropy electromagnetic properties were achieved by aligned ATP/IF composites. The microwave absorption properties show that broader bandwidth and better absorption efficiency were obtained by ATP/IF composite (the minimum RL values decrease to −35 dB, the absorption bandwidths with RL below −5 dB is 8.8 GHz at thickness of 1.8 mm for ATP/IF-4 composite), and the microwave absorption performance was further enhanced by aligned ATP/IF-1-A composite (the bandwidth increases to 7.5 GHz at thickness of 1.2 mm). Double-layer ATP/IF composite was designed and the microwave absorption performance show that broader bandwidth and better efficiency can obtained by adjusting the impedance matching characteristics and the absorption characteristics of ATP/IF composite. When d1 = 1.5 mm, d2 = 0.5 mm, the absorption bandwidth is 7.0 GHz from 7.0 to 14 GHz and the minimum RL value reach about - 30 dB, showing higher absorption efficiency and wider bandwidth compared to single-layer aligned ATP/IF composite. Lightweight absorbers with enhanced microwave absorption performance were obtained under a lower content of 40 wt% due to the ATP coating on the surface of IF and alignment of ATP/IF composites.","container-title":"Journal of Alloys and Compounds","DOI":"10.1016/j.jallcom.2023.169817","ISSN":"0925-8388","journalAbbreviation":"Journal of Alloys and Compounds","language":"en","page":"169817","source":"ScienceDirect","title":"Attapulgite coated polycrystalline iron fibers composites with light weight feature and enhanced microwave absorption properties","volume":"948","author":[{"family":"Min","given":"Dandan"},{"family":"Jiang","given":"Jinlong"},{"family":"Qing","given":"Yuchang"},{"family":"Gao","given":"Xiaoyan"},{"family":"Hu","given":"Guang"},{"family":"Zhou","given":"Meng"}],"issued":{"date-parts":[["2023",7,5]]}}}],"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[5]</w:t>
            </w:r>
            <w:r w:rsidRPr="00B0219D">
              <w:rPr>
                <w:rFonts w:ascii="Times New Roman" w:hAnsi="Times New Roman" w:cs="Times New Roman"/>
                <w:color w:val="000000" w:themeColor="text1"/>
                <w:sz w:val="20"/>
                <w:szCs w:val="20"/>
              </w:rPr>
              <w:fldChar w:fldCharType="end"/>
            </w:r>
          </w:p>
        </w:tc>
      </w:tr>
      <w:tr w:rsidR="00864063" w:rsidRPr="00864063" w14:paraId="6E64F306" w14:textId="77777777" w:rsidTr="00286C00">
        <w:tc>
          <w:tcPr>
            <w:tcW w:w="2251" w:type="pct"/>
            <w:vAlign w:val="center"/>
          </w:tcPr>
          <w:p w14:paraId="6BFD966D" w14:textId="6BE86C3F"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proofErr w:type="spellStart"/>
            <w:r w:rsidRPr="00965243">
              <w:rPr>
                <w:rFonts w:ascii="Times New Roman" w:hAnsi="Times New Roman" w:cs="Times New Roman"/>
                <w:color w:val="000000" w:themeColor="text1"/>
                <w:sz w:val="20"/>
                <w:szCs w:val="20"/>
              </w:rPr>
              <w:t>CF@NiO</w:t>
            </w:r>
            <w:proofErr w:type="spellEnd"/>
            <w:r w:rsidRPr="00965243">
              <w:rPr>
                <w:rFonts w:ascii="Times New Roman" w:hAnsi="Times New Roman" w:cs="Times New Roman"/>
                <w:color w:val="000000" w:themeColor="text1"/>
                <w:sz w:val="20"/>
                <w:szCs w:val="20"/>
              </w:rPr>
              <w:t>/Ni</w:t>
            </w:r>
          </w:p>
        </w:tc>
        <w:tc>
          <w:tcPr>
            <w:tcW w:w="583" w:type="pct"/>
            <w:vAlign w:val="center"/>
          </w:tcPr>
          <w:p w14:paraId="7A80BC6B" w14:textId="3818BC78"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r w:rsidR="00806CB8" w:rsidRPr="00864063">
              <w:rPr>
                <w:rFonts w:ascii="Times New Roman" w:hAnsi="Times New Roman" w:cs="Times New Roman"/>
                <w:color w:val="000000" w:themeColor="text1"/>
                <w:sz w:val="20"/>
                <w:szCs w:val="20"/>
              </w:rPr>
              <w:t>0</w:t>
            </w:r>
          </w:p>
        </w:tc>
        <w:tc>
          <w:tcPr>
            <w:tcW w:w="667" w:type="pct"/>
            <w:vAlign w:val="center"/>
          </w:tcPr>
          <w:p w14:paraId="37C95992" w14:textId="20988FC1"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965243" w:rsidRPr="00965243">
              <w:rPr>
                <w:rFonts w:ascii="Times New Roman" w:hAnsi="Times New Roman" w:cs="Times New Roman"/>
                <w:color w:val="000000" w:themeColor="text1"/>
                <w:sz w:val="20"/>
                <w:szCs w:val="20"/>
              </w:rPr>
              <w:t>43.9</w:t>
            </w:r>
            <w:r w:rsidR="00965243">
              <w:rPr>
                <w:rFonts w:ascii="Times New Roman" w:hAnsi="Times New Roman" w:cs="Times New Roman"/>
                <w:color w:val="000000" w:themeColor="text1"/>
                <w:sz w:val="20"/>
                <w:szCs w:val="20"/>
              </w:rPr>
              <w:t>2</w:t>
            </w:r>
          </w:p>
        </w:tc>
        <w:tc>
          <w:tcPr>
            <w:tcW w:w="750" w:type="pct"/>
            <w:vAlign w:val="center"/>
          </w:tcPr>
          <w:p w14:paraId="427E03E4" w14:textId="45B2E825" w:rsidR="00806CB8" w:rsidRPr="00864063" w:rsidRDefault="00965243" w:rsidP="00E94238">
            <w:pPr>
              <w:adjustRightInd w:val="0"/>
              <w:spacing w:line="360" w:lineRule="auto"/>
              <w:contextualSpacing/>
              <w:rPr>
                <w:rFonts w:ascii="Times New Roman" w:hAnsi="Times New Roman" w:cs="Times New Roman"/>
                <w:color w:val="000000" w:themeColor="text1"/>
                <w:sz w:val="20"/>
                <w:szCs w:val="20"/>
              </w:rPr>
            </w:pPr>
            <w:r w:rsidRPr="00965243">
              <w:rPr>
                <w:rFonts w:ascii="Times New Roman" w:hAnsi="Times New Roman" w:cs="Times New Roman"/>
                <w:color w:val="000000" w:themeColor="text1"/>
                <w:sz w:val="20"/>
                <w:szCs w:val="20"/>
              </w:rPr>
              <w:t>5.64</w:t>
            </w:r>
          </w:p>
        </w:tc>
        <w:tc>
          <w:tcPr>
            <w:tcW w:w="749" w:type="pct"/>
            <w:vAlign w:val="center"/>
          </w:tcPr>
          <w:p w14:paraId="77681119" w14:textId="3C31FFCB" w:rsidR="00806CB8" w:rsidRPr="00B0219D" w:rsidRDefault="00965243"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{"citationID":"I9ILPar4","properties":{"formattedCitation":"\\super [6]\\nosupersub{}","plainCitation":"[6]","noteIndex":0},"citationItems":[{"id":613,"uris":["http://zotero.org/users/local/w2lYXoUg/items/KPWV9E9M"],"itemData":{"id":613,"type":"article-journal","abstract":"Lightweight and efficient carbon-based microwave absorbents are significant in addressing the increasing severity of electromagnetic pollution. In this study, hierarchical NiO/Ni nanosheets with a tuneable phase and morphology supported on a carbon fiber substrate (CF@NiO/Ni) were fabricated using a hydrothermal approach and post-annealing treatment. As the annealing temperature increases, more metallic Ni is formed, and an apparent porosity appears on the sheet surface. Benefiting from the advantages of a three-dimensional (3D) conducting network, hierarchical porous structure, reinforced dipole/interface polarization, multiple scattering, and good impedance matching, the CF@NiO/Ni-500 composite exhibits an excellent microwave absorption performance even at a filling rate of only 3wt%. Specifically, its minimal reflection loss is −43.92 dB, and the qualified bandwidth is up to 5.64 GHz. In addition, the low radar cross-section area of the CF@NiO/Ni composite coating confirms its strong ability to suppress electromagnetic wave scattering. We expect that this work could contribute to a deeper understanding of the phase and morphology evolution in enhancing microwave absorption.","container-title":"International Journal of Minerals, Metallurgy and Materials","DOI":"10.1007/s12613-022-2524-2","ISSN":"1869-103X","issue":"3","journalAbbreviation":"Int J Miner Metall Mater","language":"en","page":"494-503","source":"Springer Link","title":"Promoting the microwave absorption performance of hierarchical CF@NiO/Ni composites via phase and morphology evolution","volume":"30","author":[{"family":"Wang","given":"Shipeng"},{"family":"Liu","given":"Ziyan"},{"family":"Liu","given":"Qiangchun"},{"family":"Wang","given":"Baojun"},{"family":"Wei","given":"Wei"},{"family":"Wu","given":"Hao"},{"family":"Xu","given":"Zijie"},{"family":"Li","given":"Shikuo"},{"family":"Huang","given":"Fangzhi"},{"family":"Zhang","given":"Hui"}],"issued":{"date-parts":[["2023",3,1]]}}}],"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[6]</w:t>
            </w:r>
            <w:r w:rsidRPr="00B0219D">
              <w:rPr>
                <w:rFonts w:ascii="Times New Roman" w:hAnsi="Times New Roman" w:cs="Times New Roman"/>
                <w:color w:val="000000" w:themeColor="text1"/>
                <w:sz w:val="20"/>
                <w:szCs w:val="20"/>
              </w:rPr>
              <w:fldChar w:fldCharType="end"/>
            </w:r>
          </w:p>
        </w:tc>
      </w:tr>
      <w:tr w:rsidR="00864063" w:rsidRPr="00864063" w14:paraId="795B8BD8" w14:textId="77777777" w:rsidTr="00286C00">
        <w:tc>
          <w:tcPr>
            <w:tcW w:w="2251" w:type="pct"/>
            <w:vAlign w:val="center"/>
          </w:tcPr>
          <w:p w14:paraId="31CC32A1" w14:textId="7C7A38CA"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sidRPr="00FD193F">
              <w:rPr>
                <w:rFonts w:ascii="Times New Roman" w:hAnsi="Times New Roman" w:cs="Times New Roman"/>
                <w:bCs/>
                <w:color w:val="000000" w:themeColor="text1"/>
                <w:sz w:val="20"/>
                <w:szCs w:val="20"/>
              </w:rPr>
              <w:t>CSA</w:t>
            </w:r>
          </w:p>
        </w:tc>
        <w:tc>
          <w:tcPr>
            <w:tcW w:w="583" w:type="pct"/>
            <w:vAlign w:val="center"/>
          </w:tcPr>
          <w:p w14:paraId="01BF114D" w14:textId="36D941F6"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sidRPr="00FD193F">
              <w:rPr>
                <w:rFonts w:ascii="Times New Roman" w:hAnsi="Times New Roman" w:cs="Times New Roman"/>
                <w:color w:val="000000" w:themeColor="text1"/>
                <w:sz w:val="20"/>
                <w:szCs w:val="20"/>
              </w:rPr>
              <w:t>1.8</w:t>
            </w:r>
            <w:r w:rsidR="00806CB8" w:rsidRPr="00864063">
              <w:rPr>
                <w:rFonts w:ascii="Times New Roman" w:hAnsi="Times New Roman" w:cs="Times New Roman"/>
                <w:color w:val="000000" w:themeColor="text1"/>
                <w:sz w:val="20"/>
                <w:szCs w:val="20"/>
              </w:rPr>
              <w:t>0</w:t>
            </w:r>
          </w:p>
        </w:tc>
        <w:tc>
          <w:tcPr>
            <w:tcW w:w="667" w:type="pct"/>
            <w:vAlign w:val="center"/>
          </w:tcPr>
          <w:p w14:paraId="1A075D0A" w14:textId="72CFBED3"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FD193F" w:rsidRPr="00FD193F">
              <w:rPr>
                <w:rFonts w:ascii="Times New Roman" w:hAnsi="Times New Roman" w:cs="Times New Roman"/>
                <w:color w:val="000000" w:themeColor="text1"/>
                <w:sz w:val="20"/>
                <w:szCs w:val="20"/>
              </w:rPr>
              <w:t>46.20</w:t>
            </w:r>
          </w:p>
        </w:tc>
        <w:tc>
          <w:tcPr>
            <w:tcW w:w="750" w:type="pct"/>
            <w:vAlign w:val="center"/>
          </w:tcPr>
          <w:p w14:paraId="2789069A" w14:textId="3E6FC79E"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sidRPr="00FD193F">
              <w:rPr>
                <w:rFonts w:ascii="Times New Roman" w:hAnsi="Times New Roman" w:cs="Times New Roman"/>
                <w:color w:val="000000" w:themeColor="text1"/>
                <w:sz w:val="20"/>
                <w:szCs w:val="20"/>
              </w:rPr>
              <w:t>5.2</w:t>
            </w:r>
            <w:r>
              <w:rPr>
                <w:rFonts w:ascii="Times New Roman" w:hAnsi="Times New Roman" w:cs="Times New Roman"/>
                <w:color w:val="000000" w:themeColor="text1"/>
                <w:sz w:val="20"/>
                <w:szCs w:val="20"/>
              </w:rPr>
              <w:t>0</w:t>
            </w:r>
          </w:p>
        </w:tc>
        <w:tc>
          <w:tcPr>
            <w:tcW w:w="749" w:type="pct"/>
            <w:vAlign w:val="center"/>
          </w:tcPr>
          <w:p w14:paraId="4ECF14BE" w14:textId="15D49E88" w:rsidR="00806CB8" w:rsidRPr="00B0219D" w:rsidRDefault="00FD193F"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{"citationID":"m0qKzspz","properties":{"formattedCitation":"\\super [7]\\nosupersub{}","plainCitation":"[7]","noteIndex":0},"citationItems":[{"id":615,"uris":["http://zotero.org/users/local/w2lYXoUg/items/LR784G6R"],"itemData":{"id":615,"type":"article-journal","abstract":"The research and development of dielectric microwave absorbing materials with broad electromagnetic (EM) response is a significant project in EM wave absorption field. To achieve high-performance absorption and strong interfacial bonding at the same time, thermal-assisted in-situ bonding technology was applied to fabricating the dielectric composite absorbing materials. Thanks to the combination of vacuum filtration and in-situ hydrothermal reaction, the as-prepared binary composite aerogel shows both strong interface contacting and good mechanical stability. In addition, the carbon nanofibers/silica composite aerogel (CSA) exhibits ultra-broad effective bandwidth covering from S to Ku band, originated from the uniform dispersed silica aerogel in conductive carbon fiber network. In details, for CSA1 sample, the maximum reflection loss (RL) values and effective absorption bandwidth reach −46.2 dB (1.8 mm) and 5.2 GHz (1.5 mm). Meanwhile, the optimum RCS reduction values reaches 16.2 dB m2 when the detection theta was set as 0°. For CSA2 sample, the effective absorption bandwidth reaches 8.64 GHz at 1.5 mm, and tends to possess lower frequency EM response covering the S-band. This work exhibits a kind of broad-bandwidth aerogel absorbers at low thickness, which shows huge potential in large-scale production of microwave absorbing devices.","container-title":"Ceramics International","DOI":"10.1016/j.ceramint.2023.04.227","ISSN":"0272-8842","issue":"15","journalAbbreviation":"Ceramics International","language":"en","page":"24744-24751","source":"ScienceDirect","title":"Ultra-broadband electromagnetic wave absorbent: In-situ generated silica modified conductive carbon fiber aerogels","title-short":"Ultra-broadband electromagnetic wave absorbent","volume":"49","author":[{"family":"Teng","given":"Siqiao"},{"family":"Xie","given":"Wen"},{"family":"Zhang","given":"Dong"},{"family":"Yang","given":"Junyi"},{"family":"Quan","given":"Bin"},{"family":"Lu","given":"Xiaochi"}],"issued":{"date-parts":[["2023",8,1]]}}}],"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[7]</w:t>
            </w:r>
            <w:r w:rsidRPr="00B0219D">
              <w:rPr>
                <w:rFonts w:ascii="Times New Roman" w:hAnsi="Times New Roman" w:cs="Times New Roman"/>
                <w:color w:val="000000" w:themeColor="text1"/>
                <w:sz w:val="20"/>
                <w:szCs w:val="20"/>
              </w:rPr>
              <w:fldChar w:fldCharType="end"/>
            </w:r>
          </w:p>
        </w:tc>
      </w:tr>
      <w:tr w:rsidR="00864063" w:rsidRPr="00864063" w14:paraId="46DFD47E" w14:textId="77777777" w:rsidTr="00286C00">
        <w:tc>
          <w:tcPr>
            <w:tcW w:w="2251" w:type="pct"/>
          </w:tcPr>
          <w:p w14:paraId="4810E0F8" w14:textId="0C26A323"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sidRPr="00FD193F">
              <w:rPr>
                <w:rFonts w:ascii="Times New Roman" w:hAnsi="Times New Roman" w:cs="Times New Roman"/>
                <w:color w:val="000000" w:themeColor="text1"/>
                <w:sz w:val="20"/>
                <w:szCs w:val="20"/>
              </w:rPr>
              <w:t>SiO</w:t>
            </w:r>
            <w:r w:rsidRPr="00FD193F">
              <w:rPr>
                <w:rFonts w:ascii="Times New Roman" w:hAnsi="Times New Roman" w:cs="Times New Roman"/>
                <w:color w:val="000000" w:themeColor="text1"/>
                <w:sz w:val="20"/>
                <w:szCs w:val="20"/>
                <w:vertAlign w:val="subscript"/>
              </w:rPr>
              <w:t>2</w:t>
            </w:r>
            <w:r w:rsidRPr="00FD193F">
              <w:rPr>
                <w:rFonts w:ascii="Times New Roman" w:hAnsi="Times New Roman" w:cs="Times New Roman"/>
                <w:color w:val="000000" w:themeColor="text1"/>
                <w:sz w:val="20"/>
                <w:szCs w:val="20"/>
              </w:rPr>
              <w:t>/SCCF</w:t>
            </w:r>
          </w:p>
        </w:tc>
        <w:tc>
          <w:tcPr>
            <w:tcW w:w="583" w:type="pct"/>
          </w:tcPr>
          <w:p w14:paraId="4A935B8A" w14:textId="1D9181E8"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5.50</w:t>
            </w:r>
          </w:p>
        </w:tc>
        <w:tc>
          <w:tcPr>
            <w:tcW w:w="667" w:type="pct"/>
          </w:tcPr>
          <w:p w14:paraId="122BA7FC" w14:textId="76D616A6"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FD193F">
              <w:rPr>
                <w:rFonts w:ascii="Times New Roman" w:hAnsi="Times New Roman" w:cs="Times New Roman"/>
                <w:color w:val="000000" w:themeColor="text1"/>
                <w:sz w:val="20"/>
                <w:szCs w:val="20"/>
              </w:rPr>
              <w:t>29.3</w:t>
            </w:r>
            <w:r w:rsidRPr="00864063">
              <w:rPr>
                <w:rFonts w:ascii="Times New Roman" w:hAnsi="Times New Roman" w:cs="Times New Roman"/>
                <w:color w:val="000000" w:themeColor="text1"/>
                <w:sz w:val="20"/>
                <w:szCs w:val="20"/>
              </w:rPr>
              <w:t>0</w:t>
            </w:r>
          </w:p>
        </w:tc>
        <w:tc>
          <w:tcPr>
            <w:tcW w:w="750" w:type="pct"/>
          </w:tcPr>
          <w:p w14:paraId="2FD822C6" w14:textId="7A7DC2D7"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12.30</w:t>
            </w:r>
          </w:p>
        </w:tc>
        <w:tc>
          <w:tcPr>
            <w:tcW w:w="749" w:type="pct"/>
          </w:tcPr>
          <w:p w14:paraId="11BAD090" w14:textId="48933FAB" w:rsidR="00806CB8" w:rsidRPr="00B0219D" w:rsidRDefault="00FD193F"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{"citationID":"vCC9f7yF","properties":{"formattedCitation":"\\super [8]\\nosupersub{}","plainCitation":"[8]","noteIndex":0},"citationItems":[{"id":618,"uris":["http://zotero.org/users/local/w2lYXoUg/items/QEHY3JR2"],"itemData":{"id":618,"type":"article-journal","abstract":"Carbon fiber (CF) is a research focus due to its high performance in aviation, aerospace, and defense. However, its inherent high electrical conductivity makes it impedance mismatched. Herein, a material was prepared by grafting and coating SiO2 on short-cut carbon fiber (SCCF). The structure of SiO2 layer coated on the surface of SCCF brings about a stronger synergy of multiple loss mechanisms such as interface polarization and dipole polarization. It is shown that with the increase of SiO2 content, it has a significant optimizing effect on the impedance matching of SiO2/SCCF composites, and the SiO2 layer structure increases the loss mechanisms of interface and dipole polarization. At 2 vol% filling ratio and 6.35 GHz frequency, corresponding reflection loss (RL) value was −29.3 dB. Meanwhile, the SiO2/SCCF composite achieves an ultra-broadband electromagnetic wave absorption performance with an effective absorption bandwidth (EAB) of 12.3 GH. Therefore, this work provides a strategy for designing efficient and lightweight CF-based composites with electromagnetic wave absorption performance.","container-title":"Applied Surface Science","DOI":"10.1016/j.apsusc.2023.157029","ISSN":"0169-4332","journalAbbreviation":"Applied Surface Science","language":"en","page":"157029","source":"ScienceDirect","title":"Enhanced microwave absorption performance originated from interface and unrivaled impedance matching of SiO2/carbon fiber","volume":"623","author":[{"family":"Sun","given":"Jiahao"},{"family":"Huang","given":"Xiaoxiao"},{"family":"Liu","given":"Yuhao"},{"family":"Zhang","given":"Kaili"},{"family":"Yan","given":"Yuefeng"},{"family":"Liu","given":"Yanan"},{"family":"Yan","given":"Xu"}],"issued":{"date-parts":[["2023",6,30]]}}}],"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[8]</w:t>
            </w:r>
            <w:r w:rsidRPr="00B0219D">
              <w:rPr>
                <w:rFonts w:ascii="Times New Roman" w:hAnsi="Times New Roman" w:cs="Times New Roman"/>
                <w:color w:val="000000" w:themeColor="text1"/>
                <w:sz w:val="20"/>
                <w:szCs w:val="20"/>
              </w:rPr>
              <w:fldChar w:fldCharType="end"/>
            </w:r>
          </w:p>
        </w:tc>
      </w:tr>
      <w:tr w:rsidR="00864063" w:rsidRPr="00864063" w14:paraId="6364342D" w14:textId="77777777" w:rsidTr="00286C00">
        <w:tc>
          <w:tcPr>
            <w:tcW w:w="2251" w:type="pct"/>
          </w:tcPr>
          <w:p w14:paraId="13E7B7BF" w14:textId="7F397462" w:rsidR="00806CB8" w:rsidRPr="00864063" w:rsidRDefault="00FD193F" w:rsidP="00E94238">
            <w:pPr>
              <w:adjustRightInd w:val="0"/>
              <w:spacing w:line="360" w:lineRule="auto"/>
              <w:contextualSpacing/>
              <w:rPr>
                <w:rFonts w:ascii="Times New Roman" w:hAnsi="Times New Roman" w:cs="Times New Roman"/>
                <w:color w:val="000000" w:themeColor="text1"/>
                <w:sz w:val="20"/>
                <w:szCs w:val="20"/>
              </w:rPr>
            </w:pPr>
            <w:r w:rsidRPr="00FD193F">
              <w:rPr>
                <w:rFonts w:ascii="Times New Roman" w:hAnsi="Times New Roman" w:cs="Times New Roman"/>
                <w:color w:val="000000" w:themeColor="text1"/>
                <w:sz w:val="20"/>
                <w:szCs w:val="20"/>
              </w:rPr>
              <w:t>SCF/</w:t>
            </w:r>
            <w:proofErr w:type="spellStart"/>
            <w:r w:rsidRPr="00FD193F">
              <w:rPr>
                <w:rFonts w:ascii="Times New Roman" w:hAnsi="Times New Roman" w:cs="Times New Roman"/>
                <w:color w:val="000000" w:themeColor="text1"/>
                <w:sz w:val="20"/>
                <w:szCs w:val="20"/>
              </w:rPr>
              <w:t>CoFe</w:t>
            </w:r>
            <w:proofErr w:type="spellEnd"/>
          </w:p>
        </w:tc>
        <w:tc>
          <w:tcPr>
            <w:tcW w:w="583" w:type="pct"/>
          </w:tcPr>
          <w:p w14:paraId="3B80E949" w14:textId="0F6B21D8"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2</w:t>
            </w:r>
            <w:r w:rsidRPr="00864063">
              <w:rPr>
                <w:rFonts w:ascii="Times New Roman" w:hAnsi="Times New Roman" w:cs="Times New Roman"/>
                <w:color w:val="000000" w:themeColor="text1"/>
                <w:sz w:val="20"/>
                <w:szCs w:val="20"/>
              </w:rPr>
              <w:t>.</w:t>
            </w:r>
            <w:r w:rsidR="00FD193F">
              <w:rPr>
                <w:rFonts w:ascii="Times New Roman" w:hAnsi="Times New Roman" w:cs="Times New Roman"/>
                <w:color w:val="000000" w:themeColor="text1"/>
                <w:sz w:val="20"/>
                <w:szCs w:val="20"/>
              </w:rPr>
              <w:t>00</w:t>
            </w:r>
          </w:p>
        </w:tc>
        <w:tc>
          <w:tcPr>
            <w:tcW w:w="667" w:type="pct"/>
          </w:tcPr>
          <w:p w14:paraId="5B82799F" w14:textId="5F07E15F"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00FD193F">
              <w:rPr>
                <w:rFonts w:ascii="Times New Roman" w:hAnsi="Times New Roman" w:cs="Times New Roman"/>
                <w:color w:val="000000" w:themeColor="text1"/>
                <w:sz w:val="20"/>
                <w:szCs w:val="20"/>
              </w:rPr>
              <w:t>40</w:t>
            </w:r>
            <w:r w:rsidRPr="00864063">
              <w:rPr>
                <w:rFonts w:ascii="Times New Roman" w:hAnsi="Times New Roman" w:cs="Times New Roman"/>
                <w:color w:val="000000" w:themeColor="text1"/>
                <w:sz w:val="20"/>
                <w:szCs w:val="20"/>
              </w:rPr>
              <w:t>.</w:t>
            </w:r>
            <w:r w:rsidR="00412B2A" w:rsidRPr="00864063">
              <w:rPr>
                <w:rFonts w:ascii="Times New Roman" w:hAnsi="Times New Roman" w:cs="Times New Roman"/>
                <w:color w:val="000000" w:themeColor="text1"/>
                <w:sz w:val="20"/>
                <w:szCs w:val="20"/>
              </w:rPr>
              <w:t>4</w:t>
            </w:r>
            <w:r w:rsidRPr="00864063">
              <w:rPr>
                <w:rFonts w:ascii="Times New Roman" w:hAnsi="Times New Roman" w:cs="Times New Roman"/>
                <w:color w:val="000000" w:themeColor="text1"/>
                <w:sz w:val="20"/>
                <w:szCs w:val="20"/>
              </w:rPr>
              <w:t>0</w:t>
            </w:r>
          </w:p>
        </w:tc>
        <w:tc>
          <w:tcPr>
            <w:tcW w:w="750" w:type="pct"/>
          </w:tcPr>
          <w:p w14:paraId="3780BC60" w14:textId="4E52637B" w:rsidR="00806CB8" w:rsidRPr="00864063" w:rsidRDefault="00585C40"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3.50</w:t>
            </w:r>
          </w:p>
        </w:tc>
        <w:tc>
          <w:tcPr>
            <w:tcW w:w="749" w:type="pct"/>
          </w:tcPr>
          <w:p w14:paraId="60C79321" w14:textId="6868B1C5" w:rsidR="00806CB8" w:rsidRPr="00B0219D" w:rsidRDefault="00585C40" w:rsidP="00E94238">
            <w:pPr>
              <w:adjustRightInd w:val="0"/>
              <w:spacing w:line="360" w:lineRule="auto"/>
              <w:contextualSpacing/>
              <w:rPr>
                <w:rFonts w:ascii="Times New Roman" w:hAnsi="Times New Roman" w:cs="Times New Roman"/>
                <w:color w:val="000000" w:themeColor="text1"/>
                <w:sz w:val="20"/>
                <w:szCs w:val="20"/>
              </w:rPr>
            </w:pPr>
            <w:r w:rsidRPr="00B0219D">
              <w:rPr>
                <w:rFonts w:ascii="Times New Roman" w:hAnsi="Times New Roman" w:cs="Times New Roman"/>
                <w:color w:val="000000" w:themeColor="text1"/>
                <w:sz w:val="20"/>
                <w:szCs w:val="20"/>
              </w:rPr>
              <w:fldChar w:fldCharType="begin"/>
            </w:r>
            <w:r w:rsidRPr="00B0219D">
              <w:rPr>
                <w:rFonts w:ascii="Times New Roman" w:hAnsi="Times New Roman" w:cs="Times New Roman"/>
                <w:color w:val="000000" w:themeColor="text1"/>
                <w:sz w:val="20"/>
                <w:szCs w:val="20"/>
              </w:rPr>
              <w:instrText xml:space="preserve"> ADDIN ZOTERO_ITEM CSL_CITATION {"citationID":"03nUbCK8","properties":{"formattedCitation":"\\super [9]\\nosupersub{}","plainCitation":"[9]","noteIndex":0},"citationItems":[{"id":621,"uris":["http://zotero.org/users/local/w2lYXoUg/items/AJZSC6QM"],"itemData":{"id":621,"type":"article-journal","abstract":"Biomass-derived materials have emerged as lightweight and high-efficiency carbon-based microwave absorber for their huge availability and multifarious microstructure. Herein, we synthesize a strawberry petiole derived carbon fiber (SCF) /magnetic CoFe composites (SCF/CoFe) via solvothermal reaction and calcination treatment. CoFe particles are densely and uniformly distributed on the surface of the uniform hollow and porous SCF. After adjusting the calcination temperature, SCF/CoFe sample with filler content of 15 wt% obtains a minimum reflection loss of −40.4 dB and a wide effective absorption bandwidth of 3.5 GHz at a thin thickness of only 2.0 mm. The hollow and porous structure and synergistic effect between conductive SCF and magnetic CoFe simultaneously contribute to the enhanced impedance matching and attenuation ability, which together result in the remarkable microwave absorption properties.","container-title":"Materials Letters","DOI":"10.1016/j.matlet.2023.134679","ISSN":"0167-577X","journalAbbreviation":"Materials Letters","language":"en","page":"134679","source":"ScienceDirect","title":"Construction of hollow and porous carbon Fiber/CoFe composites derived from strawberry petiole for enhanced microwave absorption","volume":"348","author":[{"family":"Feng","given":"Jia"},{"family":"Yang","given":"Lei"},{"family":"Dong","given":"Hui"},{"family":"Yang","given":"Li"},{"family":"Li","given":"Li"},{"family":"Liu","given":"Yang"}],"issued":{"date-parts":[["2023",10,1]]}}}],"schema":"https://github.com/citation-style-language/schema/raw/master/csl-citation.json"} </w:instrText>
            </w:r>
            <w:r w:rsidRPr="00B0219D">
              <w:rPr>
                <w:rFonts w:ascii="Times New Roman" w:hAnsi="Times New Roman" w:cs="Times New Roman"/>
                <w:color w:val="000000" w:themeColor="text1"/>
                <w:sz w:val="20"/>
                <w:szCs w:val="20"/>
              </w:rPr>
              <w:fldChar w:fldCharType="separate"/>
            </w:r>
            <w:r w:rsidRPr="00B0219D">
              <w:rPr>
                <w:rFonts w:ascii="Times New Roman" w:hAnsi="Times New Roman" w:cs="Times New Roman"/>
                <w:kern w:val="0"/>
                <w:sz w:val="20"/>
                <w:szCs w:val="20"/>
              </w:rPr>
              <w:t>[9]</w:t>
            </w:r>
            <w:r w:rsidRPr="00B0219D">
              <w:rPr>
                <w:rFonts w:ascii="Times New Roman" w:hAnsi="Times New Roman" w:cs="Times New Roman"/>
                <w:color w:val="000000" w:themeColor="text1"/>
                <w:sz w:val="20"/>
                <w:szCs w:val="20"/>
              </w:rPr>
              <w:fldChar w:fldCharType="end"/>
            </w:r>
          </w:p>
        </w:tc>
      </w:tr>
      <w:tr w:rsidR="00864063" w:rsidRPr="00864063" w14:paraId="4981C1BB" w14:textId="77777777" w:rsidTr="00286C00">
        <w:tc>
          <w:tcPr>
            <w:tcW w:w="2251" w:type="pct"/>
            <w:tcBorders>
              <w:bottom w:val="single" w:sz="12" w:space="0" w:color="auto"/>
            </w:tcBorders>
          </w:tcPr>
          <w:p w14:paraId="16327E5D" w14:textId="31F1E784" w:rsidR="00806CB8" w:rsidRPr="00585C40" w:rsidRDefault="00585C40" w:rsidP="00E94238">
            <w:pPr>
              <w:adjustRightInd w:val="0"/>
              <w:spacing w:line="360" w:lineRule="auto"/>
              <w:contextualSpacing/>
              <w:rPr>
                <w:rFonts w:ascii="Times New Roman" w:hAnsi="Times New Roman" w:cs="Times New Roman"/>
                <w:color w:val="000000" w:themeColor="text1"/>
                <w:sz w:val="20"/>
                <w:szCs w:val="20"/>
              </w:rPr>
            </w:pPr>
            <w:r w:rsidRPr="00585C40">
              <w:rPr>
                <w:rFonts w:ascii="Times New Roman" w:hAnsi="Times New Roman" w:cs="Times New Roman"/>
                <w:bCs/>
                <w:color w:val="000000" w:themeColor="text1"/>
                <w:sz w:val="20"/>
                <w:szCs w:val="20"/>
              </w:rPr>
              <w:t>Co</w:t>
            </w:r>
            <w:r w:rsidRPr="00585C40">
              <w:rPr>
                <w:rFonts w:ascii="Times New Roman" w:hAnsi="Times New Roman" w:cs="Times New Roman"/>
                <w:bCs/>
                <w:color w:val="000000" w:themeColor="text1"/>
                <w:sz w:val="20"/>
                <w:szCs w:val="20"/>
                <w:vertAlign w:val="subscript"/>
              </w:rPr>
              <w:t>3</w:t>
            </w:r>
            <w:r w:rsidRPr="00585C40">
              <w:rPr>
                <w:rFonts w:ascii="Times New Roman" w:hAnsi="Times New Roman" w:cs="Times New Roman"/>
                <w:bCs/>
                <w:color w:val="000000" w:themeColor="text1"/>
                <w:sz w:val="20"/>
                <w:szCs w:val="20"/>
              </w:rPr>
              <w:t>O</w:t>
            </w:r>
            <w:r w:rsidRPr="00585C40">
              <w:rPr>
                <w:rFonts w:ascii="Times New Roman" w:hAnsi="Times New Roman" w:cs="Times New Roman"/>
                <w:bCs/>
                <w:color w:val="000000" w:themeColor="text1"/>
                <w:sz w:val="20"/>
                <w:szCs w:val="20"/>
                <w:vertAlign w:val="subscript"/>
              </w:rPr>
              <w:t>4</w:t>
            </w:r>
            <w:r w:rsidRPr="00585C40">
              <w:rPr>
                <w:rFonts w:ascii="Times New Roman" w:hAnsi="Times New Roman" w:cs="Times New Roman"/>
                <w:bCs/>
                <w:color w:val="000000" w:themeColor="text1"/>
                <w:sz w:val="20"/>
                <w:szCs w:val="20"/>
              </w:rPr>
              <w:t>/CF</w:t>
            </w:r>
          </w:p>
        </w:tc>
        <w:tc>
          <w:tcPr>
            <w:tcW w:w="583" w:type="pct"/>
            <w:tcBorders>
              <w:bottom w:val="single" w:sz="12" w:space="0" w:color="auto"/>
            </w:tcBorders>
          </w:tcPr>
          <w:p w14:paraId="2A266B5C" w14:textId="7DB9B0D8" w:rsidR="00806CB8" w:rsidRPr="00864063" w:rsidRDefault="00585C40"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4.75</w:t>
            </w:r>
          </w:p>
        </w:tc>
        <w:tc>
          <w:tcPr>
            <w:tcW w:w="667" w:type="pct"/>
            <w:tcBorders>
              <w:bottom w:val="single" w:sz="12" w:space="0" w:color="auto"/>
            </w:tcBorders>
          </w:tcPr>
          <w:p w14:paraId="1EF17D65" w14:textId="0C81BB92"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hint="eastAsia"/>
                <w:color w:val="000000" w:themeColor="text1"/>
                <w:sz w:val="20"/>
                <w:szCs w:val="20"/>
              </w:rPr>
              <w:t>-</w:t>
            </w:r>
            <w:r w:rsidRPr="00864063">
              <w:rPr>
                <w:rFonts w:ascii="Times New Roman" w:hAnsi="Times New Roman" w:cs="Times New Roman"/>
                <w:color w:val="000000" w:themeColor="text1"/>
                <w:sz w:val="20"/>
                <w:szCs w:val="20"/>
              </w:rPr>
              <w:t>6</w:t>
            </w:r>
            <w:r w:rsidR="00585C40">
              <w:rPr>
                <w:rFonts w:ascii="Times New Roman" w:hAnsi="Times New Roman" w:cs="Times New Roman"/>
                <w:color w:val="000000" w:themeColor="text1"/>
                <w:sz w:val="20"/>
                <w:szCs w:val="20"/>
              </w:rPr>
              <w:t>1</w:t>
            </w:r>
            <w:r w:rsidRPr="00864063">
              <w:rPr>
                <w:rFonts w:ascii="Times New Roman" w:hAnsi="Times New Roman" w:cs="Times New Roman"/>
                <w:color w:val="000000" w:themeColor="text1"/>
                <w:sz w:val="20"/>
                <w:szCs w:val="20"/>
              </w:rPr>
              <w:t>.</w:t>
            </w:r>
            <w:r w:rsidR="00585C40">
              <w:rPr>
                <w:rFonts w:ascii="Times New Roman" w:hAnsi="Times New Roman" w:cs="Times New Roman"/>
                <w:color w:val="000000" w:themeColor="text1"/>
                <w:sz w:val="20"/>
                <w:szCs w:val="20"/>
              </w:rPr>
              <w:t>55</w:t>
            </w:r>
          </w:p>
        </w:tc>
        <w:tc>
          <w:tcPr>
            <w:tcW w:w="750" w:type="pct"/>
            <w:tcBorders>
              <w:bottom w:val="single" w:sz="12" w:space="0" w:color="auto"/>
            </w:tcBorders>
          </w:tcPr>
          <w:p w14:paraId="31643E6B" w14:textId="4EFEB982" w:rsidR="00806CB8" w:rsidRPr="00864063" w:rsidRDefault="00585C40" w:rsidP="00E94238">
            <w:pPr>
              <w:adjustRightInd w:val="0"/>
              <w:spacing w:line="36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806CB8" w:rsidRPr="0086406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72</w:t>
            </w:r>
          </w:p>
        </w:tc>
        <w:tc>
          <w:tcPr>
            <w:tcW w:w="749" w:type="pct"/>
            <w:tcBorders>
              <w:bottom w:val="single" w:sz="12" w:space="0" w:color="auto"/>
            </w:tcBorders>
          </w:tcPr>
          <w:p w14:paraId="6DBB6795" w14:textId="77777777" w:rsidR="00806CB8" w:rsidRPr="00864063" w:rsidRDefault="00806CB8" w:rsidP="00E94238">
            <w:pPr>
              <w:adjustRightInd w:val="0"/>
              <w:spacing w:line="360" w:lineRule="auto"/>
              <w:contextualSpacing/>
              <w:rPr>
                <w:rFonts w:ascii="Times New Roman" w:hAnsi="Times New Roman" w:cs="Times New Roman"/>
                <w:color w:val="000000" w:themeColor="text1"/>
                <w:sz w:val="20"/>
                <w:szCs w:val="20"/>
              </w:rPr>
            </w:pPr>
            <w:r w:rsidRPr="00864063">
              <w:rPr>
                <w:rFonts w:ascii="Times New Roman" w:hAnsi="Times New Roman" w:cs="Times New Roman"/>
                <w:color w:val="000000" w:themeColor="text1"/>
                <w:sz w:val="20"/>
                <w:szCs w:val="20"/>
              </w:rPr>
              <w:t>This work</w:t>
            </w:r>
          </w:p>
        </w:tc>
      </w:tr>
    </w:tbl>
    <w:p w14:paraId="11F1ED7E" w14:textId="26BE0C21" w:rsidR="00806CB8" w:rsidRPr="00864063" w:rsidRDefault="00806CB8" w:rsidP="00806CB8">
      <w:pPr>
        <w:adjustRightInd w:val="0"/>
        <w:spacing w:line="360" w:lineRule="auto"/>
        <w:contextualSpacing/>
        <w:rPr>
          <w:rFonts w:ascii="Times New Roman" w:hAnsi="Times New Roman" w:cs="Times New Roman"/>
          <w:bCs/>
          <w:color w:val="000000" w:themeColor="text1"/>
          <w:sz w:val="20"/>
          <w:szCs w:val="20"/>
        </w:rPr>
      </w:pPr>
      <w:r w:rsidRPr="00864063">
        <w:rPr>
          <w:rFonts w:ascii="Times New Roman" w:hAnsi="Times New Roman" w:cs="Times New Roman"/>
          <w:bCs/>
          <w:color w:val="000000" w:themeColor="text1"/>
          <w:sz w:val="20"/>
          <w:szCs w:val="20"/>
        </w:rPr>
        <w:t>a-the matching thickness of MA materials.</w:t>
      </w:r>
    </w:p>
    <w:p w14:paraId="0930A3FD" w14:textId="250DCCD8" w:rsidR="00806CB8" w:rsidRPr="00864063" w:rsidRDefault="00806CB8" w:rsidP="00806CB8">
      <w:pPr>
        <w:adjustRightInd w:val="0"/>
        <w:spacing w:line="360" w:lineRule="auto"/>
        <w:contextualSpacing/>
        <w:rPr>
          <w:rFonts w:ascii="Times New Roman" w:hAnsi="Times New Roman" w:cs="Times New Roman"/>
          <w:bCs/>
          <w:color w:val="000000" w:themeColor="text1"/>
          <w:sz w:val="20"/>
          <w:szCs w:val="20"/>
        </w:rPr>
      </w:pPr>
      <w:r w:rsidRPr="00864063">
        <w:rPr>
          <w:rFonts w:ascii="Times New Roman" w:hAnsi="Times New Roman" w:cs="Times New Roman"/>
          <w:bCs/>
          <w:color w:val="000000" w:themeColor="text1"/>
          <w:sz w:val="20"/>
          <w:szCs w:val="20"/>
        </w:rPr>
        <w:t>b-the minimum reflection loss (</w:t>
      </w:r>
      <w:proofErr w:type="spellStart"/>
      <w:r w:rsidRPr="00864063">
        <w:rPr>
          <w:rFonts w:ascii="Times New Roman" w:hAnsi="Times New Roman" w:cs="Times New Roman"/>
          <w:bCs/>
          <w:i/>
          <w:iCs/>
          <w:color w:val="000000" w:themeColor="text1"/>
          <w:sz w:val="20"/>
          <w:szCs w:val="20"/>
        </w:rPr>
        <w:t>RL</w:t>
      </w:r>
      <w:r w:rsidRPr="00864063">
        <w:rPr>
          <w:rFonts w:ascii="Times New Roman" w:hAnsi="Times New Roman" w:cs="Times New Roman"/>
          <w:bCs/>
          <w:i/>
          <w:iCs/>
          <w:color w:val="000000" w:themeColor="text1"/>
          <w:sz w:val="20"/>
          <w:szCs w:val="20"/>
          <w:vertAlign w:val="subscript"/>
        </w:rPr>
        <w:t>min</w:t>
      </w:r>
      <w:proofErr w:type="spellEnd"/>
      <w:r w:rsidRPr="00864063">
        <w:rPr>
          <w:rFonts w:ascii="Times New Roman" w:hAnsi="Times New Roman" w:cs="Times New Roman"/>
          <w:bCs/>
          <w:color w:val="000000" w:themeColor="text1"/>
          <w:sz w:val="20"/>
          <w:szCs w:val="20"/>
        </w:rPr>
        <w:t>) of MA materials.</w:t>
      </w:r>
    </w:p>
    <w:p w14:paraId="2A0FD0A4" w14:textId="6F296A79" w:rsidR="00806CB8" w:rsidRDefault="00806CB8" w:rsidP="00806CB8">
      <w:pPr>
        <w:adjustRightInd w:val="0"/>
        <w:spacing w:line="360" w:lineRule="auto"/>
        <w:contextualSpacing/>
        <w:rPr>
          <w:rFonts w:ascii="Times New Roman" w:hAnsi="Times New Roman" w:cs="Times New Roman"/>
          <w:bCs/>
          <w:color w:val="000000" w:themeColor="text1"/>
          <w:sz w:val="20"/>
          <w:szCs w:val="20"/>
        </w:rPr>
      </w:pPr>
      <w:r w:rsidRPr="00864063">
        <w:rPr>
          <w:rFonts w:ascii="Times New Roman" w:hAnsi="Times New Roman" w:cs="Times New Roman"/>
          <w:bCs/>
          <w:color w:val="000000" w:themeColor="text1"/>
          <w:sz w:val="20"/>
          <w:szCs w:val="20"/>
        </w:rPr>
        <w:t>c-the effective absorption bandwidth (EAB) of MA materials.</w:t>
      </w:r>
    </w:p>
    <w:p w14:paraId="22E6952D" w14:textId="00083D53" w:rsidR="00512CD7" w:rsidRDefault="00512CD7" w:rsidP="00806CB8">
      <w:pPr>
        <w:adjustRightInd w:val="0"/>
        <w:spacing w:line="360" w:lineRule="auto"/>
        <w:contextualSpacing/>
        <w:rPr>
          <w:rFonts w:ascii="Times New Roman" w:hAnsi="Times New Roman" w:cs="Times New Roman"/>
          <w:bCs/>
          <w:color w:val="000000" w:themeColor="text1"/>
          <w:sz w:val="20"/>
          <w:szCs w:val="20"/>
        </w:rPr>
      </w:pPr>
    </w:p>
    <w:p w14:paraId="57253938" w14:textId="64665030" w:rsidR="00512CD7" w:rsidRDefault="00512CD7" w:rsidP="003040AC">
      <w:pPr>
        <w:adjustRightInd w:val="0"/>
        <w:spacing w:line="360" w:lineRule="auto"/>
        <w:ind w:firstLineChars="200" w:firstLine="400"/>
        <w:contextualSpacing/>
        <w:rPr>
          <w:rFonts w:ascii="Times New Roman" w:hAnsi="Times New Roman" w:cs="Times New Roman"/>
          <w:bCs/>
          <w:color w:val="000000" w:themeColor="text1"/>
          <w:sz w:val="20"/>
          <w:szCs w:val="20"/>
        </w:rPr>
      </w:pPr>
      <w:r w:rsidRPr="00512CD7">
        <w:rPr>
          <w:rFonts w:ascii="Times New Roman" w:hAnsi="Times New Roman" w:cs="Times New Roman"/>
          <w:bCs/>
          <w:color w:val="000000" w:themeColor="text1"/>
          <w:sz w:val="20"/>
          <w:szCs w:val="20"/>
        </w:rPr>
        <w:t xml:space="preserve">To study the dissolution of urea </w:t>
      </w:r>
      <w:r w:rsidR="003040AC" w:rsidRPr="003040AC">
        <w:rPr>
          <w:rFonts w:ascii="Times New Roman" w:hAnsi="Times New Roman" w:cs="Times New Roman"/>
          <w:bCs/>
          <w:color w:val="000000" w:themeColor="text1"/>
          <w:sz w:val="20"/>
          <w:szCs w:val="20"/>
        </w:rPr>
        <w:t>content</w:t>
      </w:r>
      <w:r w:rsidRPr="00512CD7">
        <w:rPr>
          <w:rFonts w:ascii="Times New Roman" w:hAnsi="Times New Roman" w:cs="Times New Roman"/>
          <w:bCs/>
          <w:color w:val="000000" w:themeColor="text1"/>
          <w:sz w:val="20"/>
          <w:szCs w:val="20"/>
        </w:rPr>
        <w:t xml:space="preserve"> in solution, we denoted</w:t>
      </w:r>
      <w:r>
        <w:rPr>
          <w:rFonts w:ascii="Times New Roman" w:hAnsi="Times New Roman" w:cs="Times New Roman" w:hint="eastAsia"/>
          <w:bCs/>
          <w:color w:val="000000" w:themeColor="text1"/>
          <w:sz w:val="20"/>
          <w:szCs w:val="20"/>
        </w:rPr>
        <w:t xml:space="preserve"> </w:t>
      </w:r>
      <w:r w:rsidRPr="00512CD7">
        <w:rPr>
          <w:rFonts w:ascii="Times New Roman" w:hAnsi="Times New Roman" w:cs="Times New Roman"/>
          <w:bCs/>
          <w:color w:val="000000" w:themeColor="text1"/>
          <w:sz w:val="20"/>
          <w:szCs w:val="20"/>
        </w:rPr>
        <w:t>samples with different urea contents (12.5 mM, 25.0 mM, 50.0 mM, 100.0 mM) were noted as S1, S2, S3, and S4, respectively, and the solutes were dissolved in the mixed solutions as shown in Figure 1.</w:t>
      </w:r>
      <w:r w:rsidR="003040AC" w:rsidRPr="003040AC">
        <w:t xml:space="preserve"> </w:t>
      </w:r>
      <w:r w:rsidR="003040AC" w:rsidRPr="003040AC">
        <w:rPr>
          <w:rFonts w:ascii="Times New Roman" w:hAnsi="Times New Roman" w:cs="Times New Roman"/>
          <w:bCs/>
          <w:color w:val="000000" w:themeColor="text1"/>
          <w:sz w:val="20"/>
          <w:szCs w:val="20"/>
        </w:rPr>
        <w:t>From the figure</w:t>
      </w:r>
      <w:r w:rsidR="003040AC">
        <w:rPr>
          <w:rFonts w:ascii="Times New Roman" w:hAnsi="Times New Roman" w:cs="Times New Roman"/>
          <w:bCs/>
          <w:color w:val="000000" w:themeColor="text1"/>
          <w:sz w:val="20"/>
          <w:szCs w:val="20"/>
        </w:rPr>
        <w:t xml:space="preserve"> 1</w:t>
      </w:r>
      <w:r w:rsidR="003040AC" w:rsidRPr="003040AC">
        <w:rPr>
          <w:rFonts w:ascii="Times New Roman" w:hAnsi="Times New Roman" w:cs="Times New Roman"/>
          <w:bCs/>
          <w:color w:val="000000" w:themeColor="text1"/>
          <w:sz w:val="20"/>
          <w:szCs w:val="20"/>
        </w:rPr>
        <w:t xml:space="preserve">, it can be seen that the solutions of S1-S3 </w:t>
      </w:r>
      <w:r w:rsidR="003040AC">
        <w:rPr>
          <w:rFonts w:ascii="Times New Roman" w:hAnsi="Times New Roman" w:cs="Times New Roman"/>
          <w:bCs/>
          <w:color w:val="000000" w:themeColor="text1"/>
          <w:sz w:val="20"/>
          <w:szCs w:val="20"/>
        </w:rPr>
        <w:t>we</w:t>
      </w:r>
      <w:r w:rsidR="003040AC" w:rsidRPr="003040AC">
        <w:rPr>
          <w:rFonts w:ascii="Times New Roman" w:hAnsi="Times New Roman" w:cs="Times New Roman"/>
          <w:bCs/>
          <w:color w:val="000000" w:themeColor="text1"/>
          <w:sz w:val="20"/>
          <w:szCs w:val="20"/>
        </w:rPr>
        <w:t xml:space="preserve">re well mixed, but there </w:t>
      </w:r>
      <w:r w:rsidR="003040AC">
        <w:rPr>
          <w:rFonts w:ascii="Times New Roman" w:hAnsi="Times New Roman" w:cs="Times New Roman"/>
          <w:bCs/>
          <w:color w:val="000000" w:themeColor="text1"/>
          <w:sz w:val="20"/>
          <w:szCs w:val="20"/>
        </w:rPr>
        <w:t>we</w:t>
      </w:r>
      <w:r w:rsidR="003040AC" w:rsidRPr="003040AC">
        <w:rPr>
          <w:rFonts w:ascii="Times New Roman" w:hAnsi="Times New Roman" w:cs="Times New Roman"/>
          <w:bCs/>
          <w:color w:val="000000" w:themeColor="text1"/>
          <w:sz w:val="20"/>
          <w:szCs w:val="20"/>
        </w:rPr>
        <w:t>re obvious small white particles in S4</w:t>
      </w:r>
      <w:r w:rsidR="003040AC" w:rsidRPr="003040AC">
        <w:t xml:space="preserve"> </w:t>
      </w:r>
      <w:r w:rsidR="003040AC" w:rsidRPr="003040AC">
        <w:rPr>
          <w:rFonts w:ascii="Times New Roman" w:hAnsi="Times New Roman" w:cs="Times New Roman"/>
        </w:rPr>
        <w:t>(</w:t>
      </w:r>
      <w:r w:rsidR="003040AC" w:rsidRPr="003040AC">
        <w:rPr>
          <w:rFonts w:ascii="Times New Roman" w:hAnsi="Times New Roman" w:cs="Times New Roman"/>
          <w:bCs/>
          <w:color w:val="000000" w:themeColor="text1"/>
          <w:sz w:val="20"/>
          <w:szCs w:val="20"/>
        </w:rPr>
        <w:t>marked by white circles).</w:t>
      </w:r>
    </w:p>
    <w:p w14:paraId="441F30B5" w14:textId="77777777" w:rsidR="003040AC" w:rsidRDefault="003040AC" w:rsidP="003040AC">
      <w:pPr>
        <w:adjustRightInd w:val="0"/>
        <w:spacing w:line="360" w:lineRule="auto"/>
        <w:ind w:firstLineChars="200" w:firstLine="400"/>
        <w:contextualSpacing/>
        <w:rPr>
          <w:rFonts w:ascii="Times New Roman" w:hAnsi="Times New Roman" w:cs="Times New Roman"/>
          <w:bCs/>
          <w:color w:val="000000" w:themeColor="text1"/>
          <w:sz w:val="20"/>
          <w:szCs w:val="20"/>
        </w:rPr>
      </w:pPr>
    </w:p>
    <w:p w14:paraId="45DFF8F0" w14:textId="2AF6DA05" w:rsidR="00AE78FD" w:rsidRDefault="003040AC" w:rsidP="00512CD7">
      <w:pPr>
        <w:adjustRightInd w:val="0"/>
        <w:spacing w:line="36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noProof/>
          <w:color w:val="000000" w:themeColor="text1"/>
          <w:sz w:val="20"/>
          <w:szCs w:val="20"/>
        </w:rPr>
        <mc:AlternateContent>
          <mc:Choice Requires="wps">
            <w:drawing>
              <wp:anchor distT="0" distB="0" distL="114300" distR="114300" simplePos="0" relativeHeight="251659264" behindDoc="0" locked="0" layoutInCell="1" allowOverlap="1" wp14:anchorId="5B16B4F3" wp14:editId="3D15F43A">
                <wp:simplePos x="0" y="0"/>
                <wp:positionH relativeFrom="column">
                  <wp:posOffset>4596130</wp:posOffset>
                </wp:positionH>
                <wp:positionV relativeFrom="paragraph">
                  <wp:posOffset>1081405</wp:posOffset>
                </wp:positionV>
                <wp:extent cx="254441" cy="166977"/>
                <wp:effectExtent l="0" t="0" r="12700" b="24130"/>
                <wp:wrapNone/>
                <wp:docPr id="1" name="椭圆 1"/>
                <wp:cNvGraphicFramePr/>
                <a:graphic xmlns:a="http://schemas.openxmlformats.org/drawingml/2006/main">
                  <a:graphicData uri="http://schemas.microsoft.com/office/word/2010/wordprocessingShape">
                    <wps:wsp>
                      <wps:cNvSpPr/>
                      <wps:spPr>
                        <a:xfrm>
                          <a:off x="0" y="0"/>
                          <a:ext cx="254441" cy="166977"/>
                        </a:xfrm>
                        <a:prstGeom prst="ellipse">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ED7037" w14:textId="0CB3539D" w:rsidR="003040AC" w:rsidRDefault="003040AC" w:rsidP="003040AC">
                            <w:pPr>
                              <w:jc w:val="center"/>
                            </w:pPr>
                            <w:r>
                              <w:rPr>
                                <w:rFonts w:hint="eastAsi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16B4F3" id="椭圆 1" o:spid="_x0000_s1026" style="position:absolute;left:0;text-align:left;margin-left:361.9pt;margin-top:85.15pt;width:20.05pt;height:1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r+kQIAAGcFAAAOAAAAZHJzL2Uyb0RvYy54bWysVM1uEzEQviPxDpbvdJMoTemqmypKFYRU&#10;tRUp6tnx2omF12NsJ7vhAXgKjlx5LHgOxt7NNtCcEBd7xvP7zY+vrptKk51wXoEp6PBsQIkwHEpl&#10;1gX9+Lh485YSH5gpmQYjCroXnl5PX7+6qm0uRrABXQpH0InxeW0LugnB5lnm+UZUzJ+BFQaFElzF&#10;ArJunZWO1ei90tloMJhkNbjSOuDCe3y9aYV0mvxLKXi4l9KLQHRBMbeQTpfOVTyz6RXL147ZjeJd&#10;GuwfsqiYMhi0d3XDAiNbp164qhR34EGGMw5VBlIqLhIGRDMc/IVmuWFWJCxYHG/7Mvn/55bf7R4c&#10;USX2jhLDKmzRr+8/fn77SoaxNrX1Oaos7YPrOI9kBNpIV8UbIZAm1XPf11M0gXB8HJ2Px2P0y1E0&#10;nEwuLy6iz+zZ2Dof3gmoSCQKKrRW1kfELGe7Wx9a7YNWfDawUFrjO8u1iacHrcr4lpg4NmKuHdkx&#10;bPhqnUBgwCMt5KJlFqG1YBIV9lq0Xj8IiQWJ6adE0ig++2ScCxMmHRBtUDuaScygNxyeMtThkEyn&#10;G81EGtHecHDK8M+IvUWKCib0xpUy4E45KD/1kVv9A/oWc4QfmlXTNXgF5R5HwkG7K97yhcLu3DIf&#10;HpjD5cA1woUP93hIDXVBoaMo2YD7cuo96uPMopSSGpetoP7zljlBiX5vcJovh+Nx3M7EjM8vRsi4&#10;Y8nqWGK21RywvThZmF0io37QB1I6qJ7wX5jFqChihmPsgvLgDsw8tJ8A/ixczGZJDTfSsnBrlpZH&#10;57HAcfQemyfmbDeiAWf7Dg6L+WJMW91oaWC2DSBVmuFY4rauXelxm9MidD9P/C6O+aT1/D9OfwMA&#10;AP//AwBQSwMEFAAGAAgAAAAhACk9P3TfAAAACwEAAA8AAABkcnMvZG93bnJldi54bWxMj8FOwzAQ&#10;RO9I/IO1SNyoQyMlTYhTVSA4cGubS29uvCSBeG3Fbhr+nuUEx9kZzbyttosdxYxTGBwpeFwlIJBa&#10;ZwbqFDTH14cNiBA1GT06QgXfGGBb395UujTuSnucD7ETXEKh1Ar6GH0pZWh7tDqsnEdi78NNVkeW&#10;UyfNpK9cbke5TpJMWj0QL/Ta43OP7dfhYhVsmuJ9nP1ufjs12JyC/9y37kWp+7tl9wQi4hL/wvCL&#10;z+hQM9PZXcgEMSrI1ymjRzbyJAXBiTxLCxBnvhRZBrKu5P8f6h8AAAD//wMAUEsBAi0AFAAGAAgA&#10;AAAhALaDOJL+AAAA4QEAABMAAAAAAAAAAAAAAAAAAAAAAFtDb250ZW50X1R5cGVzXS54bWxQSwEC&#10;LQAUAAYACAAAACEAOP0h/9YAAACUAQAACwAAAAAAAAAAAAAAAAAvAQAAX3JlbHMvLnJlbHNQSwEC&#10;LQAUAAYACAAAACEACqY6/pECAABnBQAADgAAAAAAAAAAAAAAAAAuAgAAZHJzL2Uyb0RvYy54bWxQ&#10;SwECLQAUAAYACAAAACEAKT0/dN8AAAALAQAADwAAAAAAAAAAAAAAAADrBAAAZHJzL2Rvd25yZXYu&#10;eG1sUEsFBgAAAAAEAAQA8wAAAPcFAAAAAA==&#10;" filled="f" strokecolor="white [3212]" strokeweight="1pt">
                <v:stroke joinstyle="miter"/>
                <v:textbox>
                  <w:txbxContent>
                    <w:p w14:paraId="36ED7037" w14:textId="0CB3539D" w:rsidR="003040AC" w:rsidRDefault="003040AC" w:rsidP="003040AC">
                      <w:pPr>
                        <w:jc w:val="center"/>
                      </w:pPr>
                      <w:r>
                        <w:rPr>
                          <w:rFonts w:hint="eastAsia"/>
                        </w:rPr>
                        <w:t>1</w:t>
                      </w:r>
                    </w:p>
                  </w:txbxContent>
                </v:textbox>
              </v:oval>
            </w:pict>
          </mc:Fallback>
        </mc:AlternateContent>
      </w:r>
      <w:r w:rsidR="00512CD7">
        <w:rPr>
          <w:rFonts w:ascii="Times New Roman" w:hAnsi="Times New Roman" w:cs="Times New Roman"/>
          <w:bCs/>
          <w:color w:val="000000" w:themeColor="text1"/>
          <w:sz w:val="20"/>
          <w:szCs w:val="20"/>
        </w:rPr>
        <w:object w:dxaOrig="18901" w:dyaOrig="4725" w14:anchorId="44952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95pt;height:107.65pt" o:ole="">
            <v:imagedata r:id="rId6" o:title=""/>
          </v:shape>
          <o:OLEObject Type="Embed" ProgID="PBrush" ShapeID="_x0000_i1025" DrawAspect="Content" ObjectID="_1751109093" r:id="rId7"/>
        </w:object>
      </w:r>
    </w:p>
    <w:p w14:paraId="0D4D4B2B" w14:textId="2113F2DA" w:rsidR="00512CD7" w:rsidRPr="00512CD7" w:rsidRDefault="00512CD7" w:rsidP="00512CD7">
      <w:pPr>
        <w:adjustRightInd w:val="0"/>
        <w:spacing w:line="360" w:lineRule="auto"/>
        <w:contextualSpacing/>
        <w:jc w:val="center"/>
        <w:rPr>
          <w:rFonts w:ascii="Times New Roman" w:hAnsi="Times New Roman" w:cs="Times New Roman"/>
          <w:bCs/>
          <w:color w:val="000000" w:themeColor="text1"/>
          <w:sz w:val="20"/>
          <w:szCs w:val="20"/>
        </w:rPr>
      </w:pPr>
      <w:r w:rsidRPr="00512CD7">
        <w:rPr>
          <w:rFonts w:ascii="Times New Roman" w:hAnsi="Times New Roman" w:cs="Times New Roman"/>
          <w:b/>
          <w:bCs/>
          <w:color w:val="000000" w:themeColor="text1"/>
          <w:sz w:val="20"/>
          <w:szCs w:val="20"/>
        </w:rPr>
        <w:t>Fig</w:t>
      </w:r>
      <w:r w:rsidRPr="00512CD7">
        <w:rPr>
          <w:rFonts w:ascii="Times New Roman" w:hAnsi="Times New Roman" w:cs="Times New Roman" w:hint="eastAsia"/>
          <w:b/>
          <w:bCs/>
          <w:color w:val="000000" w:themeColor="text1"/>
          <w:sz w:val="20"/>
          <w:szCs w:val="20"/>
        </w:rPr>
        <w:t>.</w:t>
      </w:r>
      <w:r w:rsidRPr="00512CD7">
        <w:rPr>
          <w:rFonts w:ascii="Times New Roman" w:hAnsi="Times New Roman" w:cs="Times New Roman"/>
          <w:b/>
          <w:bCs/>
          <w:color w:val="000000" w:themeColor="text1"/>
          <w:sz w:val="20"/>
          <w:szCs w:val="20"/>
        </w:rPr>
        <w:t xml:space="preserve"> </w:t>
      </w:r>
      <w:r w:rsidR="006C3239">
        <w:rPr>
          <w:rFonts w:ascii="Times New Roman" w:hAnsi="Times New Roman" w:cs="Times New Roman"/>
          <w:b/>
          <w:bCs/>
          <w:color w:val="000000" w:themeColor="text1"/>
          <w:sz w:val="20"/>
          <w:szCs w:val="20"/>
        </w:rPr>
        <w:t>S</w:t>
      </w:r>
      <w:r w:rsidRPr="00512CD7">
        <w:rPr>
          <w:rFonts w:ascii="Times New Roman" w:hAnsi="Times New Roman" w:cs="Times New Roman"/>
          <w:b/>
          <w:bCs/>
          <w:color w:val="000000" w:themeColor="text1"/>
          <w:sz w:val="20"/>
          <w:szCs w:val="20"/>
        </w:rPr>
        <w:t>1</w:t>
      </w:r>
      <w:r w:rsidRPr="00512CD7">
        <w:rPr>
          <w:rFonts w:ascii="Times New Roman" w:hAnsi="Times New Roman" w:cs="Times New Roman"/>
          <w:bCs/>
          <w:color w:val="000000" w:themeColor="text1"/>
          <w:sz w:val="20"/>
          <w:szCs w:val="20"/>
        </w:rPr>
        <w:t xml:space="preserve"> </w:t>
      </w:r>
      <w:r w:rsidR="003040AC" w:rsidRPr="003040AC">
        <w:rPr>
          <w:rFonts w:ascii="Times New Roman" w:hAnsi="Times New Roman" w:cs="Times New Roman"/>
          <w:bCs/>
          <w:color w:val="000000" w:themeColor="text1"/>
          <w:sz w:val="20"/>
          <w:szCs w:val="20"/>
        </w:rPr>
        <w:t>Diagram of the dissolution process of the solution</w:t>
      </w:r>
      <w:r w:rsidR="003040AC">
        <w:rPr>
          <w:rFonts w:ascii="Times New Roman" w:hAnsi="Times New Roman" w:cs="Times New Roman"/>
          <w:bCs/>
          <w:color w:val="000000" w:themeColor="text1"/>
          <w:sz w:val="20"/>
          <w:szCs w:val="20"/>
        </w:rPr>
        <w:t>: S1-S4.</w:t>
      </w:r>
      <w:bookmarkStart w:id="1" w:name="_GoBack"/>
      <w:bookmarkEnd w:id="1"/>
    </w:p>
    <w:p w14:paraId="5A73E95D" w14:textId="77777777" w:rsidR="00AE78FD" w:rsidRPr="003040AC" w:rsidRDefault="00AE78FD" w:rsidP="00806CB8">
      <w:pPr>
        <w:adjustRightInd w:val="0"/>
        <w:spacing w:line="360" w:lineRule="auto"/>
        <w:contextualSpacing/>
        <w:rPr>
          <w:rFonts w:ascii="Times New Roman" w:hAnsi="Times New Roman" w:cs="Times New Roman"/>
          <w:bCs/>
          <w:color w:val="000000" w:themeColor="text1"/>
          <w:sz w:val="20"/>
          <w:szCs w:val="20"/>
        </w:rPr>
      </w:pPr>
    </w:p>
    <w:p w14:paraId="618395C0" w14:textId="77777777" w:rsidR="00B0219D" w:rsidRPr="009405F8" w:rsidRDefault="00B0219D" w:rsidP="00B0219D">
      <w:pPr>
        <w:widowControl/>
        <w:adjustRightInd w:val="0"/>
        <w:snapToGrid w:val="0"/>
        <w:spacing w:line="360" w:lineRule="auto"/>
        <w:rPr>
          <w:rFonts w:ascii="Times New Roman" w:eastAsia="宋体" w:hAnsi="Times New Roman" w:cs="Times New Roman"/>
          <w:b/>
          <w:bCs/>
          <w:color w:val="000000" w:themeColor="text1"/>
          <w:sz w:val="24"/>
          <w:szCs w:val="24"/>
        </w:rPr>
      </w:pPr>
      <w:r w:rsidRPr="009405F8">
        <w:rPr>
          <w:rFonts w:ascii="Times New Roman" w:eastAsia="宋体" w:hAnsi="Times New Roman" w:cs="Times New Roman"/>
          <w:b/>
          <w:bCs/>
          <w:color w:val="000000" w:themeColor="text1"/>
          <w:sz w:val="24"/>
          <w:szCs w:val="24"/>
        </w:rPr>
        <w:lastRenderedPageBreak/>
        <w:t>R</w:t>
      </w:r>
      <w:r w:rsidRPr="009405F8">
        <w:rPr>
          <w:rFonts w:ascii="Times New Roman" w:eastAsia="宋体" w:hAnsi="Times New Roman" w:cs="Times New Roman" w:hint="eastAsia"/>
          <w:b/>
          <w:bCs/>
          <w:color w:val="000000" w:themeColor="text1"/>
          <w:sz w:val="24"/>
          <w:szCs w:val="24"/>
        </w:rPr>
        <w:t>eference</w:t>
      </w:r>
    </w:p>
    <w:p w14:paraId="7C5D43F9" w14:textId="77777777" w:rsidR="00B0219D" w:rsidRPr="00B0219D" w:rsidRDefault="00B0219D" w:rsidP="00B0219D">
      <w:pPr>
        <w:pStyle w:val="ab"/>
        <w:spacing w:line="360" w:lineRule="auto"/>
        <w:rPr>
          <w:sz w:val="20"/>
        </w:rPr>
      </w:pPr>
      <w:r>
        <w:rPr>
          <w:bCs/>
          <w:color w:val="000000" w:themeColor="text1"/>
          <w:sz w:val="20"/>
          <w:szCs w:val="20"/>
        </w:rPr>
        <w:fldChar w:fldCharType="begin"/>
      </w:r>
      <w:r>
        <w:rPr>
          <w:bCs/>
          <w:color w:val="000000" w:themeColor="text1"/>
          <w:sz w:val="20"/>
          <w:szCs w:val="20"/>
        </w:rPr>
        <w:instrText xml:space="preserve"> ADDIN ZOTERO_BIBL {"uncited":[],"omitted":[],"custom":[]} CSL_BIBLIOGRAPHY </w:instrText>
      </w:r>
      <w:r>
        <w:rPr>
          <w:bCs/>
          <w:color w:val="000000" w:themeColor="text1"/>
          <w:sz w:val="20"/>
          <w:szCs w:val="20"/>
        </w:rPr>
        <w:fldChar w:fldCharType="separate"/>
      </w:r>
      <w:r w:rsidRPr="00B0219D">
        <w:rPr>
          <w:sz w:val="20"/>
        </w:rPr>
        <w:t>[1]</w:t>
      </w:r>
      <w:r w:rsidRPr="00B0219D">
        <w:rPr>
          <w:sz w:val="20"/>
        </w:rPr>
        <w:tab/>
        <w:t>Zeng S, Feng W, Peng S, et al. Dual-functional SiOC ceramics coating modified carbon fibers with enhanced microwave absorption performance[J]. RSC Advances, 2019, 9(53): 30685-30692.</w:t>
      </w:r>
    </w:p>
    <w:p w14:paraId="2105989A" w14:textId="77777777" w:rsidR="00B0219D" w:rsidRPr="00B0219D" w:rsidRDefault="00B0219D" w:rsidP="00B0219D">
      <w:pPr>
        <w:pStyle w:val="ab"/>
        <w:spacing w:line="360" w:lineRule="auto"/>
        <w:rPr>
          <w:sz w:val="20"/>
        </w:rPr>
      </w:pPr>
      <w:r w:rsidRPr="00B0219D">
        <w:rPr>
          <w:sz w:val="20"/>
        </w:rPr>
        <w:t>[2]</w:t>
      </w:r>
      <w:r w:rsidRPr="00B0219D">
        <w:rPr>
          <w:sz w:val="20"/>
        </w:rPr>
        <w:tab/>
        <w:t>Wang Y, Wen Z, Long L, et al. Dielectric response and microwave absorption properties of SiC whisker-coated carbon fibers[J]. Journal of Materials Science: Materials in Electronics, 2019, 30(16): 15075-15083.</w:t>
      </w:r>
    </w:p>
    <w:p w14:paraId="6EBC0A35" w14:textId="77777777" w:rsidR="00B0219D" w:rsidRPr="00B0219D" w:rsidRDefault="00B0219D" w:rsidP="00B0219D">
      <w:pPr>
        <w:pStyle w:val="ab"/>
        <w:spacing w:line="360" w:lineRule="auto"/>
        <w:rPr>
          <w:sz w:val="20"/>
        </w:rPr>
      </w:pPr>
      <w:r w:rsidRPr="00B0219D">
        <w:rPr>
          <w:sz w:val="20"/>
        </w:rPr>
        <w:t>[3]</w:t>
      </w:r>
      <w:r w:rsidRPr="00B0219D">
        <w:rPr>
          <w:sz w:val="20"/>
        </w:rPr>
        <w:tab/>
        <w:t>Jin H, Wen H M, Hong Q, et al. NiCo@NPC@CF nanocomposites derived from NiCo-MOF/cotton for high-performance electromagnetic wave absorption[J]. Journal of Materials Chemistry C, 2022, 10(21): 8310-8320.</w:t>
      </w:r>
    </w:p>
    <w:p w14:paraId="3EE09149" w14:textId="77777777" w:rsidR="00B0219D" w:rsidRPr="00B0219D" w:rsidRDefault="00B0219D" w:rsidP="00B0219D">
      <w:pPr>
        <w:pStyle w:val="ab"/>
        <w:spacing w:line="360" w:lineRule="auto"/>
        <w:rPr>
          <w:sz w:val="20"/>
        </w:rPr>
      </w:pPr>
      <w:r w:rsidRPr="00B0219D">
        <w:rPr>
          <w:sz w:val="20"/>
        </w:rPr>
        <w:t>[4]</w:t>
      </w:r>
      <w:r w:rsidRPr="00B0219D">
        <w:rPr>
          <w:sz w:val="20"/>
        </w:rPr>
        <w:tab/>
        <w:t>Cui Y, Yang K, Lyu Y, et al. Hollow nitrogen-doped carbon nanofibers filled with MnO2 nanoparticles/nanosheets as high-performance microwave absorbing materials[J]. Carbon, 2022, 196: 49-58.</w:t>
      </w:r>
    </w:p>
    <w:p w14:paraId="48326513" w14:textId="77777777" w:rsidR="00B0219D" w:rsidRPr="00B0219D" w:rsidRDefault="00B0219D" w:rsidP="00B0219D">
      <w:pPr>
        <w:pStyle w:val="ab"/>
        <w:spacing w:line="360" w:lineRule="auto"/>
        <w:rPr>
          <w:sz w:val="20"/>
        </w:rPr>
      </w:pPr>
      <w:r w:rsidRPr="00B0219D">
        <w:rPr>
          <w:sz w:val="20"/>
        </w:rPr>
        <w:t>[5]</w:t>
      </w:r>
      <w:r w:rsidRPr="00B0219D">
        <w:rPr>
          <w:sz w:val="20"/>
        </w:rPr>
        <w:tab/>
        <w:t>Min D, Jiang J, Qing Y, et al. Attapulgite coated polycrystalline iron fibers composites with light weight feature and enhanced microwave absorption properties[J]. Journal of Alloys and Compounds, 2023, 948: 169817.</w:t>
      </w:r>
    </w:p>
    <w:p w14:paraId="505C75A6" w14:textId="77777777" w:rsidR="00B0219D" w:rsidRPr="00B0219D" w:rsidRDefault="00B0219D" w:rsidP="00B0219D">
      <w:pPr>
        <w:pStyle w:val="ab"/>
        <w:spacing w:line="360" w:lineRule="auto"/>
        <w:rPr>
          <w:sz w:val="20"/>
        </w:rPr>
      </w:pPr>
      <w:r w:rsidRPr="00B0219D">
        <w:rPr>
          <w:sz w:val="20"/>
        </w:rPr>
        <w:t>[6]</w:t>
      </w:r>
      <w:r w:rsidRPr="00B0219D">
        <w:rPr>
          <w:sz w:val="20"/>
        </w:rPr>
        <w:tab/>
        <w:t>Wang S, Liu Z, Liu Q, et al. Promoting the microwave absorption performance of hierarchical CF@NiO/Ni composites via phase and morphology evolution[J]. International Journal of Minerals, Metallurgy and Materials, 2023, 30(3): 494-503.</w:t>
      </w:r>
    </w:p>
    <w:p w14:paraId="061A42CA" w14:textId="77777777" w:rsidR="00B0219D" w:rsidRPr="00B0219D" w:rsidRDefault="00B0219D" w:rsidP="00B0219D">
      <w:pPr>
        <w:pStyle w:val="ab"/>
        <w:spacing w:line="360" w:lineRule="auto"/>
        <w:rPr>
          <w:sz w:val="20"/>
        </w:rPr>
      </w:pPr>
      <w:r w:rsidRPr="00B0219D">
        <w:rPr>
          <w:sz w:val="20"/>
        </w:rPr>
        <w:t>[7]</w:t>
      </w:r>
      <w:r w:rsidRPr="00B0219D">
        <w:rPr>
          <w:sz w:val="20"/>
        </w:rPr>
        <w:tab/>
        <w:t>Teng S, Xie W, Zhang D, et al. Ultra-broadband electromagnetic wave absorbent: In-situ generated silica modified conductive carbon fiber aerogels[J]. Ceramics International, 2023, 49(15): 24744-24751.</w:t>
      </w:r>
    </w:p>
    <w:p w14:paraId="3880FEEC" w14:textId="77777777" w:rsidR="00B0219D" w:rsidRPr="00B0219D" w:rsidRDefault="00B0219D" w:rsidP="00B0219D">
      <w:pPr>
        <w:pStyle w:val="ab"/>
        <w:spacing w:line="360" w:lineRule="auto"/>
        <w:rPr>
          <w:sz w:val="20"/>
        </w:rPr>
      </w:pPr>
      <w:r w:rsidRPr="00B0219D">
        <w:rPr>
          <w:sz w:val="20"/>
        </w:rPr>
        <w:t>[8]</w:t>
      </w:r>
      <w:r w:rsidRPr="00B0219D">
        <w:rPr>
          <w:sz w:val="20"/>
        </w:rPr>
        <w:tab/>
        <w:t>Sun J, Huang X, Liu Y, et al. Enhanced microwave absorption performance originated from interface and unrivaled impedance matching of SiO2/carbon fiber[J]. Applied Surface Science, 2023, 623: 157029.</w:t>
      </w:r>
    </w:p>
    <w:p w14:paraId="47C07EC6" w14:textId="77777777" w:rsidR="00B0219D" w:rsidRPr="00B0219D" w:rsidRDefault="00B0219D" w:rsidP="00B0219D">
      <w:pPr>
        <w:pStyle w:val="ab"/>
        <w:spacing w:line="360" w:lineRule="auto"/>
        <w:rPr>
          <w:sz w:val="20"/>
        </w:rPr>
      </w:pPr>
      <w:r w:rsidRPr="00B0219D">
        <w:rPr>
          <w:sz w:val="20"/>
        </w:rPr>
        <w:t>[9]</w:t>
      </w:r>
      <w:r w:rsidRPr="00B0219D">
        <w:rPr>
          <w:sz w:val="20"/>
        </w:rPr>
        <w:tab/>
        <w:t>Feng J, Yang L, Dong H, et al. Construction of hollow and porous carbon Fiber/CoFe composites derived from strawberry petiole for enhanced microwave absorption[J]. Materials Letters, 2023, 348: 134679.</w:t>
      </w:r>
    </w:p>
    <w:p w14:paraId="0D79C251" w14:textId="3CC04A8B" w:rsidR="00B0219D" w:rsidRPr="00864063" w:rsidRDefault="00B0219D" w:rsidP="00B0219D">
      <w:pPr>
        <w:adjustRightInd w:val="0"/>
        <w:spacing w:line="360" w:lineRule="auto"/>
        <w:contextualSpacing/>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fldChar w:fldCharType="end"/>
      </w:r>
      <w:bookmarkEnd w:id="0"/>
    </w:p>
    <w:sectPr w:rsidR="00B0219D" w:rsidRPr="00864063" w:rsidSect="00370A27">
      <w:footerReference w:type="default" r:id="rId8"/>
      <w:pgSz w:w="11906" w:h="16838"/>
      <w:pgMar w:top="1701"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BE24D" w14:textId="77777777" w:rsidR="00E53188" w:rsidRDefault="00E53188" w:rsidP="00C85FF1">
      <w:r>
        <w:separator/>
      </w:r>
    </w:p>
  </w:endnote>
  <w:endnote w:type="continuationSeparator" w:id="0">
    <w:p w14:paraId="376BFE8C" w14:textId="77777777" w:rsidR="00E53188" w:rsidRDefault="00E53188" w:rsidP="00C8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555411"/>
      <w:docPartObj>
        <w:docPartGallery w:val="Page Numbers (Bottom of Page)"/>
        <w:docPartUnique/>
      </w:docPartObj>
    </w:sdtPr>
    <w:sdtEndPr>
      <w:rPr>
        <w:rFonts w:ascii="Times New Roman" w:hAnsi="Times New Roman" w:cs="Times New Roman"/>
      </w:rPr>
    </w:sdtEndPr>
    <w:sdtContent>
      <w:p w14:paraId="1FEAB4D2" w14:textId="2C894F71" w:rsidR="00EC1D93" w:rsidRPr="00EC1D93" w:rsidRDefault="00EC1D93">
        <w:pPr>
          <w:pStyle w:val="a6"/>
          <w:jc w:val="center"/>
          <w:rPr>
            <w:rFonts w:ascii="Times New Roman" w:hAnsi="Times New Roman" w:cs="Times New Roman"/>
          </w:rPr>
        </w:pPr>
        <w:r w:rsidRPr="00EC1D93">
          <w:rPr>
            <w:rFonts w:ascii="Times New Roman" w:hAnsi="Times New Roman" w:cs="Times New Roman"/>
          </w:rPr>
          <w:fldChar w:fldCharType="begin"/>
        </w:r>
        <w:r w:rsidRPr="00EC1D93">
          <w:rPr>
            <w:rFonts w:ascii="Times New Roman" w:hAnsi="Times New Roman" w:cs="Times New Roman"/>
          </w:rPr>
          <w:instrText>PAGE   \* MERGEFORMAT</w:instrText>
        </w:r>
        <w:r w:rsidRPr="00EC1D93">
          <w:rPr>
            <w:rFonts w:ascii="Times New Roman" w:hAnsi="Times New Roman" w:cs="Times New Roman"/>
          </w:rPr>
          <w:fldChar w:fldCharType="separate"/>
        </w:r>
        <w:r w:rsidRPr="00EC1D93">
          <w:rPr>
            <w:rFonts w:ascii="Times New Roman" w:hAnsi="Times New Roman" w:cs="Times New Roman"/>
            <w:lang w:val="zh-CN"/>
          </w:rPr>
          <w:t>2</w:t>
        </w:r>
        <w:r w:rsidRPr="00EC1D93">
          <w:rPr>
            <w:rFonts w:ascii="Times New Roman" w:hAnsi="Times New Roman" w:cs="Times New Roman"/>
          </w:rPr>
          <w:fldChar w:fldCharType="end"/>
        </w:r>
      </w:p>
    </w:sdtContent>
  </w:sdt>
  <w:p w14:paraId="2442FA3E" w14:textId="77777777" w:rsidR="00EC1D93" w:rsidRDefault="00EC1D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37580" w14:textId="77777777" w:rsidR="00E53188" w:rsidRDefault="00E53188" w:rsidP="00C85FF1">
      <w:r>
        <w:separator/>
      </w:r>
    </w:p>
  </w:footnote>
  <w:footnote w:type="continuationSeparator" w:id="0">
    <w:p w14:paraId="12C4A048" w14:textId="77777777" w:rsidR="00E53188" w:rsidRDefault="00E53188" w:rsidP="00C85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37"/>
    <w:rsid w:val="000248CD"/>
    <w:rsid w:val="00030CDB"/>
    <w:rsid w:val="00042520"/>
    <w:rsid w:val="00076777"/>
    <w:rsid w:val="00091396"/>
    <w:rsid w:val="000B1FB5"/>
    <w:rsid w:val="000B2568"/>
    <w:rsid w:val="000C14F2"/>
    <w:rsid w:val="000C370D"/>
    <w:rsid w:val="000C7D55"/>
    <w:rsid w:val="000E0D2F"/>
    <w:rsid w:val="00104CC6"/>
    <w:rsid w:val="001120C6"/>
    <w:rsid w:val="001B43B2"/>
    <w:rsid w:val="001B658C"/>
    <w:rsid w:val="001C29C2"/>
    <w:rsid w:val="001C7CBF"/>
    <w:rsid w:val="001D4986"/>
    <w:rsid w:val="001D52AC"/>
    <w:rsid w:val="001D62F3"/>
    <w:rsid w:val="001E0FB1"/>
    <w:rsid w:val="001F410E"/>
    <w:rsid w:val="001F72B4"/>
    <w:rsid w:val="002070FA"/>
    <w:rsid w:val="00231CD1"/>
    <w:rsid w:val="0023502C"/>
    <w:rsid w:val="00260CA4"/>
    <w:rsid w:val="0026435F"/>
    <w:rsid w:val="0027797C"/>
    <w:rsid w:val="00286C00"/>
    <w:rsid w:val="0029306A"/>
    <w:rsid w:val="002941B4"/>
    <w:rsid w:val="0029652A"/>
    <w:rsid w:val="002A1A36"/>
    <w:rsid w:val="002C63E4"/>
    <w:rsid w:val="002E7894"/>
    <w:rsid w:val="003040AC"/>
    <w:rsid w:val="003135FA"/>
    <w:rsid w:val="00326D15"/>
    <w:rsid w:val="00336896"/>
    <w:rsid w:val="00353809"/>
    <w:rsid w:val="00370A27"/>
    <w:rsid w:val="003776E9"/>
    <w:rsid w:val="00390037"/>
    <w:rsid w:val="003A4437"/>
    <w:rsid w:val="003A694C"/>
    <w:rsid w:val="003A7097"/>
    <w:rsid w:val="003B3BBD"/>
    <w:rsid w:val="003B75A3"/>
    <w:rsid w:val="003C4FE4"/>
    <w:rsid w:val="003F27A6"/>
    <w:rsid w:val="00412B2A"/>
    <w:rsid w:val="00420648"/>
    <w:rsid w:val="0044520F"/>
    <w:rsid w:val="004457E2"/>
    <w:rsid w:val="0047047A"/>
    <w:rsid w:val="004D576C"/>
    <w:rsid w:val="004E0CB6"/>
    <w:rsid w:val="005028B6"/>
    <w:rsid w:val="0050470E"/>
    <w:rsid w:val="00506B80"/>
    <w:rsid w:val="00512CD7"/>
    <w:rsid w:val="0051762D"/>
    <w:rsid w:val="005206B6"/>
    <w:rsid w:val="005416EC"/>
    <w:rsid w:val="00543A3F"/>
    <w:rsid w:val="0054783D"/>
    <w:rsid w:val="00547F49"/>
    <w:rsid w:val="0055372B"/>
    <w:rsid w:val="0058134E"/>
    <w:rsid w:val="00582257"/>
    <w:rsid w:val="00585C40"/>
    <w:rsid w:val="00586FF6"/>
    <w:rsid w:val="005B2940"/>
    <w:rsid w:val="005C1BB4"/>
    <w:rsid w:val="005F072F"/>
    <w:rsid w:val="005F5D49"/>
    <w:rsid w:val="005F71DC"/>
    <w:rsid w:val="00603BFF"/>
    <w:rsid w:val="00603D51"/>
    <w:rsid w:val="006066E4"/>
    <w:rsid w:val="00613DC9"/>
    <w:rsid w:val="0062096F"/>
    <w:rsid w:val="0062234E"/>
    <w:rsid w:val="00636162"/>
    <w:rsid w:val="00653026"/>
    <w:rsid w:val="00664BE4"/>
    <w:rsid w:val="00665C20"/>
    <w:rsid w:val="00685DF4"/>
    <w:rsid w:val="00687E91"/>
    <w:rsid w:val="006915B0"/>
    <w:rsid w:val="00694EFD"/>
    <w:rsid w:val="006A0486"/>
    <w:rsid w:val="006C0ACE"/>
    <w:rsid w:val="006C3239"/>
    <w:rsid w:val="006D0265"/>
    <w:rsid w:val="006E0FBD"/>
    <w:rsid w:val="006E24F0"/>
    <w:rsid w:val="006F0145"/>
    <w:rsid w:val="00716730"/>
    <w:rsid w:val="00726F8C"/>
    <w:rsid w:val="00727D50"/>
    <w:rsid w:val="007313C1"/>
    <w:rsid w:val="00735C96"/>
    <w:rsid w:val="0074350C"/>
    <w:rsid w:val="0075587A"/>
    <w:rsid w:val="007564AC"/>
    <w:rsid w:val="00763ECF"/>
    <w:rsid w:val="00772F20"/>
    <w:rsid w:val="007807D6"/>
    <w:rsid w:val="007A632B"/>
    <w:rsid w:val="007B7945"/>
    <w:rsid w:val="007C1FAD"/>
    <w:rsid w:val="007D3197"/>
    <w:rsid w:val="00806CB8"/>
    <w:rsid w:val="00810AF3"/>
    <w:rsid w:val="00812F71"/>
    <w:rsid w:val="0083482C"/>
    <w:rsid w:val="00841A24"/>
    <w:rsid w:val="008534D7"/>
    <w:rsid w:val="00864063"/>
    <w:rsid w:val="008649A6"/>
    <w:rsid w:val="00873D0D"/>
    <w:rsid w:val="00881CBE"/>
    <w:rsid w:val="008A07A1"/>
    <w:rsid w:val="008D60D4"/>
    <w:rsid w:val="008D7F9B"/>
    <w:rsid w:val="008E69A3"/>
    <w:rsid w:val="008F3B6C"/>
    <w:rsid w:val="00915602"/>
    <w:rsid w:val="00915D02"/>
    <w:rsid w:val="00955548"/>
    <w:rsid w:val="00965243"/>
    <w:rsid w:val="00972522"/>
    <w:rsid w:val="0098222F"/>
    <w:rsid w:val="009A7F09"/>
    <w:rsid w:val="009B0015"/>
    <w:rsid w:val="009F585D"/>
    <w:rsid w:val="00A26F15"/>
    <w:rsid w:val="00A43AE3"/>
    <w:rsid w:val="00A46A68"/>
    <w:rsid w:val="00A51EB0"/>
    <w:rsid w:val="00A52BFD"/>
    <w:rsid w:val="00A570FB"/>
    <w:rsid w:val="00A606F7"/>
    <w:rsid w:val="00A609F1"/>
    <w:rsid w:val="00A72E63"/>
    <w:rsid w:val="00A854C9"/>
    <w:rsid w:val="00A903A6"/>
    <w:rsid w:val="00A925E8"/>
    <w:rsid w:val="00A9393D"/>
    <w:rsid w:val="00A94AF7"/>
    <w:rsid w:val="00AA0505"/>
    <w:rsid w:val="00AA413E"/>
    <w:rsid w:val="00AE78FD"/>
    <w:rsid w:val="00B0219D"/>
    <w:rsid w:val="00B05FE6"/>
    <w:rsid w:val="00B15CA6"/>
    <w:rsid w:val="00B42654"/>
    <w:rsid w:val="00B47084"/>
    <w:rsid w:val="00B701B4"/>
    <w:rsid w:val="00B730D3"/>
    <w:rsid w:val="00B95EAA"/>
    <w:rsid w:val="00B964FE"/>
    <w:rsid w:val="00BB3FCE"/>
    <w:rsid w:val="00BB6AC0"/>
    <w:rsid w:val="00BB7110"/>
    <w:rsid w:val="00BC3CE0"/>
    <w:rsid w:val="00BC464F"/>
    <w:rsid w:val="00BD1434"/>
    <w:rsid w:val="00BD6643"/>
    <w:rsid w:val="00BD71A5"/>
    <w:rsid w:val="00BF0E2E"/>
    <w:rsid w:val="00C10053"/>
    <w:rsid w:val="00C16018"/>
    <w:rsid w:val="00C17700"/>
    <w:rsid w:val="00C26204"/>
    <w:rsid w:val="00C27C08"/>
    <w:rsid w:val="00C34F38"/>
    <w:rsid w:val="00C5686B"/>
    <w:rsid w:val="00C61A82"/>
    <w:rsid w:val="00C70ED6"/>
    <w:rsid w:val="00C74FF0"/>
    <w:rsid w:val="00C74FFA"/>
    <w:rsid w:val="00C85FF1"/>
    <w:rsid w:val="00C91F8A"/>
    <w:rsid w:val="00C94348"/>
    <w:rsid w:val="00C95980"/>
    <w:rsid w:val="00CA0926"/>
    <w:rsid w:val="00CB67B4"/>
    <w:rsid w:val="00CD1136"/>
    <w:rsid w:val="00D24D9C"/>
    <w:rsid w:val="00D44B52"/>
    <w:rsid w:val="00D507AD"/>
    <w:rsid w:val="00D55229"/>
    <w:rsid w:val="00D55B3B"/>
    <w:rsid w:val="00D57F8D"/>
    <w:rsid w:val="00D67347"/>
    <w:rsid w:val="00DB0220"/>
    <w:rsid w:val="00DB3B3B"/>
    <w:rsid w:val="00DD4B1E"/>
    <w:rsid w:val="00DE2DB5"/>
    <w:rsid w:val="00DE4778"/>
    <w:rsid w:val="00E00D8D"/>
    <w:rsid w:val="00E227DD"/>
    <w:rsid w:val="00E36040"/>
    <w:rsid w:val="00E53188"/>
    <w:rsid w:val="00EC1D93"/>
    <w:rsid w:val="00EC2423"/>
    <w:rsid w:val="00EC6146"/>
    <w:rsid w:val="00ED0CAE"/>
    <w:rsid w:val="00EE3D02"/>
    <w:rsid w:val="00F21812"/>
    <w:rsid w:val="00F22436"/>
    <w:rsid w:val="00F243C4"/>
    <w:rsid w:val="00F25089"/>
    <w:rsid w:val="00F531F4"/>
    <w:rsid w:val="00F62BB8"/>
    <w:rsid w:val="00F71A98"/>
    <w:rsid w:val="00F75D69"/>
    <w:rsid w:val="00F96CC8"/>
    <w:rsid w:val="00FD193F"/>
    <w:rsid w:val="00FD3574"/>
    <w:rsid w:val="00FF6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5E86F"/>
  <w15:chartTrackingRefBased/>
  <w15:docId w15:val="{5CC21B0B-EB11-470D-BAE5-4B0C5A32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04CC6"/>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7D319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85FF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85FF1"/>
    <w:rPr>
      <w:sz w:val="18"/>
      <w:szCs w:val="18"/>
    </w:rPr>
  </w:style>
  <w:style w:type="paragraph" w:styleId="a6">
    <w:name w:val="footer"/>
    <w:basedOn w:val="a"/>
    <w:link w:val="a7"/>
    <w:uiPriority w:val="99"/>
    <w:unhideWhenUsed/>
    <w:rsid w:val="00C85FF1"/>
    <w:pPr>
      <w:tabs>
        <w:tab w:val="center" w:pos="4153"/>
        <w:tab w:val="right" w:pos="8306"/>
      </w:tabs>
      <w:snapToGrid w:val="0"/>
      <w:jc w:val="left"/>
    </w:pPr>
    <w:rPr>
      <w:sz w:val="18"/>
      <w:szCs w:val="18"/>
    </w:rPr>
  </w:style>
  <w:style w:type="character" w:customStyle="1" w:styleId="a7">
    <w:name w:val="页脚 字符"/>
    <w:basedOn w:val="a0"/>
    <w:link w:val="a6"/>
    <w:uiPriority w:val="99"/>
    <w:rsid w:val="00C85FF1"/>
    <w:rPr>
      <w:sz w:val="18"/>
      <w:szCs w:val="18"/>
    </w:rPr>
  </w:style>
  <w:style w:type="paragraph" w:customStyle="1" w:styleId="EndNoteBibliography">
    <w:name w:val="EndNote Bibliography"/>
    <w:basedOn w:val="a"/>
    <w:link w:val="EndNoteBibliography0"/>
    <w:rsid w:val="00A72E63"/>
    <w:pPr>
      <w:spacing w:line="480" w:lineRule="auto"/>
      <w:jc w:val="left"/>
    </w:pPr>
    <w:rPr>
      <w:rFonts w:ascii="Times New Roman" w:eastAsia="等线 Light" w:hAnsi="Times New Roman" w:cs="Times New Roman"/>
      <w:noProof/>
      <w:sz w:val="20"/>
      <w:szCs w:val="24"/>
    </w:rPr>
  </w:style>
  <w:style w:type="character" w:customStyle="1" w:styleId="EndNoteBibliography0">
    <w:name w:val="EndNote Bibliography 字符"/>
    <w:basedOn w:val="a0"/>
    <w:link w:val="EndNoteBibliography"/>
    <w:rsid w:val="00A72E63"/>
    <w:rPr>
      <w:rFonts w:ascii="Times New Roman" w:eastAsia="等线 Light" w:hAnsi="Times New Roman" w:cs="Times New Roman"/>
      <w:noProof/>
      <w:sz w:val="20"/>
      <w:szCs w:val="24"/>
    </w:rPr>
  </w:style>
  <w:style w:type="character" w:styleId="a8">
    <w:name w:val="Hyperlink"/>
    <w:basedOn w:val="a0"/>
    <w:uiPriority w:val="99"/>
    <w:unhideWhenUsed/>
    <w:rsid w:val="006A0486"/>
    <w:rPr>
      <w:color w:val="0563C1" w:themeColor="hyperlink"/>
      <w:u w:val="single"/>
    </w:rPr>
  </w:style>
  <w:style w:type="character" w:styleId="a9">
    <w:name w:val="Unresolved Mention"/>
    <w:basedOn w:val="a0"/>
    <w:uiPriority w:val="99"/>
    <w:semiHidden/>
    <w:unhideWhenUsed/>
    <w:rsid w:val="006A0486"/>
    <w:rPr>
      <w:color w:val="605E5C"/>
      <w:shd w:val="clear" w:color="auto" w:fill="E1DFDD"/>
    </w:rPr>
  </w:style>
  <w:style w:type="paragraph" w:styleId="aa">
    <w:name w:val="caption"/>
    <w:basedOn w:val="a"/>
    <w:next w:val="a"/>
    <w:uiPriority w:val="35"/>
    <w:unhideWhenUsed/>
    <w:qFormat/>
    <w:rsid w:val="001D62F3"/>
    <w:rPr>
      <w:rFonts w:asciiTheme="majorHAnsi" w:eastAsia="黑体" w:hAnsiTheme="majorHAnsi" w:cstheme="majorBidi"/>
      <w:sz w:val="20"/>
      <w:szCs w:val="20"/>
    </w:rPr>
  </w:style>
  <w:style w:type="paragraph" w:styleId="ab">
    <w:name w:val="Bibliography"/>
    <w:basedOn w:val="a"/>
    <w:next w:val="a"/>
    <w:uiPriority w:val="37"/>
    <w:unhideWhenUsed/>
    <w:rsid w:val="00FF6588"/>
    <w:pPr>
      <w:tabs>
        <w:tab w:val="left" w:pos="384"/>
      </w:tabs>
      <w:ind w:left="384" w:hanging="384"/>
    </w:pPr>
    <w:rPr>
      <w:rFonts w:ascii="Times New Roman" w:eastAsia="宋体" w:hAnsi="Times New Roman" w:cs="Times New Roman"/>
      <w:szCs w:val="24"/>
    </w:rPr>
  </w:style>
  <w:style w:type="character" w:customStyle="1" w:styleId="10">
    <w:name w:val="标题 1 字符"/>
    <w:basedOn w:val="a0"/>
    <w:link w:val="1"/>
    <w:uiPriority w:val="9"/>
    <w:rsid w:val="00104CC6"/>
    <w:rPr>
      <w:b/>
      <w:bCs/>
      <w:kern w:val="44"/>
      <w:sz w:val="44"/>
      <w:szCs w:val="44"/>
    </w:rPr>
  </w:style>
  <w:style w:type="character" w:customStyle="1" w:styleId="20">
    <w:name w:val="标题 2 字符"/>
    <w:basedOn w:val="a0"/>
    <w:link w:val="2"/>
    <w:uiPriority w:val="9"/>
    <w:semiHidden/>
    <w:rsid w:val="007D3197"/>
    <w:rPr>
      <w:rFonts w:asciiTheme="majorHAnsi" w:eastAsiaTheme="majorEastAsia" w:hAnsiTheme="majorHAnsi" w:cstheme="majorBidi"/>
      <w:b/>
      <w:bCs/>
      <w:sz w:val="32"/>
      <w:szCs w:val="32"/>
    </w:rPr>
  </w:style>
  <w:style w:type="paragraph" w:styleId="ac">
    <w:name w:val="List Paragraph"/>
    <w:basedOn w:val="a"/>
    <w:uiPriority w:val="34"/>
    <w:qFormat/>
    <w:rsid w:val="00BB6AC0"/>
    <w:pPr>
      <w:ind w:firstLineChars="200" w:firstLine="420"/>
    </w:pPr>
  </w:style>
  <w:style w:type="character" w:customStyle="1" w:styleId="anchor-text">
    <w:name w:val="anchor-text"/>
    <w:basedOn w:val="a0"/>
    <w:rsid w:val="00965243"/>
  </w:style>
  <w:style w:type="character" w:styleId="ad">
    <w:name w:val="Emphasis"/>
    <w:basedOn w:val="a0"/>
    <w:uiPriority w:val="20"/>
    <w:qFormat/>
    <w:rsid w:val="00FD19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20112">
      <w:bodyDiv w:val="1"/>
      <w:marLeft w:val="0"/>
      <w:marRight w:val="0"/>
      <w:marTop w:val="0"/>
      <w:marBottom w:val="0"/>
      <w:divBdr>
        <w:top w:val="none" w:sz="0" w:space="0" w:color="auto"/>
        <w:left w:val="none" w:sz="0" w:space="0" w:color="auto"/>
        <w:bottom w:val="none" w:sz="0" w:space="0" w:color="auto"/>
        <w:right w:val="none" w:sz="0" w:space="0" w:color="auto"/>
      </w:divBdr>
      <w:divsChild>
        <w:div w:id="1008555476">
          <w:marLeft w:val="0"/>
          <w:marRight w:val="0"/>
          <w:marTop w:val="0"/>
          <w:marBottom w:val="0"/>
          <w:divBdr>
            <w:top w:val="none" w:sz="0" w:space="0" w:color="auto"/>
            <w:left w:val="none" w:sz="0" w:space="0" w:color="auto"/>
            <w:bottom w:val="none" w:sz="0" w:space="0" w:color="auto"/>
            <w:right w:val="none" w:sz="0" w:space="0" w:color="auto"/>
          </w:divBdr>
        </w:div>
      </w:divsChild>
    </w:div>
    <w:div w:id="413279458">
      <w:bodyDiv w:val="1"/>
      <w:marLeft w:val="0"/>
      <w:marRight w:val="0"/>
      <w:marTop w:val="0"/>
      <w:marBottom w:val="0"/>
      <w:divBdr>
        <w:top w:val="none" w:sz="0" w:space="0" w:color="auto"/>
        <w:left w:val="none" w:sz="0" w:space="0" w:color="auto"/>
        <w:bottom w:val="none" w:sz="0" w:space="0" w:color="auto"/>
        <w:right w:val="none" w:sz="0" w:space="0" w:color="auto"/>
      </w:divBdr>
    </w:div>
    <w:div w:id="434520357">
      <w:bodyDiv w:val="1"/>
      <w:marLeft w:val="0"/>
      <w:marRight w:val="0"/>
      <w:marTop w:val="0"/>
      <w:marBottom w:val="0"/>
      <w:divBdr>
        <w:top w:val="none" w:sz="0" w:space="0" w:color="auto"/>
        <w:left w:val="none" w:sz="0" w:space="0" w:color="auto"/>
        <w:bottom w:val="none" w:sz="0" w:space="0" w:color="auto"/>
        <w:right w:val="none" w:sz="0" w:space="0" w:color="auto"/>
      </w:divBdr>
    </w:div>
    <w:div w:id="481384589">
      <w:bodyDiv w:val="1"/>
      <w:marLeft w:val="0"/>
      <w:marRight w:val="0"/>
      <w:marTop w:val="0"/>
      <w:marBottom w:val="0"/>
      <w:divBdr>
        <w:top w:val="none" w:sz="0" w:space="0" w:color="auto"/>
        <w:left w:val="none" w:sz="0" w:space="0" w:color="auto"/>
        <w:bottom w:val="none" w:sz="0" w:space="0" w:color="auto"/>
        <w:right w:val="none" w:sz="0" w:space="0" w:color="auto"/>
      </w:divBdr>
    </w:div>
    <w:div w:id="675687874">
      <w:bodyDiv w:val="1"/>
      <w:marLeft w:val="0"/>
      <w:marRight w:val="0"/>
      <w:marTop w:val="0"/>
      <w:marBottom w:val="0"/>
      <w:divBdr>
        <w:top w:val="none" w:sz="0" w:space="0" w:color="auto"/>
        <w:left w:val="none" w:sz="0" w:space="0" w:color="auto"/>
        <w:bottom w:val="none" w:sz="0" w:space="0" w:color="auto"/>
        <w:right w:val="none" w:sz="0" w:space="0" w:color="auto"/>
      </w:divBdr>
    </w:div>
    <w:div w:id="690299438">
      <w:bodyDiv w:val="1"/>
      <w:marLeft w:val="0"/>
      <w:marRight w:val="0"/>
      <w:marTop w:val="0"/>
      <w:marBottom w:val="0"/>
      <w:divBdr>
        <w:top w:val="none" w:sz="0" w:space="0" w:color="auto"/>
        <w:left w:val="none" w:sz="0" w:space="0" w:color="auto"/>
        <w:bottom w:val="none" w:sz="0" w:space="0" w:color="auto"/>
        <w:right w:val="none" w:sz="0" w:space="0" w:color="auto"/>
      </w:divBdr>
    </w:div>
    <w:div w:id="829756571">
      <w:bodyDiv w:val="1"/>
      <w:marLeft w:val="0"/>
      <w:marRight w:val="0"/>
      <w:marTop w:val="0"/>
      <w:marBottom w:val="0"/>
      <w:divBdr>
        <w:top w:val="none" w:sz="0" w:space="0" w:color="auto"/>
        <w:left w:val="none" w:sz="0" w:space="0" w:color="auto"/>
        <w:bottom w:val="none" w:sz="0" w:space="0" w:color="auto"/>
        <w:right w:val="none" w:sz="0" w:space="0" w:color="auto"/>
      </w:divBdr>
    </w:div>
    <w:div w:id="1050150789">
      <w:bodyDiv w:val="1"/>
      <w:marLeft w:val="0"/>
      <w:marRight w:val="0"/>
      <w:marTop w:val="0"/>
      <w:marBottom w:val="0"/>
      <w:divBdr>
        <w:top w:val="none" w:sz="0" w:space="0" w:color="auto"/>
        <w:left w:val="none" w:sz="0" w:space="0" w:color="auto"/>
        <w:bottom w:val="none" w:sz="0" w:space="0" w:color="auto"/>
        <w:right w:val="none" w:sz="0" w:space="0" w:color="auto"/>
      </w:divBdr>
    </w:div>
    <w:div w:id="1373110939">
      <w:bodyDiv w:val="1"/>
      <w:marLeft w:val="0"/>
      <w:marRight w:val="0"/>
      <w:marTop w:val="0"/>
      <w:marBottom w:val="0"/>
      <w:divBdr>
        <w:top w:val="none" w:sz="0" w:space="0" w:color="auto"/>
        <w:left w:val="none" w:sz="0" w:space="0" w:color="auto"/>
        <w:bottom w:val="none" w:sz="0" w:space="0" w:color="auto"/>
        <w:right w:val="none" w:sz="0" w:space="0" w:color="auto"/>
      </w:divBdr>
    </w:div>
    <w:div w:id="1531072068">
      <w:bodyDiv w:val="1"/>
      <w:marLeft w:val="0"/>
      <w:marRight w:val="0"/>
      <w:marTop w:val="0"/>
      <w:marBottom w:val="0"/>
      <w:divBdr>
        <w:top w:val="none" w:sz="0" w:space="0" w:color="auto"/>
        <w:left w:val="none" w:sz="0" w:space="0" w:color="auto"/>
        <w:bottom w:val="none" w:sz="0" w:space="0" w:color="auto"/>
        <w:right w:val="none" w:sz="0" w:space="0" w:color="auto"/>
      </w:divBdr>
    </w:div>
    <w:div w:id="1611234531">
      <w:bodyDiv w:val="1"/>
      <w:marLeft w:val="0"/>
      <w:marRight w:val="0"/>
      <w:marTop w:val="0"/>
      <w:marBottom w:val="0"/>
      <w:divBdr>
        <w:top w:val="none" w:sz="0" w:space="0" w:color="auto"/>
        <w:left w:val="none" w:sz="0" w:space="0" w:color="auto"/>
        <w:bottom w:val="none" w:sz="0" w:space="0" w:color="auto"/>
        <w:right w:val="none" w:sz="0" w:space="0" w:color="auto"/>
      </w:divBdr>
    </w:div>
    <w:div w:id="1639143645">
      <w:bodyDiv w:val="1"/>
      <w:marLeft w:val="0"/>
      <w:marRight w:val="0"/>
      <w:marTop w:val="0"/>
      <w:marBottom w:val="0"/>
      <w:divBdr>
        <w:top w:val="none" w:sz="0" w:space="0" w:color="auto"/>
        <w:left w:val="none" w:sz="0" w:space="0" w:color="auto"/>
        <w:bottom w:val="none" w:sz="0" w:space="0" w:color="auto"/>
        <w:right w:val="none" w:sz="0" w:space="0" w:color="auto"/>
      </w:divBdr>
    </w:div>
    <w:div w:id="2060010342">
      <w:bodyDiv w:val="1"/>
      <w:marLeft w:val="0"/>
      <w:marRight w:val="0"/>
      <w:marTop w:val="0"/>
      <w:marBottom w:val="0"/>
      <w:divBdr>
        <w:top w:val="none" w:sz="0" w:space="0" w:color="auto"/>
        <w:left w:val="none" w:sz="0" w:space="0" w:color="auto"/>
        <w:bottom w:val="none" w:sz="0" w:space="0" w:color="auto"/>
        <w:right w:val="none" w:sz="0" w:space="0" w:color="auto"/>
      </w:divBdr>
    </w:div>
    <w:div w:id="207454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3534</Words>
  <Characters>20144</Characters>
  <Application>Microsoft Office Word</Application>
  <DocSecurity>0</DocSecurity>
  <Lines>167</Lines>
  <Paragraphs>47</Paragraphs>
  <ScaleCrop>false</ScaleCrop>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阳</dc:creator>
  <cp:keywords/>
  <dc:description/>
  <cp:lastModifiedBy>刘 晓薇</cp:lastModifiedBy>
  <cp:revision>4</cp:revision>
  <cp:lastPrinted>2023-02-18T08:21:00Z</cp:lastPrinted>
  <dcterms:created xsi:type="dcterms:W3CDTF">2023-06-30T02:38:00Z</dcterms:created>
  <dcterms:modified xsi:type="dcterms:W3CDTF">2023-07-17T06:25:00Z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id="b7cVt72T"/&gt;&lt;style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ies>
</file>