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74856" w14:textId="06A4E966" w:rsidR="0022168A" w:rsidRPr="00013189" w:rsidRDefault="00013189" w:rsidP="00013189">
      <w:pPr>
        <w:spacing w:line="360" w:lineRule="auto"/>
        <w:ind w:right="118"/>
        <w:jc w:val="center"/>
        <w:rPr>
          <w:rFonts w:ascii="Times New Roman" w:hAnsi="Times New Roman" w:cs="Times New Roman"/>
          <w:b/>
          <w:bCs/>
          <w:sz w:val="24"/>
          <w:szCs w:val="24"/>
        </w:rPr>
      </w:pPr>
      <w:r w:rsidRPr="00013189">
        <w:rPr>
          <w:rFonts w:ascii="Times New Roman" w:hAnsi="Times New Roman" w:cs="Times New Roman"/>
          <w:b/>
          <w:bCs/>
          <w:sz w:val="24"/>
          <w:szCs w:val="24"/>
        </w:rPr>
        <w:t xml:space="preserve">Supplementary </w:t>
      </w:r>
      <w:r w:rsidR="00097995">
        <w:rPr>
          <w:rFonts w:ascii="Times New Roman" w:hAnsi="Times New Roman" w:cs="Times New Roman"/>
          <w:b/>
          <w:bCs/>
          <w:sz w:val="24"/>
          <w:szCs w:val="24"/>
        </w:rPr>
        <w:t xml:space="preserve">material </w:t>
      </w:r>
      <w:r w:rsidR="008741FC">
        <w:rPr>
          <w:rFonts w:ascii="Times New Roman" w:hAnsi="Times New Roman" w:cs="Times New Roman"/>
          <w:b/>
          <w:bCs/>
          <w:sz w:val="24"/>
          <w:szCs w:val="24"/>
        </w:rPr>
        <w:t xml:space="preserve">file 1 </w:t>
      </w:r>
    </w:p>
    <w:p w14:paraId="642F7750" w14:textId="755E82BF" w:rsidR="0022168A" w:rsidRPr="003B6E64" w:rsidRDefault="0022168A" w:rsidP="0022168A">
      <w:pPr>
        <w:pStyle w:val="ListParagraph"/>
        <w:numPr>
          <w:ilvl w:val="0"/>
          <w:numId w:val="5"/>
        </w:numPr>
        <w:ind w:right="260"/>
        <w:rPr>
          <w:rFonts w:ascii="Times New Roman" w:hAnsi="Times New Roman" w:cs="Times New Roman"/>
          <w:b/>
          <w:bCs/>
          <w:sz w:val="24"/>
          <w:szCs w:val="24"/>
        </w:rPr>
      </w:pPr>
      <w:r w:rsidRPr="003B6E64">
        <w:rPr>
          <w:rFonts w:ascii="Times New Roman" w:hAnsi="Times New Roman" w:cs="Times New Roman"/>
          <w:b/>
          <w:bCs/>
          <w:sz w:val="24"/>
          <w:szCs w:val="24"/>
        </w:rPr>
        <w:t>Quantification of GLP-1 (7-36) amide</w:t>
      </w:r>
    </w:p>
    <w:p w14:paraId="303E6182" w14:textId="544C061C" w:rsidR="0022168A" w:rsidRPr="003B6E64" w:rsidRDefault="0022168A" w:rsidP="0022168A">
      <w:pPr>
        <w:spacing w:line="360" w:lineRule="auto"/>
        <w:ind w:right="260"/>
        <w:jc w:val="both"/>
        <w:rPr>
          <w:rFonts w:ascii="Times New Roman" w:hAnsi="Times New Roman" w:cs="Times New Roman"/>
          <w:sz w:val="24"/>
          <w:szCs w:val="24"/>
        </w:rPr>
      </w:pPr>
      <w:r w:rsidRPr="003B6E64">
        <w:rPr>
          <w:rFonts w:ascii="Times New Roman" w:hAnsi="Times New Roman" w:cs="Times New Roman"/>
          <w:sz w:val="24"/>
          <w:szCs w:val="24"/>
        </w:rPr>
        <w:t>Laboratory assay of GLP-1(7–36) amide was measured by a GLP-1 (active) enzyme-linked immunoassay kit. The blood samples are withdrawn from the study subjects between 30 min to 45 min after ingestion of meal. The samples were drawn into EDTA evacuated tubes through the skilled phlebotomist. All samples were centrifuged for 10 min at 3500 RPM, within 30 min of collection. The centrifuged samples were subjected to frozen immediately and stored at -80</w:t>
      </w:r>
      <w:r w:rsidRPr="003B6E64">
        <w:rPr>
          <w:rFonts w:ascii="Times New Roman" w:hAnsi="Times New Roman" w:cs="Times New Roman"/>
          <w:sz w:val="24"/>
          <w:szCs w:val="24"/>
          <w:vertAlign w:val="superscript"/>
        </w:rPr>
        <w:t>0</w:t>
      </w:r>
      <w:r w:rsidRPr="003B6E64">
        <w:rPr>
          <w:rFonts w:ascii="Times New Roman" w:hAnsi="Times New Roman" w:cs="Times New Roman"/>
          <w:sz w:val="24"/>
          <w:szCs w:val="24"/>
        </w:rPr>
        <w:t xml:space="preserve"> C until analysis. GLP-1 (7-36) amide ware measured using sandwich ELISA method using [ChroMate ELISA reader] according to manufacturer’s recommended protocol (abcam USA). The sensitivity of kit was 25 pg/ml and the reference range is 59.6 pg/ml to 1000 pg/ml</w:t>
      </w:r>
      <w:r w:rsidR="00E14755">
        <w:rPr>
          <w:rFonts w:ascii="Times New Roman" w:hAnsi="Times New Roman" w:cs="Times New Roman"/>
          <w:sz w:val="24"/>
          <w:szCs w:val="24"/>
        </w:rPr>
        <w:t>.</w:t>
      </w:r>
    </w:p>
    <w:p w14:paraId="4AC5E6DB" w14:textId="36718F27" w:rsidR="006041E8" w:rsidRPr="003B6E64" w:rsidRDefault="006041E8" w:rsidP="0022168A">
      <w:pPr>
        <w:pStyle w:val="ListParagraph"/>
        <w:numPr>
          <w:ilvl w:val="0"/>
          <w:numId w:val="5"/>
        </w:numPr>
        <w:spacing w:line="360" w:lineRule="auto"/>
        <w:ind w:right="118"/>
        <w:rPr>
          <w:rFonts w:ascii="Times New Roman" w:hAnsi="Times New Roman" w:cs="Times New Roman"/>
          <w:b/>
          <w:bCs/>
          <w:sz w:val="24"/>
          <w:szCs w:val="24"/>
        </w:rPr>
      </w:pPr>
      <w:r w:rsidRPr="003B6E64">
        <w:rPr>
          <w:rFonts w:ascii="Times New Roman" w:hAnsi="Times New Roman" w:cs="Times New Roman"/>
          <w:b/>
          <w:bCs/>
          <w:sz w:val="24"/>
          <w:szCs w:val="24"/>
        </w:rPr>
        <w:t>Measurements of other biochemical parameters and ECG</w:t>
      </w:r>
    </w:p>
    <w:p w14:paraId="25362D30" w14:textId="77777777" w:rsidR="006041E8" w:rsidRPr="003B6E64" w:rsidRDefault="006041E8" w:rsidP="006041E8">
      <w:pPr>
        <w:spacing w:line="360" w:lineRule="auto"/>
        <w:ind w:right="118"/>
        <w:jc w:val="both"/>
        <w:rPr>
          <w:rFonts w:ascii="Times New Roman" w:hAnsi="Times New Roman" w:cs="Times New Roman"/>
          <w:sz w:val="24"/>
          <w:szCs w:val="24"/>
        </w:rPr>
      </w:pPr>
      <w:r w:rsidRPr="003B6E64">
        <w:rPr>
          <w:rFonts w:ascii="Times New Roman" w:hAnsi="Times New Roman" w:cs="Times New Roman"/>
          <w:sz w:val="24"/>
          <w:szCs w:val="24"/>
        </w:rPr>
        <w:t>Fasting blood sugar was quantified with Hexokinase method, Triglycerides: GPO PAP method; HDL: Direct HDL method. Fasting serum insulin (FSI) levels (</w:t>
      </w:r>
      <w:r w:rsidRPr="003B6E64">
        <w:rPr>
          <w:rFonts w:ascii="Times New Roman" w:hAnsi="Times New Roman" w:cs="Times New Roman"/>
          <w:sz w:val="24"/>
          <w:szCs w:val="24"/>
          <w:shd w:val="clear" w:color="auto" w:fill="FFFFFF"/>
        </w:rPr>
        <w:t>electro-chemiluminescent immunoassay ELISA method)</w:t>
      </w:r>
      <w:r w:rsidRPr="003B6E64">
        <w:rPr>
          <w:rFonts w:ascii="Times New Roman" w:hAnsi="Times New Roman" w:cs="Times New Roman"/>
          <w:sz w:val="24"/>
          <w:szCs w:val="24"/>
        </w:rPr>
        <w:t xml:space="preserve"> were measured using ROCHE COBAS</w:t>
      </w:r>
      <w:r w:rsidRPr="003B6E64">
        <w:rPr>
          <w:rFonts w:ascii="Times New Roman" w:hAnsi="Times New Roman" w:cs="Times New Roman"/>
          <w:b/>
          <w:sz w:val="24"/>
          <w:szCs w:val="24"/>
        </w:rPr>
        <w:t xml:space="preserve"> e411 </w:t>
      </w:r>
      <w:r w:rsidRPr="003B6E64">
        <w:rPr>
          <w:rFonts w:ascii="Times New Roman" w:hAnsi="Times New Roman" w:cs="Times New Roman"/>
          <w:sz w:val="24"/>
          <w:szCs w:val="24"/>
        </w:rPr>
        <w:t>Chemistry Analyzer. Liver enzymes (AST and ALT: IFCC without P5P method), pancreatic enzymes (immune- turbidimetry method) were measured using ROCHE COBAS</w:t>
      </w:r>
      <w:r w:rsidRPr="003B6E64">
        <w:rPr>
          <w:rFonts w:ascii="Times New Roman" w:hAnsi="Times New Roman" w:cs="Times New Roman"/>
          <w:b/>
          <w:sz w:val="24"/>
          <w:szCs w:val="24"/>
        </w:rPr>
        <w:t xml:space="preserve"> c311 </w:t>
      </w:r>
      <w:r w:rsidRPr="003B6E64">
        <w:rPr>
          <w:rFonts w:ascii="Times New Roman" w:hAnsi="Times New Roman" w:cs="Times New Roman"/>
          <w:bCs/>
          <w:sz w:val="24"/>
          <w:szCs w:val="24"/>
        </w:rPr>
        <w:t>analyser.</w:t>
      </w:r>
      <w:r w:rsidRPr="003B6E64">
        <w:rPr>
          <w:rFonts w:ascii="Times New Roman" w:hAnsi="Times New Roman" w:cs="Times New Roman"/>
          <w:b/>
          <w:sz w:val="24"/>
          <w:szCs w:val="24"/>
        </w:rPr>
        <w:t xml:space="preserve"> </w:t>
      </w:r>
      <w:r w:rsidRPr="003B6E64">
        <w:rPr>
          <w:rFonts w:ascii="Times New Roman" w:hAnsi="Times New Roman" w:cs="Times New Roman"/>
          <w:sz w:val="24"/>
          <w:szCs w:val="24"/>
        </w:rPr>
        <w:t>GLP-1 (7-36) amide was measured using ELISA method (ABCAM USA). A 12-lead electrocardiography (ECG) was performed to quantify the risk of abnormal QT prolongation among the participants. QT measurement (QTm) was calculated using Bazett formula, QTc=QT/</w:t>
      </w:r>
      <w:r w:rsidRPr="003B6E64">
        <w:rPr>
          <w:rFonts w:ascii="Times New Roman" w:hAnsi="Times New Roman" w:cs="Times New Roman"/>
          <w:sz w:val="24"/>
          <w:szCs w:val="24"/>
          <w:shd w:val="clear" w:color="auto" w:fill="FFFFFF"/>
        </w:rPr>
        <w:t>√RR. (</w:t>
      </w:r>
      <w:r w:rsidRPr="008B55C2">
        <w:rPr>
          <w:rFonts w:ascii="Times New Roman" w:hAnsi="Times New Roman" w:cs="Times New Roman"/>
          <w:color w:val="0070C0"/>
          <w:sz w:val="24"/>
          <w:szCs w:val="24"/>
        </w:rPr>
        <w:t>Bazett 1920</w:t>
      </w:r>
      <w:r w:rsidRPr="003B6E64">
        <w:rPr>
          <w:shd w:val="clear" w:color="auto" w:fill="FFFFFF"/>
        </w:rPr>
        <w:t xml:space="preserve">). </w:t>
      </w:r>
    </w:p>
    <w:p w14:paraId="2A7044CF" w14:textId="5B5493F4" w:rsidR="006041E8" w:rsidRPr="003B6E64" w:rsidRDefault="006041E8" w:rsidP="0022168A">
      <w:pPr>
        <w:pStyle w:val="ListParagraph"/>
        <w:numPr>
          <w:ilvl w:val="0"/>
          <w:numId w:val="5"/>
        </w:numPr>
        <w:spacing w:line="360" w:lineRule="auto"/>
        <w:ind w:right="118"/>
        <w:jc w:val="both"/>
        <w:rPr>
          <w:rFonts w:ascii="Times New Roman" w:hAnsi="Times New Roman" w:cs="Times New Roman"/>
          <w:b/>
          <w:bCs/>
          <w:sz w:val="24"/>
          <w:szCs w:val="24"/>
        </w:rPr>
      </w:pPr>
      <w:r w:rsidRPr="003B6E64">
        <w:rPr>
          <w:rFonts w:ascii="Times New Roman" w:hAnsi="Times New Roman" w:cs="Times New Roman"/>
          <w:b/>
          <w:bCs/>
          <w:sz w:val="24"/>
          <w:szCs w:val="24"/>
        </w:rPr>
        <w:t>Measurements of vital parameters</w:t>
      </w:r>
    </w:p>
    <w:p w14:paraId="300C7FC8" w14:textId="77777777" w:rsidR="006041E8" w:rsidRPr="003B6E64" w:rsidRDefault="006041E8" w:rsidP="006041E8">
      <w:pPr>
        <w:spacing w:line="360" w:lineRule="auto"/>
        <w:ind w:right="118"/>
        <w:jc w:val="both"/>
        <w:rPr>
          <w:rFonts w:ascii="Times New Roman" w:hAnsi="Times New Roman" w:cs="Times New Roman"/>
          <w:sz w:val="24"/>
          <w:szCs w:val="24"/>
          <w:shd w:val="clear" w:color="auto" w:fill="FFFFFF"/>
        </w:rPr>
      </w:pPr>
      <w:r w:rsidRPr="003B6E64">
        <w:rPr>
          <w:rFonts w:ascii="Times New Roman" w:hAnsi="Times New Roman" w:cs="Times New Roman"/>
          <w:sz w:val="24"/>
          <w:szCs w:val="24"/>
        </w:rPr>
        <w:t>The vial parameters such as height in sq. meter, weight in kilograms, BMI (kg/m</w:t>
      </w:r>
      <w:r w:rsidRPr="003B6E64">
        <w:rPr>
          <w:rFonts w:ascii="Times New Roman" w:hAnsi="Times New Roman" w:cs="Times New Roman"/>
          <w:sz w:val="24"/>
          <w:szCs w:val="24"/>
          <w:vertAlign w:val="superscript"/>
        </w:rPr>
        <w:t>2</w:t>
      </w:r>
      <w:r w:rsidRPr="003B6E64">
        <w:rPr>
          <w:rFonts w:ascii="Times New Roman" w:hAnsi="Times New Roman" w:cs="Times New Roman"/>
          <w:sz w:val="24"/>
          <w:szCs w:val="24"/>
        </w:rPr>
        <w:t>), waist circumference in centimetres and blood pressure (mmHg) were measured at baseline, 18</w:t>
      </w:r>
      <w:r w:rsidRPr="003B6E64">
        <w:rPr>
          <w:rFonts w:ascii="Times New Roman" w:hAnsi="Times New Roman" w:cs="Times New Roman"/>
          <w:sz w:val="24"/>
          <w:szCs w:val="24"/>
          <w:vertAlign w:val="superscript"/>
        </w:rPr>
        <w:t>th</w:t>
      </w:r>
      <w:r w:rsidRPr="003B6E64">
        <w:rPr>
          <w:rFonts w:ascii="Times New Roman" w:hAnsi="Times New Roman" w:cs="Times New Roman"/>
          <w:sz w:val="24"/>
          <w:szCs w:val="24"/>
        </w:rPr>
        <w:t>, 24</w:t>
      </w:r>
      <w:r w:rsidRPr="003B6E64">
        <w:rPr>
          <w:rFonts w:ascii="Times New Roman" w:hAnsi="Times New Roman" w:cs="Times New Roman"/>
          <w:sz w:val="24"/>
          <w:szCs w:val="24"/>
          <w:vertAlign w:val="superscript"/>
        </w:rPr>
        <w:t>th</w:t>
      </w:r>
      <w:r w:rsidRPr="003B6E64">
        <w:rPr>
          <w:rFonts w:ascii="Times New Roman" w:hAnsi="Times New Roman" w:cs="Times New Roman"/>
          <w:sz w:val="24"/>
          <w:szCs w:val="24"/>
        </w:rPr>
        <w:t xml:space="preserve"> 36</w:t>
      </w:r>
      <w:r w:rsidRPr="003B6E64">
        <w:rPr>
          <w:rFonts w:ascii="Times New Roman" w:hAnsi="Times New Roman" w:cs="Times New Roman"/>
          <w:sz w:val="24"/>
          <w:szCs w:val="24"/>
          <w:vertAlign w:val="superscript"/>
        </w:rPr>
        <w:t>th</w:t>
      </w:r>
      <w:r w:rsidRPr="003B6E64">
        <w:rPr>
          <w:rFonts w:ascii="Times New Roman" w:hAnsi="Times New Roman" w:cs="Times New Roman"/>
          <w:sz w:val="24"/>
          <w:szCs w:val="24"/>
        </w:rPr>
        <w:t xml:space="preserve"> and 48</w:t>
      </w:r>
      <w:r w:rsidRPr="003B6E64">
        <w:rPr>
          <w:rFonts w:ascii="Times New Roman" w:hAnsi="Times New Roman" w:cs="Times New Roman"/>
          <w:sz w:val="24"/>
          <w:szCs w:val="24"/>
          <w:vertAlign w:val="superscript"/>
        </w:rPr>
        <w:t>th</w:t>
      </w:r>
      <w:r w:rsidRPr="003B6E64">
        <w:rPr>
          <w:rFonts w:ascii="Times New Roman" w:hAnsi="Times New Roman" w:cs="Times New Roman"/>
          <w:sz w:val="24"/>
          <w:szCs w:val="24"/>
        </w:rPr>
        <w:t xml:space="preserve"> week. Height (m</w:t>
      </w:r>
      <w:r w:rsidRPr="003B6E64">
        <w:rPr>
          <w:rFonts w:ascii="Times New Roman" w:hAnsi="Times New Roman" w:cs="Times New Roman"/>
          <w:sz w:val="24"/>
          <w:szCs w:val="24"/>
          <w:vertAlign w:val="superscript"/>
        </w:rPr>
        <w:t>2</w:t>
      </w:r>
      <w:r w:rsidRPr="003B6E64">
        <w:rPr>
          <w:rFonts w:ascii="Times New Roman" w:hAnsi="Times New Roman" w:cs="Times New Roman"/>
          <w:sz w:val="24"/>
          <w:szCs w:val="24"/>
        </w:rPr>
        <w:t>) and weight (kg) of the subjects were measured using calibrated digital scales. Body Mass Index is a simple calculation using a person's height and weight. The formula is BMI = kg/m</w:t>
      </w:r>
      <w:r w:rsidRPr="003B6E64">
        <w:rPr>
          <w:rFonts w:ascii="Times New Roman" w:hAnsi="Times New Roman" w:cs="Times New Roman"/>
          <w:sz w:val="24"/>
          <w:szCs w:val="24"/>
          <w:vertAlign w:val="superscript"/>
        </w:rPr>
        <w:t>2</w:t>
      </w:r>
      <w:r w:rsidRPr="003B6E64">
        <w:rPr>
          <w:rFonts w:ascii="Times New Roman" w:hAnsi="Times New Roman" w:cs="Times New Roman"/>
          <w:sz w:val="24"/>
          <w:szCs w:val="24"/>
        </w:rPr>
        <w:t xml:space="preserve"> where kg is a person's weight in kilograms and m</w:t>
      </w:r>
      <w:r w:rsidRPr="003B6E64">
        <w:rPr>
          <w:rFonts w:ascii="Times New Roman" w:hAnsi="Times New Roman" w:cs="Times New Roman"/>
          <w:sz w:val="24"/>
          <w:szCs w:val="24"/>
          <w:vertAlign w:val="superscript"/>
        </w:rPr>
        <w:t>2</w:t>
      </w:r>
      <w:r w:rsidRPr="003B6E64">
        <w:rPr>
          <w:rFonts w:ascii="Times New Roman" w:hAnsi="Times New Roman" w:cs="Times New Roman"/>
          <w:sz w:val="24"/>
          <w:szCs w:val="24"/>
        </w:rPr>
        <w:t xml:space="preserve"> is their height in metres squared. BMI was classified according to Asian criteria as, BMI &gt; 17.50:  underweight; 17.50-22.99 kg/m</w:t>
      </w:r>
      <w:r w:rsidRPr="003B6E64">
        <w:rPr>
          <w:rFonts w:ascii="Times New Roman" w:hAnsi="Times New Roman" w:cs="Times New Roman"/>
          <w:sz w:val="24"/>
          <w:szCs w:val="24"/>
          <w:vertAlign w:val="superscript"/>
        </w:rPr>
        <w:t>2</w:t>
      </w:r>
      <w:r w:rsidRPr="003B6E64">
        <w:rPr>
          <w:rFonts w:ascii="Times New Roman" w:hAnsi="Times New Roman" w:cs="Times New Roman"/>
          <w:sz w:val="24"/>
          <w:szCs w:val="24"/>
        </w:rPr>
        <w:t>; Normal weight; 23.00-27.99 kg/m</w:t>
      </w:r>
      <w:r w:rsidRPr="003B6E64">
        <w:rPr>
          <w:rFonts w:ascii="Times New Roman" w:hAnsi="Times New Roman" w:cs="Times New Roman"/>
          <w:sz w:val="24"/>
          <w:szCs w:val="24"/>
          <w:vertAlign w:val="superscript"/>
        </w:rPr>
        <w:t>2</w:t>
      </w:r>
      <w:r w:rsidRPr="003B6E64">
        <w:rPr>
          <w:rFonts w:ascii="Times New Roman" w:hAnsi="Times New Roman" w:cs="Times New Roman"/>
          <w:sz w:val="24"/>
          <w:szCs w:val="24"/>
        </w:rPr>
        <w:t>, Overweight; ≥ 28 kg/m</w:t>
      </w:r>
      <w:r w:rsidRPr="003B6E64">
        <w:rPr>
          <w:rFonts w:ascii="Times New Roman" w:hAnsi="Times New Roman" w:cs="Times New Roman"/>
          <w:sz w:val="24"/>
          <w:szCs w:val="24"/>
          <w:vertAlign w:val="superscript"/>
        </w:rPr>
        <w:t>2</w:t>
      </w:r>
      <w:r w:rsidRPr="003B6E64">
        <w:rPr>
          <w:rFonts w:ascii="Times New Roman" w:hAnsi="Times New Roman" w:cs="Times New Roman"/>
          <w:sz w:val="24"/>
          <w:szCs w:val="24"/>
        </w:rPr>
        <w:t>: considered as Obese respectively (</w:t>
      </w:r>
      <w:r w:rsidRPr="008B55C2">
        <w:rPr>
          <w:rFonts w:ascii="Times New Roman" w:hAnsi="Times New Roman" w:cs="Times New Roman"/>
          <w:color w:val="0070C0"/>
          <w:sz w:val="24"/>
          <w:szCs w:val="24"/>
          <w:shd w:val="clear" w:color="auto" w:fill="FFFFFF"/>
        </w:rPr>
        <w:t>Misra A  2009</w:t>
      </w:r>
      <w:r w:rsidRPr="003B6E64">
        <w:rPr>
          <w:rFonts w:ascii="Times New Roman" w:hAnsi="Times New Roman" w:cs="Times New Roman"/>
          <w:sz w:val="24"/>
          <w:szCs w:val="24"/>
        </w:rPr>
        <w:t xml:space="preserve">). The waist circumference was measured (cm) by using normal conventional (non-Elastic) measuring tape by placing the </w:t>
      </w:r>
      <w:r w:rsidRPr="003B6E64">
        <w:rPr>
          <w:rFonts w:ascii="Times New Roman" w:hAnsi="Times New Roman" w:cs="Times New Roman"/>
          <w:sz w:val="24"/>
          <w:szCs w:val="24"/>
          <w:shd w:val="clear" w:color="auto" w:fill="FFFFFF"/>
        </w:rPr>
        <w:lastRenderedPageBreak/>
        <w:t xml:space="preserve">measuring tape in a horizontal plane around the abdomen at the level of the iliac crest, ensuring that the tape is snug, but does not compress the skin, and is parallel to the floor before reading the tape measure. The measurement was made at the end of a normal expiration </w:t>
      </w:r>
      <w:r w:rsidRPr="003B6E64">
        <w:rPr>
          <w:rFonts w:ascii="Times New Roman" w:hAnsi="Times New Roman" w:cs="Times New Roman"/>
          <w:sz w:val="24"/>
          <w:szCs w:val="24"/>
        </w:rPr>
        <w:t>(</w:t>
      </w:r>
      <w:r w:rsidRPr="003B6E64">
        <w:rPr>
          <w:rFonts w:ascii="Arial" w:hAnsi="Arial" w:cs="Arial"/>
          <w:sz w:val="20"/>
          <w:szCs w:val="20"/>
          <w:shd w:val="clear" w:color="auto" w:fill="FFFFFF"/>
        </w:rPr>
        <w:t>Ma WY 2013)</w:t>
      </w:r>
      <w:r w:rsidRPr="003B6E64">
        <w:rPr>
          <w:rFonts w:ascii="Times New Roman" w:hAnsi="Times New Roman" w:cs="Times New Roman"/>
          <w:sz w:val="24"/>
          <w:szCs w:val="24"/>
          <w:shd w:val="clear" w:color="auto" w:fill="FFFFFF"/>
        </w:rPr>
        <w:t xml:space="preserve">. Body weight was measured by using standard calibrated digital weighing machine.  </w:t>
      </w:r>
    </w:p>
    <w:p w14:paraId="72ED66AF" w14:textId="2D076783" w:rsidR="006041E8" w:rsidRPr="003B6E64" w:rsidRDefault="006041E8" w:rsidP="0022168A">
      <w:pPr>
        <w:pStyle w:val="ListParagraph"/>
        <w:numPr>
          <w:ilvl w:val="0"/>
          <w:numId w:val="5"/>
        </w:numPr>
        <w:spacing w:line="360" w:lineRule="auto"/>
        <w:ind w:right="118"/>
        <w:jc w:val="both"/>
        <w:rPr>
          <w:rFonts w:ascii="Times New Roman" w:hAnsi="Times New Roman" w:cs="Times New Roman"/>
          <w:b/>
          <w:bCs/>
          <w:sz w:val="24"/>
          <w:szCs w:val="24"/>
        </w:rPr>
      </w:pPr>
      <w:r w:rsidRPr="003B6E64">
        <w:rPr>
          <w:rFonts w:ascii="Times New Roman" w:hAnsi="Times New Roman" w:cs="Times New Roman"/>
          <w:b/>
          <w:bCs/>
          <w:sz w:val="24"/>
          <w:szCs w:val="24"/>
        </w:rPr>
        <w:t>Assessment of HOMA-IR (Homeostatic Model Assessment for Insulin Resistance):</w:t>
      </w:r>
    </w:p>
    <w:p w14:paraId="18892A08" w14:textId="26840086" w:rsidR="006041E8" w:rsidRPr="003B6E64" w:rsidRDefault="006041E8" w:rsidP="006041E8">
      <w:pPr>
        <w:spacing w:line="360" w:lineRule="auto"/>
        <w:ind w:right="118"/>
        <w:jc w:val="both"/>
        <w:rPr>
          <w:rFonts w:ascii="Times New Roman" w:hAnsi="Times New Roman" w:cs="Times New Roman"/>
          <w:sz w:val="24"/>
          <w:szCs w:val="24"/>
        </w:rPr>
      </w:pPr>
      <w:r w:rsidRPr="003B6E64">
        <w:rPr>
          <w:rFonts w:ascii="Times New Roman" w:hAnsi="Times New Roman" w:cs="Times New Roman"/>
          <w:noProof/>
          <w:sz w:val="24"/>
          <w:szCs w:val="24"/>
        </w:rPr>
        <mc:AlternateContent>
          <mc:Choice Requires="wps">
            <w:drawing>
              <wp:anchor distT="0" distB="0" distL="114300" distR="114300" simplePos="0" relativeHeight="251659264" behindDoc="1" locked="0" layoutInCell="1" allowOverlap="1" wp14:anchorId="0C348C6E" wp14:editId="56FC0F7B">
                <wp:simplePos x="0" y="0"/>
                <wp:positionH relativeFrom="margin">
                  <wp:posOffset>-635</wp:posOffset>
                </wp:positionH>
                <wp:positionV relativeFrom="paragraph">
                  <wp:posOffset>636270</wp:posOffset>
                </wp:positionV>
                <wp:extent cx="5257165" cy="309880"/>
                <wp:effectExtent l="0" t="0" r="19685" b="13970"/>
                <wp:wrapTight wrapText="bothSides">
                  <wp:wrapPolygon edited="0">
                    <wp:start x="0" y="0"/>
                    <wp:lineTo x="0" y="21246"/>
                    <wp:lineTo x="21603" y="21246"/>
                    <wp:lineTo x="21603" y="0"/>
                    <wp:lineTo x="0" y="0"/>
                  </wp:wrapPolygon>
                </wp:wrapTight>
                <wp:docPr id="7" name="Rectangle 7"/>
                <wp:cNvGraphicFramePr/>
                <a:graphic xmlns:a="http://schemas.openxmlformats.org/drawingml/2006/main">
                  <a:graphicData uri="http://schemas.microsoft.com/office/word/2010/wordprocessingShape">
                    <wps:wsp>
                      <wps:cNvSpPr/>
                      <wps:spPr>
                        <a:xfrm>
                          <a:off x="0" y="0"/>
                          <a:ext cx="5257165" cy="30988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08FADA7" w14:textId="77777777" w:rsidR="006041E8" w:rsidRPr="00FF4294" w:rsidRDefault="006041E8" w:rsidP="006041E8">
                            <w:pPr>
                              <w:spacing w:line="360" w:lineRule="auto"/>
                              <w:jc w:val="center"/>
                              <w:rPr>
                                <w:rFonts w:ascii="Times New Roman" w:hAnsi="Times New Roman" w:cs="Times New Roman"/>
                                <w:b/>
                                <w:bCs/>
                              </w:rPr>
                            </w:pPr>
                            <w:r w:rsidRPr="00FF4294">
                              <w:rPr>
                                <w:rFonts w:ascii="Times New Roman" w:hAnsi="Times New Roman" w:cs="Times New Roman"/>
                                <w:b/>
                                <w:bCs/>
                              </w:rPr>
                              <w:t>HOMA-IR = Fasting Plasma glucose (mg/dl) × Fasting serum insulin (µU/ml) / 405</w:t>
                            </w:r>
                          </w:p>
                          <w:p w14:paraId="0305DB27" w14:textId="77777777" w:rsidR="006041E8" w:rsidRPr="00FF4294" w:rsidRDefault="006041E8" w:rsidP="006041E8">
                            <w:pPr>
                              <w:jc w:val="center"/>
                              <w:rPr>
                                <w:sz w:val="23"/>
                                <w:szCs w:val="23"/>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C348C6E" id="Rectangle 7" o:spid="_x0000_s1026" style="position:absolute;left:0;text-align:left;margin-left:-.05pt;margin-top:50.1pt;width:413.95pt;height:24.4pt;z-index:-2516572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" fillcolor="white [3201]" strokecolor="#70ad47 [3209]" strokeweight="1pt">
                <v:textbox>
                  <w:txbxContent>
                    <w:p w14:paraId="608FADA7" w14:textId="77777777" w:rsidR="006041E8" w:rsidRPr="00FF4294" w:rsidRDefault="006041E8" w:rsidP="006041E8">
                      <w:pPr>
                        <w:spacing w:line="360" w:lineRule="auto"/>
                        <w:jc w:val="center"/>
                        <w:rPr>
                          <w:rFonts w:ascii="Times New Roman" w:hAnsi="Times New Roman" w:cs="Times New Roman"/>
                          <w:b/>
                          <w:bCs/>
                        </w:rPr>
                      </w:pPr>
                      <w:r w:rsidRPr="00FF4294">
                        <w:rPr>
                          <w:rFonts w:ascii="Times New Roman" w:hAnsi="Times New Roman" w:cs="Times New Roman"/>
                          <w:b/>
                          <w:bCs/>
                        </w:rPr>
                        <w:t>HOMA-IR = Fasting Plasma glucose (mg/dl) × Fasting serum insulin (µU/ml) / 405</w:t>
                      </w:r>
                    </w:p>
                    <w:p w14:paraId="0305DB27" w14:textId="77777777" w:rsidR="006041E8" w:rsidRPr="00FF4294" w:rsidRDefault="006041E8" w:rsidP="006041E8">
                      <w:pPr>
                        <w:jc w:val="center"/>
                        <w:rPr>
                          <w:sz w:val="23"/>
                          <w:szCs w:val="23"/>
                        </w:rPr>
                      </w:pPr>
                    </w:p>
                  </w:txbxContent>
                </v:textbox>
                <w10:wrap type="tight" anchorx="margin"/>
              </v:rect>
            </w:pict>
          </mc:Fallback>
        </mc:AlternateContent>
      </w:r>
      <w:r w:rsidRPr="003B6E64">
        <w:rPr>
          <w:rFonts w:ascii="Times New Roman" w:hAnsi="Times New Roman" w:cs="Times New Roman"/>
          <w:sz w:val="24"/>
          <w:szCs w:val="24"/>
        </w:rPr>
        <w:t>The insulin resistance was calculated using the following the below formula</w:t>
      </w:r>
      <w:r w:rsidR="00E76490" w:rsidRPr="003B6E64">
        <w:rPr>
          <w:rFonts w:ascii="Times New Roman" w:hAnsi="Times New Roman" w:cs="Times New Roman"/>
          <w:sz w:val="24"/>
          <w:szCs w:val="24"/>
        </w:rPr>
        <w:t xml:space="preserve"> </w:t>
      </w:r>
      <w:r w:rsidRPr="003B6E64">
        <w:rPr>
          <w:rFonts w:ascii="Times New Roman" w:hAnsi="Times New Roman" w:cs="Times New Roman"/>
          <w:sz w:val="24"/>
          <w:szCs w:val="24"/>
        </w:rPr>
        <w:t>(</w:t>
      </w:r>
      <w:r w:rsidRPr="00896682">
        <w:rPr>
          <w:rFonts w:ascii="Times New Roman" w:hAnsi="Times New Roman" w:cs="Times New Roman"/>
          <w:color w:val="0070C0"/>
          <w:sz w:val="24"/>
          <w:szCs w:val="24"/>
          <w:shd w:val="clear" w:color="auto" w:fill="FFFFFF"/>
        </w:rPr>
        <w:t>Matthews DR 1985</w:t>
      </w:r>
      <w:r w:rsidRPr="003B6E64">
        <w:rPr>
          <w:rFonts w:ascii="Times New Roman" w:hAnsi="Times New Roman" w:cs="Times New Roman"/>
          <w:sz w:val="24"/>
          <w:szCs w:val="24"/>
        </w:rPr>
        <w:t xml:space="preserve">)   </w:t>
      </w:r>
    </w:p>
    <w:p w14:paraId="611E4275" w14:textId="77777777" w:rsidR="006041E8" w:rsidRPr="003B6E64" w:rsidRDefault="006041E8" w:rsidP="006041E8">
      <w:pPr>
        <w:spacing w:line="360" w:lineRule="auto"/>
        <w:ind w:right="118"/>
        <w:jc w:val="both"/>
        <w:rPr>
          <w:rFonts w:ascii="Times New Roman" w:hAnsi="Times New Roman" w:cs="Times New Roman"/>
          <w:sz w:val="24"/>
          <w:szCs w:val="24"/>
        </w:rPr>
      </w:pPr>
      <w:r w:rsidRPr="003B6E64">
        <w:rPr>
          <w:rFonts w:ascii="Times New Roman" w:hAnsi="Times New Roman" w:cs="Times New Roman"/>
          <w:sz w:val="24"/>
          <w:szCs w:val="24"/>
        </w:rPr>
        <w:t xml:space="preserve">Subjects with HOMA-IR score ≥2.5 were considered as insulin resistance, whereas the score &lt; 2.5 were insulin sensitive. Based on the previous research, 2.5 was considered as the cut-ff score for insulin resistance ( </w:t>
      </w:r>
      <w:r w:rsidRPr="002B1693">
        <w:rPr>
          <w:rFonts w:ascii="Times New Roman" w:hAnsi="Times New Roman" w:cs="Times New Roman"/>
          <w:color w:val="0070C0"/>
          <w:sz w:val="24"/>
          <w:szCs w:val="24"/>
        </w:rPr>
        <w:t>Calori G 2011, Aydin E 2014</w:t>
      </w:r>
      <w:r w:rsidRPr="003B6E64">
        <w:rPr>
          <w:rFonts w:ascii="Times New Roman" w:hAnsi="Times New Roman" w:cs="Times New Roman"/>
          <w:sz w:val="24"/>
          <w:szCs w:val="24"/>
        </w:rPr>
        <w:t xml:space="preserve">).  </w:t>
      </w:r>
    </w:p>
    <w:p w14:paraId="60E85C44" w14:textId="00D0CC7A" w:rsidR="006041E8" w:rsidRPr="003B6E64" w:rsidRDefault="006041E8" w:rsidP="0022168A">
      <w:pPr>
        <w:pStyle w:val="ListParagraph"/>
        <w:numPr>
          <w:ilvl w:val="0"/>
          <w:numId w:val="5"/>
        </w:numPr>
        <w:spacing w:line="360" w:lineRule="auto"/>
        <w:ind w:right="118"/>
        <w:jc w:val="both"/>
        <w:rPr>
          <w:rFonts w:ascii="Times New Roman" w:hAnsi="Times New Roman" w:cs="Times New Roman"/>
          <w:sz w:val="24"/>
          <w:szCs w:val="24"/>
        </w:rPr>
      </w:pPr>
      <w:r w:rsidRPr="003B6E64">
        <w:rPr>
          <w:rFonts w:ascii="Times New Roman" w:hAnsi="Times New Roman" w:cs="Times New Roman"/>
          <w:b/>
          <w:bCs/>
          <w:sz w:val="24"/>
          <w:szCs w:val="24"/>
        </w:rPr>
        <w:t>Assessment of Appetite with SNAQ scale (Simplified Nutritional Appetite Questionnaire):</w:t>
      </w:r>
    </w:p>
    <w:p w14:paraId="4D288DC5" w14:textId="77777777" w:rsidR="006041E8" w:rsidRPr="003B6E64" w:rsidRDefault="006041E8" w:rsidP="006041E8">
      <w:pPr>
        <w:spacing w:line="360" w:lineRule="auto"/>
        <w:ind w:right="118"/>
        <w:jc w:val="both"/>
        <w:rPr>
          <w:rFonts w:ascii="Times New Roman" w:hAnsi="Times New Roman" w:cs="Times New Roman"/>
          <w:sz w:val="24"/>
          <w:szCs w:val="24"/>
        </w:rPr>
      </w:pPr>
      <w:r w:rsidRPr="003B6E64">
        <w:rPr>
          <w:rFonts w:ascii="Times New Roman" w:hAnsi="Times New Roman" w:cs="Times New Roman"/>
          <w:sz w:val="24"/>
          <w:szCs w:val="24"/>
        </w:rPr>
        <w:t>The Simplified Nutritional Appetite Questionnaire (SNAQ) (</w:t>
      </w:r>
      <w:r w:rsidRPr="00AE17FA">
        <w:rPr>
          <w:rFonts w:ascii="Times New Roman" w:hAnsi="Times New Roman" w:cs="Times New Roman"/>
          <w:color w:val="0070C0"/>
          <w:sz w:val="24"/>
          <w:szCs w:val="24"/>
          <w:shd w:val="clear" w:color="auto" w:fill="FFFFFF"/>
        </w:rPr>
        <w:t>Wilson MM 2005</w:t>
      </w:r>
      <w:r w:rsidRPr="003B6E64">
        <w:rPr>
          <w:rFonts w:ascii="Times New Roman" w:hAnsi="Times New Roman" w:cs="Times New Roman"/>
          <w:sz w:val="24"/>
          <w:szCs w:val="24"/>
        </w:rPr>
        <w:t>)   is the short version of the Council of Nutrition Appetite Questionnaire (CNAQ). The SNAQ is composed of four items, grouped in a single domain. Each question presents five options for answer which are represented by the letters from A to E. The questions are punctuated based on the following scale: A = 1, B = 2, C = 3, D = 4 and E = 5. When summed up, they give the total score of the questionnaire, which may range from 4 to 20. SNAQ score 14 indicates loss of appetite and significant risk of at least 5% weight loss within six months. SNAQ questionnaire was applied at the baseline, on the 24</w:t>
      </w:r>
      <w:r w:rsidRPr="003B6E64">
        <w:rPr>
          <w:rFonts w:ascii="Times New Roman" w:hAnsi="Times New Roman" w:cs="Times New Roman"/>
          <w:sz w:val="24"/>
          <w:szCs w:val="24"/>
          <w:vertAlign w:val="superscript"/>
        </w:rPr>
        <w:t>th</w:t>
      </w:r>
      <w:r w:rsidRPr="003B6E64">
        <w:rPr>
          <w:rFonts w:ascii="Times New Roman" w:hAnsi="Times New Roman" w:cs="Times New Roman"/>
          <w:sz w:val="24"/>
          <w:szCs w:val="24"/>
        </w:rPr>
        <w:t xml:space="preserve"> week and the 48</w:t>
      </w:r>
      <w:r w:rsidRPr="003B6E64">
        <w:rPr>
          <w:rFonts w:ascii="Times New Roman" w:hAnsi="Times New Roman" w:cs="Times New Roman"/>
          <w:sz w:val="24"/>
          <w:szCs w:val="24"/>
          <w:vertAlign w:val="superscript"/>
        </w:rPr>
        <w:t>th</w:t>
      </w:r>
      <w:r w:rsidRPr="003B6E64">
        <w:rPr>
          <w:rFonts w:ascii="Times New Roman" w:hAnsi="Times New Roman" w:cs="Times New Roman"/>
          <w:sz w:val="24"/>
          <w:szCs w:val="24"/>
        </w:rPr>
        <w:t xml:space="preserve"> week.</w:t>
      </w:r>
    </w:p>
    <w:p w14:paraId="27D39C14" w14:textId="2C2E3B56" w:rsidR="006041E8" w:rsidRPr="003B6E64" w:rsidRDefault="006041E8" w:rsidP="0022168A">
      <w:pPr>
        <w:pStyle w:val="ListParagraph"/>
        <w:numPr>
          <w:ilvl w:val="0"/>
          <w:numId w:val="5"/>
        </w:numPr>
        <w:spacing w:line="360" w:lineRule="auto"/>
        <w:ind w:right="118"/>
        <w:jc w:val="both"/>
        <w:rPr>
          <w:rFonts w:ascii="Times New Roman" w:hAnsi="Times New Roman" w:cs="Times New Roman"/>
          <w:sz w:val="24"/>
          <w:szCs w:val="24"/>
        </w:rPr>
      </w:pPr>
      <w:r w:rsidRPr="003B6E64">
        <w:rPr>
          <w:rFonts w:ascii="Times New Roman" w:hAnsi="Times New Roman" w:cs="Times New Roman"/>
          <w:b/>
          <w:bCs/>
          <w:sz w:val="24"/>
          <w:szCs w:val="24"/>
        </w:rPr>
        <w:t>Monitoring of safety parameters</w:t>
      </w:r>
      <w:r w:rsidRPr="003B6E64">
        <w:rPr>
          <w:rFonts w:ascii="Times New Roman" w:hAnsi="Times New Roman" w:cs="Times New Roman"/>
          <w:sz w:val="24"/>
          <w:szCs w:val="24"/>
        </w:rPr>
        <w:t xml:space="preserve">: </w:t>
      </w:r>
    </w:p>
    <w:p w14:paraId="476C150E" w14:textId="18708E88" w:rsidR="00667D35" w:rsidRDefault="006041E8" w:rsidP="006041E8">
      <w:pPr>
        <w:spacing w:line="360" w:lineRule="auto"/>
        <w:jc w:val="both"/>
        <w:rPr>
          <w:rFonts w:ascii="Times New Roman" w:hAnsi="Times New Roman" w:cs="Times New Roman"/>
          <w:sz w:val="24"/>
          <w:szCs w:val="24"/>
        </w:rPr>
      </w:pPr>
      <w:r w:rsidRPr="003B6E64">
        <w:rPr>
          <w:rFonts w:ascii="Times New Roman" w:hAnsi="Times New Roman" w:cs="Times New Roman"/>
          <w:sz w:val="24"/>
          <w:szCs w:val="24"/>
        </w:rPr>
        <w:t>Safety monitoring of teneligliptin for hepatotoxicity, pancreatitis and arrhythmias was done by assessing liver enzymes SGPT and SGOT, pancreatic enzymes (serum amylase and lipase) and ECG monitoring for QTc prolongation respectively at the baseline, 18</w:t>
      </w:r>
      <w:r w:rsidRPr="003B6E64">
        <w:rPr>
          <w:rFonts w:ascii="Times New Roman" w:hAnsi="Times New Roman" w:cs="Times New Roman"/>
          <w:sz w:val="24"/>
          <w:szCs w:val="24"/>
          <w:vertAlign w:val="superscript"/>
        </w:rPr>
        <w:t>th</w:t>
      </w:r>
      <w:r w:rsidRPr="003B6E64">
        <w:rPr>
          <w:rFonts w:ascii="Times New Roman" w:hAnsi="Times New Roman" w:cs="Times New Roman"/>
          <w:sz w:val="24"/>
          <w:szCs w:val="24"/>
        </w:rPr>
        <w:t>, 24</w:t>
      </w:r>
      <w:r w:rsidRPr="003B6E64">
        <w:rPr>
          <w:rFonts w:ascii="Times New Roman" w:hAnsi="Times New Roman" w:cs="Times New Roman"/>
          <w:sz w:val="24"/>
          <w:szCs w:val="24"/>
          <w:vertAlign w:val="superscript"/>
        </w:rPr>
        <w:t>th</w:t>
      </w:r>
      <w:r w:rsidRPr="003B6E64">
        <w:rPr>
          <w:rFonts w:ascii="Times New Roman" w:hAnsi="Times New Roman" w:cs="Times New Roman"/>
          <w:sz w:val="24"/>
          <w:szCs w:val="24"/>
        </w:rPr>
        <w:t>, 36</w:t>
      </w:r>
      <w:r w:rsidRPr="003B6E64">
        <w:rPr>
          <w:rFonts w:ascii="Times New Roman" w:hAnsi="Times New Roman" w:cs="Times New Roman"/>
          <w:sz w:val="24"/>
          <w:szCs w:val="24"/>
          <w:vertAlign w:val="superscript"/>
        </w:rPr>
        <w:t>th</w:t>
      </w:r>
      <w:r w:rsidRPr="003B6E64">
        <w:rPr>
          <w:rFonts w:ascii="Times New Roman" w:hAnsi="Times New Roman" w:cs="Times New Roman"/>
          <w:sz w:val="24"/>
          <w:szCs w:val="24"/>
        </w:rPr>
        <w:t xml:space="preserve"> and the 48</w:t>
      </w:r>
      <w:r w:rsidRPr="003B6E64">
        <w:rPr>
          <w:rFonts w:ascii="Times New Roman" w:hAnsi="Times New Roman" w:cs="Times New Roman"/>
          <w:sz w:val="24"/>
          <w:szCs w:val="24"/>
          <w:vertAlign w:val="superscript"/>
        </w:rPr>
        <w:t>th</w:t>
      </w:r>
      <w:r w:rsidRPr="003B6E64">
        <w:rPr>
          <w:rFonts w:ascii="Times New Roman" w:hAnsi="Times New Roman" w:cs="Times New Roman"/>
          <w:sz w:val="24"/>
          <w:szCs w:val="24"/>
        </w:rPr>
        <w:t xml:space="preserve"> weeks and their after when required. Both the groups were also monitored for adverse events.  The causality of these events with teneligliptin was assessed using Naranjo’s Adverse Drug Reaction Probability Scale (</w:t>
      </w:r>
      <w:r w:rsidRPr="00AE17FA">
        <w:rPr>
          <w:rFonts w:ascii="Times New Roman" w:hAnsi="Times New Roman" w:cs="Times New Roman"/>
          <w:color w:val="0070C0"/>
          <w:sz w:val="24"/>
          <w:szCs w:val="24"/>
          <w:shd w:val="clear" w:color="auto" w:fill="FFFFFF"/>
        </w:rPr>
        <w:t>Naranjo CA 1981</w:t>
      </w:r>
      <w:r w:rsidRPr="003B6E64">
        <w:rPr>
          <w:rFonts w:ascii="Times New Roman" w:hAnsi="Times New Roman" w:cs="Times New Roman"/>
          <w:sz w:val="24"/>
          <w:szCs w:val="24"/>
        </w:rPr>
        <w:t xml:space="preserve">). </w:t>
      </w:r>
    </w:p>
    <w:p w14:paraId="07211866" w14:textId="77777777" w:rsidR="00834D5C" w:rsidRPr="003B6E64" w:rsidRDefault="00834D5C" w:rsidP="006041E8">
      <w:pPr>
        <w:spacing w:line="360" w:lineRule="auto"/>
        <w:jc w:val="both"/>
        <w:rPr>
          <w:rFonts w:ascii="Times New Roman" w:hAnsi="Times New Roman" w:cs="Times New Roman"/>
          <w:sz w:val="24"/>
          <w:szCs w:val="24"/>
        </w:rPr>
      </w:pPr>
    </w:p>
    <w:p w14:paraId="4667342C" w14:textId="2EA4DB9F" w:rsidR="003B6E64" w:rsidRPr="00667D35" w:rsidRDefault="003B6E64" w:rsidP="00667D35">
      <w:pPr>
        <w:pStyle w:val="ListParagraph"/>
        <w:numPr>
          <w:ilvl w:val="0"/>
          <w:numId w:val="5"/>
        </w:numPr>
        <w:autoSpaceDE w:val="0"/>
        <w:autoSpaceDN w:val="0"/>
        <w:adjustRightInd w:val="0"/>
        <w:spacing w:line="360" w:lineRule="auto"/>
        <w:ind w:right="260"/>
        <w:jc w:val="both"/>
        <w:rPr>
          <w:rFonts w:ascii="Times New Roman" w:hAnsi="Times New Roman" w:cs="Times New Roman"/>
          <w:b/>
          <w:bCs/>
          <w:i/>
          <w:iCs/>
          <w:sz w:val="24"/>
          <w:szCs w:val="24"/>
        </w:rPr>
      </w:pPr>
      <w:r w:rsidRPr="00667D35">
        <w:rPr>
          <w:rFonts w:ascii="Times New Roman" w:hAnsi="Times New Roman" w:cs="Times New Roman"/>
          <w:b/>
          <w:bCs/>
          <w:sz w:val="24"/>
          <w:szCs w:val="24"/>
        </w:rPr>
        <w:t xml:space="preserve">Monitoring of </w:t>
      </w:r>
      <w:r w:rsidRPr="00667D35">
        <w:rPr>
          <w:rFonts w:ascii="Times New Roman" w:hAnsi="Times New Roman" w:cs="Times New Roman"/>
          <w:b/>
          <w:bCs/>
          <w:i/>
          <w:iCs/>
          <w:sz w:val="24"/>
          <w:szCs w:val="24"/>
        </w:rPr>
        <w:t>liver, pancreatic enzymes, and QT prolongation</w:t>
      </w:r>
    </w:p>
    <w:p w14:paraId="1612AC7C" w14:textId="364FCF1D" w:rsidR="003B6E64" w:rsidRPr="00667D35" w:rsidRDefault="003B6E64" w:rsidP="00667D35">
      <w:pPr>
        <w:autoSpaceDE w:val="0"/>
        <w:autoSpaceDN w:val="0"/>
        <w:adjustRightInd w:val="0"/>
        <w:spacing w:line="360" w:lineRule="auto"/>
        <w:ind w:right="260"/>
        <w:jc w:val="both"/>
        <w:rPr>
          <w:rFonts w:ascii="Times New Roman" w:hAnsi="Times New Roman" w:cs="Times New Roman"/>
          <w:sz w:val="24"/>
          <w:szCs w:val="24"/>
        </w:rPr>
      </w:pPr>
      <w:r w:rsidRPr="003B6E64">
        <w:rPr>
          <w:rFonts w:ascii="Times New Roman" w:hAnsi="Times New Roman" w:cs="Times New Roman"/>
          <w:sz w:val="24"/>
          <w:szCs w:val="24"/>
        </w:rPr>
        <w:t>The safety parameters of teneligliptin were also assessed among the study participants. The monitoring parameters such as hepatotoxicity (SGPT and SGOT), pancreatitis (serum amylase and lipase), and arrhythmias (QTc) were measured at different time visits. It was found that, outcome variables values were within the normal range and there was no significant increase of SGPT, SGOT and amylase between the groups, except for serum lipase (</w:t>
      </w:r>
      <w:r w:rsidRPr="003B6E64">
        <w:rPr>
          <w:rFonts w:ascii="Times New Roman" w:hAnsi="Times New Roman" w:cs="Times New Roman"/>
          <w:i/>
          <w:iCs/>
          <w:sz w:val="24"/>
          <w:szCs w:val="24"/>
          <w:lang w:val="en-US"/>
        </w:rPr>
        <w:t>p</w:t>
      </w:r>
      <w:r w:rsidRPr="003B6E64">
        <w:rPr>
          <w:rFonts w:ascii="Times New Roman" w:hAnsi="Times New Roman" w:cs="Times New Roman"/>
          <w:sz w:val="24"/>
          <w:szCs w:val="24"/>
          <w:lang w:val="en-US"/>
        </w:rPr>
        <w:t>=0.001), though, the lipase values were within the normal range and there were no signs of pancreatitis and hepatotoxicity among the participants. Likewise, QTc intervals were also measured at baseline, 24</w:t>
      </w:r>
      <w:r w:rsidRPr="003B6E64">
        <w:rPr>
          <w:rFonts w:ascii="Times New Roman" w:hAnsi="Times New Roman" w:cs="Times New Roman"/>
          <w:sz w:val="24"/>
          <w:szCs w:val="24"/>
          <w:vertAlign w:val="superscript"/>
          <w:lang w:val="en-US"/>
        </w:rPr>
        <w:t>th</w:t>
      </w:r>
      <w:r w:rsidRPr="003B6E64">
        <w:rPr>
          <w:rFonts w:ascii="Times New Roman" w:hAnsi="Times New Roman" w:cs="Times New Roman"/>
          <w:sz w:val="24"/>
          <w:szCs w:val="24"/>
          <w:lang w:val="en-US"/>
        </w:rPr>
        <w:t xml:space="preserve"> and 48</w:t>
      </w:r>
      <w:r w:rsidRPr="003B6E64">
        <w:rPr>
          <w:rFonts w:ascii="Times New Roman" w:hAnsi="Times New Roman" w:cs="Times New Roman"/>
          <w:sz w:val="24"/>
          <w:szCs w:val="24"/>
          <w:vertAlign w:val="superscript"/>
          <w:lang w:val="en-US"/>
        </w:rPr>
        <w:t>th</w:t>
      </w:r>
      <w:r w:rsidRPr="003B6E64">
        <w:rPr>
          <w:rFonts w:ascii="Times New Roman" w:hAnsi="Times New Roman" w:cs="Times New Roman"/>
          <w:sz w:val="24"/>
          <w:szCs w:val="24"/>
          <w:lang w:val="en-US"/>
        </w:rPr>
        <w:t xml:space="preserve"> week of interventions. In test group, there was no QT prolongation among the study participants </w:t>
      </w:r>
      <w:r w:rsidRPr="003B6E64">
        <w:rPr>
          <w:rFonts w:ascii="Times New Roman" w:hAnsi="Times New Roman" w:cs="Times New Roman"/>
          <w:sz w:val="24"/>
          <w:szCs w:val="24"/>
        </w:rPr>
        <w:t>(</w:t>
      </w:r>
      <w:r w:rsidR="00834D5C" w:rsidRPr="002C0F71">
        <w:rPr>
          <w:rFonts w:ascii="Times New Roman" w:hAnsi="Times New Roman" w:cs="Times New Roman"/>
          <w:color w:val="0070C0"/>
          <w:sz w:val="24"/>
          <w:szCs w:val="24"/>
        </w:rPr>
        <w:t xml:space="preserve">Supplementary material Table </w:t>
      </w:r>
      <w:r w:rsidR="00834D5C">
        <w:rPr>
          <w:rFonts w:ascii="Times New Roman" w:hAnsi="Times New Roman" w:cs="Times New Roman"/>
          <w:color w:val="0070C0"/>
          <w:sz w:val="24"/>
          <w:szCs w:val="24"/>
        </w:rPr>
        <w:t>5</w:t>
      </w:r>
      <w:r w:rsidRPr="003B6E64">
        <w:rPr>
          <w:rFonts w:ascii="Times New Roman" w:hAnsi="Times New Roman" w:cs="Times New Roman"/>
          <w:sz w:val="24"/>
          <w:szCs w:val="24"/>
        </w:rPr>
        <w:t xml:space="preserve">). </w:t>
      </w:r>
    </w:p>
    <w:p w14:paraId="656FD981" w14:textId="65284E75" w:rsidR="003B6E64" w:rsidRPr="00667D35" w:rsidRDefault="003B6E64" w:rsidP="00667D35">
      <w:pPr>
        <w:pStyle w:val="ListParagraph"/>
        <w:numPr>
          <w:ilvl w:val="0"/>
          <w:numId w:val="5"/>
        </w:numPr>
        <w:autoSpaceDE w:val="0"/>
        <w:autoSpaceDN w:val="0"/>
        <w:adjustRightInd w:val="0"/>
        <w:spacing w:line="360" w:lineRule="auto"/>
        <w:ind w:right="260"/>
        <w:jc w:val="both"/>
        <w:rPr>
          <w:rFonts w:ascii="Times New Roman" w:hAnsi="Times New Roman" w:cs="Times New Roman"/>
          <w:b/>
          <w:bCs/>
          <w:i/>
          <w:iCs/>
          <w:sz w:val="24"/>
          <w:szCs w:val="24"/>
        </w:rPr>
      </w:pPr>
      <w:r w:rsidRPr="00667D35">
        <w:rPr>
          <w:rFonts w:ascii="Times New Roman" w:hAnsi="Times New Roman" w:cs="Times New Roman"/>
          <w:b/>
          <w:bCs/>
          <w:i/>
          <w:iCs/>
          <w:sz w:val="24"/>
          <w:szCs w:val="24"/>
        </w:rPr>
        <w:t>Adverse events (AEs) recorded during the 48 weeks of treatment period</w:t>
      </w:r>
    </w:p>
    <w:p w14:paraId="0EF80483" w14:textId="030D2D50" w:rsidR="003B6E64" w:rsidRDefault="003B6E64" w:rsidP="003B6E64">
      <w:pPr>
        <w:autoSpaceDE w:val="0"/>
        <w:autoSpaceDN w:val="0"/>
        <w:adjustRightInd w:val="0"/>
        <w:spacing w:line="360" w:lineRule="auto"/>
        <w:ind w:right="260"/>
        <w:jc w:val="both"/>
        <w:rPr>
          <w:rFonts w:ascii="Times New Roman" w:hAnsi="Times New Roman" w:cs="Times New Roman"/>
          <w:sz w:val="24"/>
          <w:szCs w:val="24"/>
        </w:rPr>
      </w:pPr>
      <w:r w:rsidRPr="00065887">
        <w:rPr>
          <w:rFonts w:ascii="Times New Roman" w:hAnsi="Times New Roman" w:cs="Times New Roman"/>
          <w:color w:val="0070C0"/>
          <w:sz w:val="24"/>
          <w:szCs w:val="24"/>
        </w:rPr>
        <w:t xml:space="preserve">Table </w:t>
      </w:r>
      <w:r w:rsidR="00065887" w:rsidRPr="00065887">
        <w:rPr>
          <w:rFonts w:ascii="Times New Roman" w:hAnsi="Times New Roman" w:cs="Times New Roman"/>
          <w:color w:val="0070C0"/>
          <w:sz w:val="24"/>
          <w:szCs w:val="24"/>
        </w:rPr>
        <w:t>5</w:t>
      </w:r>
      <w:r w:rsidRPr="00065887">
        <w:rPr>
          <w:rFonts w:ascii="Times New Roman" w:hAnsi="Times New Roman" w:cs="Times New Roman"/>
          <w:color w:val="0070C0"/>
          <w:sz w:val="24"/>
          <w:szCs w:val="24"/>
        </w:rPr>
        <w:t xml:space="preserve"> </w:t>
      </w:r>
      <w:r w:rsidRPr="003B6E64">
        <w:rPr>
          <w:rFonts w:ascii="Times New Roman" w:hAnsi="Times New Roman" w:cs="Times New Roman"/>
          <w:sz w:val="24"/>
          <w:szCs w:val="24"/>
        </w:rPr>
        <w:t>shows the incidence of AEs in both groups. The recorded AEs were gastrointestinal disorders, skin disorders, upper respiratory tract infections (URTIs), hypoglycemia, joint pain, and QT prolongation for the entire study period. The AEs were 32 (44.5%) in test group and 15 (21.13%) events in the control group. The AEs included gastrointestinal disorders (16.6 % in test Vs 7% in control), skin disorders (2.7 % in test Vs 0.0 % in control), URTIs (20.8 % in test Vs 8.5 % in control), hypoglycemia (2.7 % in test Vs 4.2 % in control), constipation (4 % in test Vs 1.4 % in control), joint pain (1.3 % in test Vs 0.0 % in control), and QT prolongation (0.0 % in test Vs 1.4 % in control).</w:t>
      </w:r>
      <w:r w:rsidRPr="003B6E64">
        <w:rPr>
          <w:rFonts w:ascii="Times New Roman" w:hAnsi="Times New Roman" w:cs="Times New Roman"/>
          <w:i/>
          <w:iCs/>
        </w:rPr>
        <w:t xml:space="preserve"> </w:t>
      </w:r>
      <w:r w:rsidRPr="003B6E64">
        <w:rPr>
          <w:rFonts w:ascii="Times New Roman" w:hAnsi="Times New Roman" w:cs="Times New Roman"/>
        </w:rPr>
        <w:t xml:space="preserve"> There was no </w:t>
      </w:r>
      <w:r w:rsidRPr="003B6E64">
        <w:rPr>
          <w:rFonts w:ascii="Times New Roman" w:hAnsi="Times New Roman" w:cs="Times New Roman"/>
          <w:sz w:val="24"/>
          <w:szCs w:val="24"/>
        </w:rPr>
        <w:t>incidence of pancreatitis among the participants but the incidence of URTI was higher in the test group T</w:t>
      </w:r>
      <w:r w:rsidRPr="003B6E64">
        <w:rPr>
          <w:rFonts w:ascii="Times New Roman" w:hAnsi="Times New Roman" w:cs="Times New Roman"/>
        </w:rPr>
        <w:t xml:space="preserve">here was no difference in the incidence of AEs between the groups (p &gt; 0.05), except </w:t>
      </w:r>
      <w:r w:rsidRPr="003B6E64">
        <w:rPr>
          <w:rFonts w:ascii="Times New Roman" w:hAnsi="Times New Roman" w:cs="Times New Roman"/>
          <w:sz w:val="24"/>
          <w:szCs w:val="24"/>
        </w:rPr>
        <w:t>URTIs. Based on the causality assessment done in the test group by Naranjo’s adverse drug reaction probability scale, all the adverse reactions in the test group were possible, probable, four were definite and four were unlikely. Overall, there was no serious AEs or AEs led to treatment discontinuation or hospitalisation in both groups (</w:t>
      </w:r>
      <w:r w:rsidR="00065887" w:rsidRPr="002C0F71">
        <w:rPr>
          <w:rFonts w:ascii="Times New Roman" w:hAnsi="Times New Roman" w:cs="Times New Roman"/>
          <w:color w:val="0070C0"/>
          <w:sz w:val="24"/>
          <w:szCs w:val="24"/>
        </w:rPr>
        <w:t xml:space="preserve">Supplementary material </w:t>
      </w:r>
      <w:r w:rsidRPr="00667D35">
        <w:rPr>
          <w:rFonts w:ascii="Times New Roman" w:hAnsi="Times New Roman" w:cs="Times New Roman"/>
          <w:color w:val="0070C0"/>
          <w:sz w:val="24"/>
          <w:szCs w:val="24"/>
        </w:rPr>
        <w:t>Table 6</w:t>
      </w:r>
      <w:r w:rsidRPr="003B6E64">
        <w:rPr>
          <w:rFonts w:ascii="Times New Roman" w:hAnsi="Times New Roman" w:cs="Times New Roman"/>
          <w:sz w:val="24"/>
          <w:szCs w:val="24"/>
        </w:rPr>
        <w:t xml:space="preserve">).  </w:t>
      </w:r>
    </w:p>
    <w:p w14:paraId="661CA56E" w14:textId="70EAAD60" w:rsidR="009B45E3" w:rsidRPr="001C6C97" w:rsidRDefault="009B45E3" w:rsidP="003B6E64">
      <w:pPr>
        <w:autoSpaceDE w:val="0"/>
        <w:autoSpaceDN w:val="0"/>
        <w:adjustRightInd w:val="0"/>
        <w:spacing w:line="360" w:lineRule="auto"/>
        <w:ind w:right="260"/>
        <w:jc w:val="both"/>
        <w:rPr>
          <w:rFonts w:ascii="Times New Roman" w:hAnsi="Times New Roman" w:cs="Times New Roman"/>
          <w:b/>
          <w:bCs/>
          <w:i/>
          <w:iCs/>
          <w:sz w:val="24"/>
          <w:szCs w:val="24"/>
        </w:rPr>
      </w:pPr>
      <w:r w:rsidRPr="001C6C97">
        <w:rPr>
          <w:rFonts w:ascii="Times New Roman" w:hAnsi="Times New Roman" w:cs="Times New Roman"/>
          <w:b/>
          <w:bCs/>
          <w:i/>
          <w:iCs/>
          <w:sz w:val="24"/>
          <w:szCs w:val="24"/>
        </w:rPr>
        <w:t xml:space="preserve">References </w:t>
      </w:r>
    </w:p>
    <w:p w14:paraId="18A22E13" w14:textId="77777777" w:rsidR="009B45E3" w:rsidRPr="009766A4" w:rsidRDefault="009B45E3" w:rsidP="009B45E3">
      <w:pPr>
        <w:pStyle w:val="Default"/>
        <w:numPr>
          <w:ilvl w:val="0"/>
          <w:numId w:val="6"/>
        </w:numPr>
        <w:ind w:left="540" w:right="260"/>
        <w:jc w:val="both"/>
        <w:rPr>
          <w:b/>
          <w:bCs/>
        </w:rPr>
      </w:pPr>
      <w:r w:rsidRPr="009766A4">
        <w:t>Bazett HC. An analysis of time relations of electrocardiograms. Heart 1920,7:353-367.</w:t>
      </w:r>
    </w:p>
    <w:p w14:paraId="20CE44C7" w14:textId="77777777" w:rsidR="009B45E3" w:rsidRPr="009766A4" w:rsidRDefault="009B45E3" w:rsidP="009B45E3">
      <w:pPr>
        <w:pStyle w:val="ListParagraph"/>
        <w:numPr>
          <w:ilvl w:val="0"/>
          <w:numId w:val="6"/>
        </w:numPr>
        <w:spacing w:line="240" w:lineRule="auto"/>
        <w:ind w:left="540" w:right="-22"/>
        <w:jc w:val="both"/>
        <w:rPr>
          <w:rFonts w:ascii="Times New Roman" w:hAnsi="Times New Roman" w:cs="Times New Roman"/>
          <w:sz w:val="24"/>
          <w:szCs w:val="24"/>
        </w:rPr>
      </w:pPr>
      <w:r w:rsidRPr="009766A4">
        <w:rPr>
          <w:rFonts w:ascii="Times New Roman" w:hAnsi="Times New Roman" w:cs="Times New Roman"/>
          <w:color w:val="222222"/>
          <w:sz w:val="24"/>
          <w:szCs w:val="24"/>
          <w:shd w:val="clear" w:color="auto" w:fill="FFFFFF"/>
        </w:rPr>
        <w:t>Misra A, Chowbey P, Makkar BM, Vikram NK, Wasir JS, Chadha D, Joshi SR, Sadikot S, Gupta R, Gulati S, Munjal YP. Consensus statement for diagnosis of obesity, abdominal obesity and the metabolic syndrome for Asian Indians and recommendations for physical activity, medical and surgical management. Japi. 2009 Feb;57(2):163-70.</w:t>
      </w:r>
    </w:p>
    <w:p w14:paraId="243150C6" w14:textId="77777777" w:rsidR="009B45E3" w:rsidRPr="009766A4" w:rsidRDefault="009B45E3" w:rsidP="009B45E3">
      <w:pPr>
        <w:pStyle w:val="ListParagraph"/>
        <w:numPr>
          <w:ilvl w:val="0"/>
          <w:numId w:val="6"/>
        </w:numPr>
        <w:spacing w:line="240" w:lineRule="auto"/>
        <w:ind w:left="540" w:right="-22"/>
        <w:jc w:val="both"/>
        <w:rPr>
          <w:rFonts w:ascii="Times New Roman" w:hAnsi="Times New Roman" w:cs="Times New Roman"/>
          <w:sz w:val="24"/>
          <w:szCs w:val="24"/>
        </w:rPr>
      </w:pPr>
      <w:r w:rsidRPr="009766A4">
        <w:rPr>
          <w:rFonts w:ascii="Times New Roman" w:hAnsi="Times New Roman" w:cs="Times New Roman"/>
          <w:color w:val="222222"/>
          <w:sz w:val="24"/>
          <w:szCs w:val="24"/>
          <w:shd w:val="clear" w:color="auto" w:fill="FFFFFF"/>
        </w:rPr>
        <w:t>Matthews DR, Hosker JP, Rudenski AS, Naylor BA, Treacher DF, Turner RC. Homeostasis model assessment: insulin resistance and β-cell function from fasting plasma glucose and insulin concentrations in man. Diabetologia. 1985 Jul;28:412-9.</w:t>
      </w:r>
    </w:p>
    <w:p w14:paraId="12F4848A" w14:textId="77777777" w:rsidR="009B45E3" w:rsidRPr="009766A4" w:rsidRDefault="009B45E3" w:rsidP="009B45E3">
      <w:pPr>
        <w:pStyle w:val="ListParagraph"/>
        <w:numPr>
          <w:ilvl w:val="0"/>
          <w:numId w:val="6"/>
        </w:numPr>
        <w:spacing w:line="240" w:lineRule="auto"/>
        <w:ind w:left="540" w:right="-22"/>
        <w:jc w:val="both"/>
        <w:rPr>
          <w:rFonts w:ascii="Times New Roman" w:hAnsi="Times New Roman" w:cs="Times New Roman"/>
          <w:sz w:val="24"/>
          <w:szCs w:val="24"/>
        </w:rPr>
      </w:pPr>
      <w:r w:rsidRPr="009766A4">
        <w:rPr>
          <w:rFonts w:ascii="Times New Roman" w:hAnsi="Times New Roman" w:cs="Times New Roman"/>
          <w:sz w:val="24"/>
          <w:szCs w:val="24"/>
        </w:rPr>
        <w:t xml:space="preserve">Calori G, Lattuada G, Piemonti L, et al. Prevalence, metabolic features, and prognosis of metabolically healthy obese Italian individuals: the Cremona Study. Diabetes Care. 2011;34(1):210-215. </w:t>
      </w:r>
    </w:p>
    <w:p w14:paraId="498D55FC" w14:textId="77777777" w:rsidR="009B45E3" w:rsidRPr="009766A4" w:rsidRDefault="009B45E3" w:rsidP="009B45E3">
      <w:pPr>
        <w:pStyle w:val="ListParagraph"/>
        <w:numPr>
          <w:ilvl w:val="0"/>
          <w:numId w:val="6"/>
        </w:numPr>
        <w:spacing w:line="240" w:lineRule="auto"/>
        <w:ind w:left="540" w:right="-22"/>
        <w:jc w:val="both"/>
        <w:rPr>
          <w:rFonts w:ascii="Times New Roman" w:hAnsi="Times New Roman" w:cs="Times New Roman"/>
          <w:sz w:val="24"/>
          <w:szCs w:val="24"/>
        </w:rPr>
      </w:pPr>
      <w:r w:rsidRPr="009766A4">
        <w:rPr>
          <w:rFonts w:ascii="Times New Roman" w:hAnsi="Times New Roman" w:cs="Times New Roman"/>
          <w:sz w:val="24"/>
          <w:szCs w:val="24"/>
        </w:rPr>
        <w:t>Aydin E, Ozkokeli M. Does Homeostasis Model Assessment of Insulin Resistance have a predictive value for post-coronary artery bypass grafting surgery outcomes? Braz J Cardiovasc Surg. 2014;29(3):360-366.</w:t>
      </w:r>
    </w:p>
    <w:p w14:paraId="4E2872B2" w14:textId="77777777" w:rsidR="009B45E3" w:rsidRPr="009766A4" w:rsidRDefault="009B45E3" w:rsidP="009B45E3">
      <w:pPr>
        <w:pStyle w:val="ListParagraph"/>
        <w:numPr>
          <w:ilvl w:val="0"/>
          <w:numId w:val="6"/>
        </w:numPr>
        <w:spacing w:line="240" w:lineRule="auto"/>
        <w:ind w:left="540" w:right="-22"/>
        <w:jc w:val="both"/>
        <w:rPr>
          <w:rFonts w:ascii="Times New Roman" w:hAnsi="Times New Roman" w:cs="Times New Roman"/>
          <w:sz w:val="24"/>
          <w:szCs w:val="24"/>
        </w:rPr>
      </w:pPr>
      <w:r w:rsidRPr="009766A4">
        <w:rPr>
          <w:rFonts w:ascii="Times New Roman" w:hAnsi="Times New Roman" w:cs="Times New Roman"/>
          <w:color w:val="222222"/>
          <w:sz w:val="24"/>
          <w:szCs w:val="24"/>
          <w:shd w:val="clear" w:color="auto" w:fill="FFFFFF"/>
        </w:rPr>
        <w:t>Wilson MM, Thomas DR, Rubenstein LZ, Chibnall JT, Anderson S, Baxi A, Diebold MR, Morley JE. Appetite assessment: simple appetite questionnaire predicts weight loss in community-dwelling adults and nursing home residents. The American journal of clinical nutrition. 2005 Nov 1;82(5):1074-81.</w:t>
      </w:r>
    </w:p>
    <w:p w14:paraId="00C501D1" w14:textId="77777777" w:rsidR="009B45E3" w:rsidRPr="009766A4" w:rsidRDefault="009B45E3" w:rsidP="009B45E3">
      <w:pPr>
        <w:pStyle w:val="ListParagraph"/>
        <w:numPr>
          <w:ilvl w:val="0"/>
          <w:numId w:val="6"/>
        </w:numPr>
        <w:spacing w:line="240" w:lineRule="auto"/>
        <w:ind w:left="540" w:right="-22"/>
        <w:jc w:val="both"/>
        <w:rPr>
          <w:rFonts w:ascii="Times New Roman" w:hAnsi="Times New Roman" w:cs="Times New Roman"/>
          <w:sz w:val="24"/>
          <w:szCs w:val="24"/>
        </w:rPr>
      </w:pPr>
      <w:r w:rsidRPr="009766A4">
        <w:rPr>
          <w:rFonts w:ascii="Times New Roman" w:hAnsi="Times New Roman" w:cs="Times New Roman"/>
          <w:color w:val="222222"/>
          <w:sz w:val="24"/>
          <w:szCs w:val="24"/>
          <w:shd w:val="clear" w:color="auto" w:fill="FFFFFF"/>
        </w:rPr>
        <w:t>Naranjo CA, Busto U, Sellers EM, Sandor P, Ruiz I, Roberts EA, Janecek E, Domecq C, Greenblatt DJ. A method for estimating the probability of adverse drug reactions. Clinical Pharmacology &amp; Therapeutics. 1981 Aug;30(2):239-45.</w:t>
      </w:r>
    </w:p>
    <w:p w14:paraId="7D6B4E27" w14:textId="77777777" w:rsidR="009B45E3" w:rsidRPr="003B6E64" w:rsidRDefault="009B45E3" w:rsidP="003B6E64">
      <w:pPr>
        <w:autoSpaceDE w:val="0"/>
        <w:autoSpaceDN w:val="0"/>
        <w:adjustRightInd w:val="0"/>
        <w:spacing w:line="360" w:lineRule="auto"/>
        <w:ind w:right="260"/>
        <w:jc w:val="both"/>
        <w:rPr>
          <w:rFonts w:ascii="Times New Roman" w:hAnsi="Times New Roman" w:cs="Times New Roman"/>
          <w:sz w:val="24"/>
          <w:szCs w:val="24"/>
        </w:rPr>
      </w:pPr>
    </w:p>
    <w:p w14:paraId="119CC611" w14:textId="77777777" w:rsidR="003B6E64" w:rsidRPr="003B6E64" w:rsidRDefault="003B6E64" w:rsidP="006041E8">
      <w:pPr>
        <w:spacing w:line="360" w:lineRule="auto"/>
        <w:jc w:val="both"/>
        <w:rPr>
          <w:rFonts w:ascii="Times New Roman" w:hAnsi="Times New Roman" w:cs="Times New Roman"/>
          <w:sz w:val="24"/>
          <w:szCs w:val="24"/>
        </w:rPr>
      </w:pPr>
    </w:p>
    <w:p w14:paraId="2B8E432D" w14:textId="77777777" w:rsidR="006041E8" w:rsidRPr="003B6E64" w:rsidRDefault="006041E8" w:rsidP="006041E8">
      <w:pPr>
        <w:pStyle w:val="Default"/>
        <w:spacing w:line="360" w:lineRule="auto"/>
        <w:ind w:right="260"/>
        <w:jc w:val="both"/>
        <w:rPr>
          <w:b/>
          <w:bCs/>
          <w:color w:val="auto"/>
        </w:rPr>
      </w:pPr>
    </w:p>
    <w:sectPr w:rsidR="006041E8" w:rsidRPr="003B6E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E51FF"/>
    <w:multiLevelType w:val="multilevel"/>
    <w:tmpl w:val="C6CE624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B5078AE"/>
    <w:multiLevelType w:val="multilevel"/>
    <w:tmpl w:val="08D0979A"/>
    <w:lvl w:ilvl="0">
      <w:start w:val="3"/>
      <w:numFmt w:val="decimal"/>
      <w:lvlText w:val="%1."/>
      <w:lvlJc w:val="left"/>
      <w:pPr>
        <w:ind w:left="465" w:hanging="465"/>
      </w:pPr>
      <w:rPr>
        <w:rFonts w:hint="default"/>
      </w:rPr>
    </w:lvl>
    <w:lvl w:ilvl="1">
      <w:start w:val="1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C5E0063"/>
    <w:multiLevelType w:val="hybridMultilevel"/>
    <w:tmpl w:val="B614C55A"/>
    <w:lvl w:ilvl="0" w:tplc="40090019">
      <w:start w:val="1"/>
      <w:numFmt w:val="lowerLetter"/>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83116F1"/>
    <w:multiLevelType w:val="hybridMultilevel"/>
    <w:tmpl w:val="98CEBFC8"/>
    <w:lvl w:ilvl="0" w:tplc="ECE6BCE8">
      <w:start w:val="1"/>
      <w:numFmt w:val="decimal"/>
      <w:lvlText w:val="%1."/>
      <w:lvlJc w:val="left"/>
      <w:pPr>
        <w:ind w:left="720" w:hanging="360"/>
      </w:pPr>
      <w:rPr>
        <w:rFonts w:hint="default"/>
      </w:rPr>
    </w:lvl>
    <w:lvl w:ilvl="1" w:tplc="97B236D0" w:tentative="1">
      <w:start w:val="1"/>
      <w:numFmt w:val="lowerLetter"/>
      <w:lvlText w:val="%2."/>
      <w:lvlJc w:val="left"/>
      <w:pPr>
        <w:ind w:left="1440" w:hanging="360"/>
      </w:pPr>
    </w:lvl>
    <w:lvl w:ilvl="2" w:tplc="115A1AC0" w:tentative="1">
      <w:start w:val="1"/>
      <w:numFmt w:val="lowerRoman"/>
      <w:lvlText w:val="%3."/>
      <w:lvlJc w:val="right"/>
      <w:pPr>
        <w:ind w:left="2160" w:hanging="180"/>
      </w:pPr>
    </w:lvl>
    <w:lvl w:ilvl="3" w:tplc="B19A1206" w:tentative="1">
      <w:start w:val="1"/>
      <w:numFmt w:val="decimal"/>
      <w:lvlText w:val="%4."/>
      <w:lvlJc w:val="left"/>
      <w:pPr>
        <w:ind w:left="2880" w:hanging="360"/>
      </w:pPr>
    </w:lvl>
    <w:lvl w:ilvl="4" w:tplc="F424B976" w:tentative="1">
      <w:start w:val="1"/>
      <w:numFmt w:val="lowerLetter"/>
      <w:lvlText w:val="%5."/>
      <w:lvlJc w:val="left"/>
      <w:pPr>
        <w:ind w:left="3600" w:hanging="360"/>
      </w:pPr>
    </w:lvl>
    <w:lvl w:ilvl="5" w:tplc="80F84AFC" w:tentative="1">
      <w:start w:val="1"/>
      <w:numFmt w:val="lowerRoman"/>
      <w:lvlText w:val="%6."/>
      <w:lvlJc w:val="right"/>
      <w:pPr>
        <w:ind w:left="4320" w:hanging="180"/>
      </w:pPr>
    </w:lvl>
    <w:lvl w:ilvl="6" w:tplc="36CE040C" w:tentative="1">
      <w:start w:val="1"/>
      <w:numFmt w:val="decimal"/>
      <w:lvlText w:val="%7."/>
      <w:lvlJc w:val="left"/>
      <w:pPr>
        <w:ind w:left="5040" w:hanging="360"/>
      </w:pPr>
    </w:lvl>
    <w:lvl w:ilvl="7" w:tplc="800A819A" w:tentative="1">
      <w:start w:val="1"/>
      <w:numFmt w:val="lowerLetter"/>
      <w:lvlText w:val="%8."/>
      <w:lvlJc w:val="left"/>
      <w:pPr>
        <w:ind w:left="5760" w:hanging="360"/>
      </w:pPr>
    </w:lvl>
    <w:lvl w:ilvl="8" w:tplc="672C7236" w:tentative="1">
      <w:start w:val="1"/>
      <w:numFmt w:val="lowerRoman"/>
      <w:lvlText w:val="%9."/>
      <w:lvlJc w:val="right"/>
      <w:pPr>
        <w:ind w:left="6480" w:hanging="180"/>
      </w:pPr>
    </w:lvl>
  </w:abstractNum>
  <w:abstractNum w:abstractNumId="4" w15:restartNumberingAfterBreak="0">
    <w:nsid w:val="6BCF36CA"/>
    <w:multiLevelType w:val="hybridMultilevel"/>
    <w:tmpl w:val="8C78801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72AB6B57"/>
    <w:multiLevelType w:val="multilevel"/>
    <w:tmpl w:val="4BE867DA"/>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18664597">
    <w:abstractNumId w:val="1"/>
  </w:num>
  <w:num w:numId="2" w16cid:durableId="610433154">
    <w:abstractNumId w:val="2"/>
  </w:num>
  <w:num w:numId="3" w16cid:durableId="506529219">
    <w:abstractNumId w:val="0"/>
  </w:num>
  <w:num w:numId="4" w16cid:durableId="1083911241">
    <w:abstractNumId w:val="5"/>
  </w:num>
  <w:num w:numId="5" w16cid:durableId="207765105">
    <w:abstractNumId w:val="4"/>
  </w:num>
  <w:num w:numId="6" w16cid:durableId="14542062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ECA"/>
    <w:rsid w:val="00013189"/>
    <w:rsid w:val="00065887"/>
    <w:rsid w:val="00097995"/>
    <w:rsid w:val="001C6C97"/>
    <w:rsid w:val="0022168A"/>
    <w:rsid w:val="002B1693"/>
    <w:rsid w:val="003008A7"/>
    <w:rsid w:val="003B6E64"/>
    <w:rsid w:val="005023E1"/>
    <w:rsid w:val="00585537"/>
    <w:rsid w:val="006041E8"/>
    <w:rsid w:val="00667D35"/>
    <w:rsid w:val="006A780E"/>
    <w:rsid w:val="007171EE"/>
    <w:rsid w:val="00834D5C"/>
    <w:rsid w:val="008741FC"/>
    <w:rsid w:val="00896682"/>
    <w:rsid w:val="008B55C2"/>
    <w:rsid w:val="009B45E3"/>
    <w:rsid w:val="00A07ECA"/>
    <w:rsid w:val="00AE17FA"/>
    <w:rsid w:val="00E14755"/>
    <w:rsid w:val="00E76490"/>
    <w:rsid w:val="00ED436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6EBB"/>
  <w15:chartTrackingRefBased/>
  <w15:docId w15:val="{72CBAEE1-F8F6-44F6-B012-454970844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1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41E8"/>
    <w:pPr>
      <w:ind w:left="720"/>
      <w:contextualSpacing/>
    </w:pPr>
  </w:style>
  <w:style w:type="paragraph" w:customStyle="1" w:styleId="Default">
    <w:name w:val="Default"/>
    <w:rsid w:val="006041E8"/>
    <w:pPr>
      <w:autoSpaceDE w:val="0"/>
      <w:autoSpaceDN w:val="0"/>
      <w:adjustRightInd w:val="0"/>
      <w:spacing w:after="0" w:line="240" w:lineRule="auto"/>
    </w:pPr>
    <w:rPr>
      <w:rFonts w:ascii="Times New Roman" w:hAnsi="Times New Roman" w:cs="Times New Roman"/>
      <w:color w:val="000000"/>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1232</Words>
  <Characters>7023</Characters>
  <Application>Microsoft Office Word</Application>
  <DocSecurity>0</DocSecurity>
  <Lines>58</Lines>
  <Paragraphs>16</Paragraphs>
  <ScaleCrop>false</ScaleCrop>
  <Company/>
  <LinksUpToDate>false</LinksUpToDate>
  <CharactersWithSpaces>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Ranakishor Pelluri</dc:creator>
  <cp:keywords/>
  <dc:description/>
  <cp:lastModifiedBy>Ranakishor Pelluri</cp:lastModifiedBy>
  <cp:revision>23</cp:revision>
  <dcterms:created xsi:type="dcterms:W3CDTF">2023-06-14T11:47:00Z</dcterms:created>
  <dcterms:modified xsi:type="dcterms:W3CDTF">2023-09-09T04:16:00Z</dcterms:modified>
</cp:coreProperties>
</file>