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B25E3" w14:textId="77777777" w:rsidR="00647761" w:rsidRPr="007143CE" w:rsidRDefault="00647761" w:rsidP="00647761">
      <w:pPr>
        <w:spacing w:line="480" w:lineRule="auto"/>
        <w:rPr>
          <w:rFonts w:ascii="Calibri" w:hAnsi="Calibri" w:cs="Calibri"/>
          <w:b/>
          <w14:ligatures w14:val="standardContextual"/>
        </w:rPr>
      </w:pPr>
      <w:r w:rsidRPr="007143CE">
        <w:rPr>
          <w:rFonts w:ascii="Calibri" w:hAnsi="Calibri" w:cs="Calibri"/>
          <w:b/>
          <w14:ligatures w14:val="standardContextual"/>
        </w:rPr>
        <w:t>Supplementary information</w:t>
      </w:r>
    </w:p>
    <w:p w14:paraId="4C894650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1: Fig. S1: A: The prognostic-related genes which associated with ferroptosis and disulfidptosis.</w:t>
      </w:r>
    </w:p>
    <w:p w14:paraId="495B4487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2: Table S1: Univariate Cox regression analysis and K-M analysis of PRGs in BRCA patients.</w:t>
      </w:r>
    </w:p>
    <w:p w14:paraId="4D60C43C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3: Table S2: Results of GSVA between two PRG subgroups.</w:t>
      </w:r>
    </w:p>
    <w:p w14:paraId="14551FCB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4: Table S3: Relative Fractions of tumor-infiltrating immune cells of BRCA patients by the ssGSEA algorithm.</w:t>
      </w:r>
    </w:p>
    <w:p w14:paraId="20B17B1A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5: Table S4: DEGs between subtype A and subtype B.</w:t>
      </w:r>
    </w:p>
    <w:p w14:paraId="53CC4B71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6: Table S5: GO enrichment analysis of the DEGs between the two PRG subgroups.</w:t>
      </w:r>
    </w:p>
    <w:p w14:paraId="5F771454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7: Table S6: KEGG enrichment analysis of the DEGs between the two PRG subgroups.</w:t>
      </w:r>
    </w:p>
    <w:p w14:paraId="7653B207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8: Table S7: Prognostic analysis of 219 subtype-associated genes with univariate Cox regression analysis.</w:t>
      </w:r>
    </w:p>
    <w:p w14:paraId="03E1BCBE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9: Table S8: Relative Fractions of tumor-infiltrating immune cells of BRCA patients by the ssGSEA algorithm.</w:t>
      </w:r>
    </w:p>
    <w:p w14:paraId="061284CB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10: Table S9: The biological pathways in high-risk and low-risk groups by GSEA enrichment analysis.</w:t>
      </w:r>
    </w:p>
    <w:p w14:paraId="0F7D02F7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11: Table S10: Relative Fractions of tumor-infiltrating immune cells of BRCA patients by the CIBERSORT algorithm.</w:t>
      </w:r>
    </w:p>
    <w:p w14:paraId="49E77F71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t>Additional File 12: Table S11: Relative Fractions of tumor-infiltrating immune cells of BRCA patients by the ssGSEA algorithm.</w:t>
      </w:r>
    </w:p>
    <w:p w14:paraId="5110F75A" w14:textId="77777777" w:rsidR="00647761" w:rsidRPr="007143CE" w:rsidRDefault="00647761" w:rsidP="00647761">
      <w:pPr>
        <w:widowControl/>
        <w:spacing w:after="3" w:line="480" w:lineRule="auto"/>
        <w:ind w:left="10" w:hanging="10"/>
        <w:rPr>
          <w:rFonts w:ascii="Times New Roman" w:eastAsia="Times New Roman" w:hAnsi="Times New Roman" w:cs="Times New Roman"/>
          <w:sz w:val="20"/>
          <w14:ligatures w14:val="standardContextual"/>
        </w:rPr>
      </w:pPr>
      <w:r w:rsidRPr="007143CE">
        <w:rPr>
          <w:rFonts w:ascii="Times New Roman" w:eastAsia="Times New Roman" w:hAnsi="Times New Roman" w:cs="Times New Roman"/>
          <w:sz w:val="20"/>
          <w14:ligatures w14:val="standardContextual"/>
        </w:rPr>
        <w:lastRenderedPageBreak/>
        <w:t>Additional File 13: Fig. S2: Results of Drug sensitivity analysis. A: Drug susceptibility analysis showing chemotherapy drugs which is sensitive to low-risk group. B: Drug susceptibility analysis showing chemotherapy drugs which is sensitive to high-risk group.</w:t>
      </w:r>
    </w:p>
    <w:p w14:paraId="10F14FDB" w14:textId="77777777" w:rsidR="00755780" w:rsidRDefault="00755780"/>
    <w:sectPr w:rsidR="00755780" w:rsidSect="00DD5BFA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43536741"/>
      <w:docPartObj>
        <w:docPartGallery w:val="Page Numbers (Bottom of Page)"/>
        <w:docPartUnique/>
      </w:docPartObj>
    </w:sdtPr>
    <w:sdtEndPr/>
    <w:sdtContent>
      <w:p w14:paraId="12EE27B7" w14:textId="77777777" w:rsidR="001176A0" w:rsidRDefault="006477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766029" w14:textId="77777777" w:rsidR="001176A0" w:rsidRDefault="0064776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61"/>
    <w:rsid w:val="00647761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4BFF"/>
  <w15:chartTrackingRefBased/>
  <w15:docId w15:val="{6D6F5A68-21FE-4EB2-9FB0-95B96F8A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6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7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7761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647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1350</Characters>
  <Application>Microsoft Office Word</Application>
  <DocSecurity>0</DocSecurity>
  <Lines>11</Lines>
  <Paragraphs>3</Paragraphs>
  <ScaleCrop>false</ScaleCrop>
  <Company>Springer Nature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2023-10-05T08:55:00Z</dcterms:created>
  <dcterms:modified xsi:type="dcterms:W3CDTF">2023-10-05T08:55:00Z</dcterms:modified>
</cp:coreProperties>
</file>