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ListTable2"/>
        <w:tblW w:w="14929" w:type="dxa"/>
        <w:tblInd w:w="-882" w:type="dxa"/>
        <w:tblLook w:val="04A0" w:firstRow="1" w:lastRow="0" w:firstColumn="1" w:lastColumn="0" w:noHBand="0" w:noVBand="1"/>
      </w:tblPr>
      <w:tblGrid>
        <w:gridCol w:w="2329"/>
        <w:gridCol w:w="234"/>
        <w:gridCol w:w="2133"/>
        <w:gridCol w:w="2702"/>
        <w:gridCol w:w="1808"/>
        <w:gridCol w:w="1407"/>
        <w:gridCol w:w="233"/>
        <w:gridCol w:w="1794"/>
        <w:gridCol w:w="781"/>
        <w:gridCol w:w="754"/>
        <w:gridCol w:w="754"/>
      </w:tblGrid>
      <w:tr w:rsidR="00375D17" w:rsidRPr="00443DC9" w14:paraId="693CE000" w14:textId="77777777" w:rsidTr="0053026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val="restart"/>
            <w:tcBorders>
              <w:top w:val="single" w:sz="24" w:space="0" w:color="auto"/>
            </w:tcBorders>
          </w:tcPr>
          <w:p w14:paraId="14134A55" w14:textId="77777777" w:rsidR="00375D17" w:rsidRPr="00443DC9" w:rsidRDefault="00375D17" w:rsidP="00530265">
            <w:pPr>
              <w:rPr>
                <w:b w:val="0"/>
                <w:bCs w:val="0"/>
                <w:sz w:val="24"/>
                <w:szCs w:val="24"/>
              </w:rPr>
            </w:pPr>
          </w:p>
          <w:p w14:paraId="43175880" w14:textId="77777777" w:rsidR="00375D17" w:rsidRPr="00443DC9" w:rsidRDefault="00375D17" w:rsidP="00530265">
            <w:pPr>
              <w:rPr>
                <w:b w:val="0"/>
                <w:bCs w:val="0"/>
                <w:sz w:val="24"/>
                <w:szCs w:val="24"/>
              </w:rPr>
            </w:pPr>
          </w:p>
          <w:p w14:paraId="71AAF41F" w14:textId="77777777" w:rsidR="00375D17" w:rsidRPr="00443DC9" w:rsidRDefault="00375D17" w:rsidP="00530265">
            <w:pPr>
              <w:rPr>
                <w:sz w:val="24"/>
                <w:szCs w:val="24"/>
              </w:rPr>
            </w:pPr>
            <w:r w:rsidRPr="00443DC9">
              <w:rPr>
                <w:sz w:val="24"/>
                <w:szCs w:val="24"/>
              </w:rPr>
              <w:t>Authors (Year)</w:t>
            </w:r>
          </w:p>
        </w:tc>
        <w:tc>
          <w:tcPr>
            <w:tcW w:w="234" w:type="dxa"/>
            <w:tcBorders>
              <w:top w:val="single" w:sz="24" w:space="0" w:color="auto"/>
            </w:tcBorders>
          </w:tcPr>
          <w:p w14:paraId="4664505B" w14:textId="77777777" w:rsidR="00375D17" w:rsidRPr="00443DC9" w:rsidRDefault="00375D17" w:rsidP="00530265">
            <w:pPr>
              <w:cnfStyle w:val="100000000000" w:firstRow="1" w:lastRow="0" w:firstColumn="0" w:lastColumn="0" w:oddVBand="0" w:evenVBand="0" w:oddHBand="0" w:evenHBand="0" w:firstRowFirstColumn="0" w:firstRowLastColumn="0" w:lastRowFirstColumn="0" w:lastRowLastColumn="0"/>
              <w:rPr>
                <w:sz w:val="24"/>
                <w:szCs w:val="24"/>
              </w:rPr>
            </w:pPr>
          </w:p>
        </w:tc>
        <w:tc>
          <w:tcPr>
            <w:tcW w:w="8050" w:type="dxa"/>
            <w:gridSpan w:val="4"/>
            <w:tcBorders>
              <w:top w:val="single" w:sz="24" w:space="0" w:color="auto"/>
            </w:tcBorders>
          </w:tcPr>
          <w:p w14:paraId="116BA015" w14:textId="77777777" w:rsidR="00375D17" w:rsidRPr="00443DC9" w:rsidRDefault="00375D17" w:rsidP="00530265">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443DC9">
              <w:rPr>
                <w:sz w:val="24"/>
                <w:szCs w:val="24"/>
              </w:rPr>
              <w:t>Attack Setting</w:t>
            </w:r>
          </w:p>
        </w:tc>
        <w:tc>
          <w:tcPr>
            <w:tcW w:w="233" w:type="dxa"/>
            <w:tcBorders>
              <w:top w:val="single" w:sz="24" w:space="0" w:color="auto"/>
              <w:bottom w:val="nil"/>
            </w:tcBorders>
          </w:tcPr>
          <w:p w14:paraId="68E9041E" w14:textId="77777777" w:rsidR="00375D17" w:rsidRPr="00443DC9" w:rsidRDefault="00375D17" w:rsidP="00530265">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p>
        </w:tc>
        <w:tc>
          <w:tcPr>
            <w:tcW w:w="4083" w:type="dxa"/>
            <w:gridSpan w:val="4"/>
            <w:tcBorders>
              <w:top w:val="single" w:sz="24" w:space="0" w:color="auto"/>
              <w:bottom w:val="single" w:sz="12" w:space="0" w:color="auto"/>
            </w:tcBorders>
            <w:vAlign w:val="center"/>
          </w:tcPr>
          <w:p w14:paraId="4E4FDF78" w14:textId="77777777" w:rsidR="00375D17" w:rsidRPr="00443DC9" w:rsidRDefault="00375D17" w:rsidP="00530265">
            <w:pPr>
              <w:jc w:val="center"/>
              <w:cnfStyle w:val="100000000000" w:firstRow="1" w:lastRow="0" w:firstColumn="0" w:lastColumn="0" w:oddVBand="0" w:evenVBand="0" w:oddHBand="0" w:evenHBand="0" w:firstRowFirstColumn="0" w:firstRowLastColumn="0" w:lastRowFirstColumn="0" w:lastRowLastColumn="0"/>
              <w:rPr>
                <w:b w:val="0"/>
                <w:bCs w:val="0"/>
                <w:sz w:val="24"/>
                <w:szCs w:val="24"/>
              </w:rPr>
            </w:pPr>
            <w:r w:rsidRPr="00443DC9">
              <w:rPr>
                <w:sz w:val="24"/>
                <w:szCs w:val="24"/>
              </w:rPr>
              <w:t>Attack Performance</w:t>
            </w:r>
          </w:p>
        </w:tc>
      </w:tr>
      <w:tr w:rsidR="00375D17" w:rsidRPr="00443DC9" w14:paraId="14DB4E0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tcBorders>
              <w:bottom w:val="single" w:sz="24" w:space="0" w:color="auto"/>
            </w:tcBorders>
          </w:tcPr>
          <w:p w14:paraId="5F6A3EEF" w14:textId="77777777" w:rsidR="00375D17" w:rsidRPr="00443DC9" w:rsidRDefault="00375D17" w:rsidP="00530265">
            <w:pPr>
              <w:rPr>
                <w:b w:val="0"/>
                <w:bCs w:val="0"/>
                <w:sz w:val="24"/>
                <w:szCs w:val="24"/>
              </w:rPr>
            </w:pPr>
          </w:p>
        </w:tc>
        <w:tc>
          <w:tcPr>
            <w:tcW w:w="234" w:type="dxa"/>
            <w:tcBorders>
              <w:bottom w:val="single" w:sz="24" w:space="0" w:color="auto"/>
            </w:tcBorders>
            <w:shd w:val="clear" w:color="auto" w:fill="FFFFFF" w:themeFill="background1"/>
          </w:tcPr>
          <w:p w14:paraId="09FD35FD"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2133" w:type="dxa"/>
            <w:tcBorders>
              <w:top w:val="single" w:sz="12" w:space="0" w:color="auto"/>
              <w:bottom w:val="single" w:sz="24" w:space="0" w:color="auto"/>
            </w:tcBorders>
            <w:shd w:val="clear" w:color="auto" w:fill="FFFFFF" w:themeFill="background1"/>
            <w:vAlign w:val="bottom"/>
          </w:tcPr>
          <w:p w14:paraId="520CD23F"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Training Dataset(s)</w:t>
            </w:r>
          </w:p>
        </w:tc>
        <w:tc>
          <w:tcPr>
            <w:tcW w:w="2702" w:type="dxa"/>
            <w:tcBorders>
              <w:top w:val="single" w:sz="12" w:space="0" w:color="auto"/>
              <w:bottom w:val="single" w:sz="24" w:space="0" w:color="auto"/>
            </w:tcBorders>
            <w:shd w:val="clear" w:color="auto" w:fill="FFFFFF" w:themeFill="background1"/>
            <w:vAlign w:val="bottom"/>
          </w:tcPr>
          <w:p w14:paraId="50EAA296"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Target Model Architecture(s)</w:t>
            </w:r>
          </w:p>
        </w:tc>
        <w:tc>
          <w:tcPr>
            <w:tcW w:w="1808" w:type="dxa"/>
            <w:tcBorders>
              <w:top w:val="single" w:sz="12" w:space="0" w:color="auto"/>
              <w:bottom w:val="single" w:sz="24" w:space="0" w:color="auto"/>
            </w:tcBorders>
            <w:shd w:val="clear" w:color="auto" w:fill="FFFFFF" w:themeFill="background1"/>
            <w:vAlign w:val="bottom"/>
          </w:tcPr>
          <w:p w14:paraId="546C3D51"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 xml:space="preserve">Target Model Task </w:t>
            </w:r>
          </w:p>
        </w:tc>
        <w:tc>
          <w:tcPr>
            <w:tcW w:w="1407" w:type="dxa"/>
            <w:tcBorders>
              <w:top w:val="single" w:sz="12" w:space="0" w:color="auto"/>
              <w:bottom w:val="single" w:sz="24" w:space="0" w:color="auto"/>
            </w:tcBorders>
            <w:shd w:val="clear" w:color="auto" w:fill="FFFFFF" w:themeFill="background1"/>
            <w:vAlign w:val="bottom"/>
          </w:tcPr>
          <w:p w14:paraId="57792AAF"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Knowledge</w:t>
            </w:r>
          </w:p>
        </w:tc>
        <w:tc>
          <w:tcPr>
            <w:tcW w:w="233" w:type="dxa"/>
            <w:tcBorders>
              <w:top w:val="nil"/>
              <w:bottom w:val="single" w:sz="24" w:space="0" w:color="auto"/>
            </w:tcBorders>
            <w:shd w:val="clear" w:color="auto" w:fill="FFFFFF" w:themeFill="background1"/>
            <w:vAlign w:val="bottom"/>
          </w:tcPr>
          <w:p w14:paraId="5E6768BE"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1794" w:type="dxa"/>
            <w:tcBorders>
              <w:top w:val="single" w:sz="12" w:space="0" w:color="auto"/>
              <w:bottom w:val="single" w:sz="24" w:space="0" w:color="auto"/>
              <w:right w:val="single" w:sz="4" w:space="0" w:color="auto"/>
            </w:tcBorders>
            <w:shd w:val="clear" w:color="auto" w:fill="FFFFFF" w:themeFill="background1"/>
            <w:vAlign w:val="center"/>
          </w:tcPr>
          <w:p w14:paraId="402A33D0"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Performance Metric(s)</w:t>
            </w:r>
          </w:p>
        </w:tc>
        <w:tc>
          <w:tcPr>
            <w:tcW w:w="781" w:type="dxa"/>
            <w:tcBorders>
              <w:left w:val="single" w:sz="4" w:space="0" w:color="auto"/>
              <w:bottom w:val="single" w:sz="24" w:space="0" w:color="auto"/>
              <w:right w:val="single" w:sz="4" w:space="0" w:color="auto"/>
            </w:tcBorders>
            <w:shd w:val="clear" w:color="auto" w:fill="FFFFFF" w:themeFill="background1"/>
            <w:vAlign w:val="center"/>
          </w:tcPr>
          <w:p w14:paraId="2E1296E5"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&gt;50%</w:t>
            </w:r>
          </w:p>
        </w:tc>
        <w:tc>
          <w:tcPr>
            <w:tcW w:w="754" w:type="dxa"/>
            <w:tcBorders>
              <w:left w:val="single" w:sz="4" w:space="0" w:color="auto"/>
              <w:bottom w:val="single" w:sz="24" w:space="0" w:color="auto"/>
              <w:right w:val="single" w:sz="4" w:space="0" w:color="auto"/>
            </w:tcBorders>
            <w:shd w:val="clear" w:color="auto" w:fill="FFFFFF" w:themeFill="background1"/>
            <w:vAlign w:val="center"/>
          </w:tcPr>
          <w:p w14:paraId="1A338AFD"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w:t>
            </w:r>
            <w:r w:rsidRPr="00443DC9">
              <w:rPr>
                <w:b/>
                <w:bCs/>
                <w:sz w:val="24"/>
                <w:szCs w:val="24"/>
              </w:rPr>
              <w:t>75%</w:t>
            </w:r>
          </w:p>
        </w:tc>
        <w:tc>
          <w:tcPr>
            <w:tcW w:w="754" w:type="dxa"/>
            <w:tcBorders>
              <w:left w:val="single" w:sz="4" w:space="0" w:color="auto"/>
              <w:bottom w:val="single" w:sz="24" w:space="0" w:color="auto"/>
            </w:tcBorders>
            <w:shd w:val="clear" w:color="auto" w:fill="FFFFFF" w:themeFill="background1"/>
            <w:vAlign w:val="center"/>
          </w:tcPr>
          <w:p w14:paraId="4667BD70"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≥90</w:t>
            </w:r>
            <w:r w:rsidRPr="00443DC9">
              <w:rPr>
                <w:b/>
                <w:bCs/>
                <w:sz w:val="24"/>
                <w:szCs w:val="24"/>
              </w:rPr>
              <w:t>%</w:t>
            </w:r>
          </w:p>
        </w:tc>
      </w:tr>
      <w:tr w:rsidR="00375D17" w14:paraId="679BAEF7" w14:textId="77777777" w:rsidTr="00530265">
        <w:tc>
          <w:tcPr>
            <w:cnfStyle w:val="001000000000" w:firstRow="0" w:lastRow="0" w:firstColumn="1" w:lastColumn="0" w:oddVBand="0" w:evenVBand="0" w:oddHBand="0" w:evenHBand="0" w:firstRowFirstColumn="0" w:firstRowLastColumn="0" w:lastRowFirstColumn="0" w:lastRowLastColumn="0"/>
            <w:tcW w:w="2329" w:type="dxa"/>
            <w:tcBorders>
              <w:top w:val="single" w:sz="24" w:space="0" w:color="auto"/>
            </w:tcBorders>
          </w:tcPr>
          <w:p w14:paraId="3C4C2773" w14:textId="77777777" w:rsidR="00375D17" w:rsidRDefault="00375D17" w:rsidP="00530265">
            <w:r w:rsidRPr="00814328">
              <w:t xml:space="preserve">Shokri </w:t>
            </w:r>
            <w:r w:rsidRPr="00814328">
              <w:rPr>
                <w:i/>
                <w:iCs/>
              </w:rPr>
              <w:t>et al</w:t>
            </w:r>
            <w:r>
              <w:rPr>
                <w:i/>
                <w:iCs/>
              </w:rPr>
              <w:t xml:space="preserve"> </w:t>
            </w:r>
            <w:r w:rsidRPr="00433D95">
              <w:t>(2017)</w:t>
            </w:r>
            <w:r>
              <w:rPr>
                <w:i/>
                <w:iCs/>
              </w:rPr>
              <w:fldChar w:fldCharType="begin"/>
            </w:r>
            <w:r>
              <w:rPr>
                <w:i/>
                <w:iCs/>
              </w:rPr>
              <w:instrText xml:space="preserve"> ADDIN ZOTERO_ITEM CSL_CITATION {"citationID":"qGfxksLD","properties":{"formattedCitation":"\\super 3\\nosupersub{}","plainCitation":"3","noteIndex":0},"citationItems":[{"id":77,"uris":["http://zotero.org/users/local/HJepGCSn/items/K45F5I6P"],"itemData":{"id":77,"type":"article-journal","abstract":"We quantitatively investigate how machine learning models leak information about the individual data records on which they were trained. We focus on the basic membership inference attack: given a data record and black-box access to a model, determine if the record was in the model's training dataset. To perform membership inference against a target model, we make adversarial use of machine learning and train our own inference model to recognize differences in the target model's predictions on the inputs that it trained on versus the inputs that it did not train on. We empirically evaluate our inference techniques on classification models trained by commercial \"machine learning as a service\" providers such as Google and Amazon. Using realistic datasets and classification tasks, including a hospital discharge dataset whose membership is sensitive from the privacy perspective, we show that these models can be vulnerable to membership inference attacks. We then investigate the factors that influence this leakage and evaluate mitigation strategies.","container-title":"arXiv:1610.05820 [cs, stat]","note":"arXiv: 1610.05820","source":"arXiv.org","title":"Membership Inference Attacks against Machine Learning Models","URL":"http://arxiv.org/abs/1610.05820","author":[{"family":"Shokri","given":"Reza"},{"family":"Stronati","given":"Marco"},{"family":"Song","given":"Congzheng"},{"family":"Shmatikov","given":"Vitaly"}],"accessed":{"date-parts":[["2021",12,21]]},"issued":{"date-parts":[["2017",3,31]]}}}],"schema":"https://github.com/citation-style-language/schema/raw/master/csl-citation.json"} </w:instrText>
            </w:r>
            <w:r>
              <w:rPr>
                <w:i/>
                <w:iCs/>
              </w:rPr>
              <w:fldChar w:fldCharType="separate"/>
            </w:r>
            <w:r w:rsidRPr="00C86B99">
              <w:rPr>
                <w:rFonts w:ascii="Calibri" w:hAnsi="Calibri" w:cs="Calibri"/>
                <w:szCs w:val="24"/>
                <w:vertAlign w:val="superscript"/>
              </w:rPr>
              <w:t>3</w:t>
            </w:r>
            <w:r>
              <w:rPr>
                <w:i/>
                <w:iCs/>
              </w:rPr>
              <w:fldChar w:fldCharType="end"/>
            </w:r>
          </w:p>
        </w:tc>
        <w:tc>
          <w:tcPr>
            <w:tcW w:w="234" w:type="dxa"/>
            <w:tcBorders>
              <w:top w:val="single" w:sz="24" w:space="0" w:color="auto"/>
            </w:tcBorders>
          </w:tcPr>
          <w:p w14:paraId="50922B4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Borders>
              <w:top w:val="single" w:sz="24" w:space="0" w:color="auto"/>
            </w:tcBorders>
          </w:tcPr>
          <w:p w14:paraId="129283E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Texas-100; Purchase-100; Adult; CIFAR-(10/100); MNIST; </w:t>
            </w:r>
            <w:proofErr w:type="spellStart"/>
            <w:r>
              <w:t>FourSquare</w:t>
            </w:r>
            <w:proofErr w:type="spellEnd"/>
          </w:p>
        </w:tc>
        <w:tc>
          <w:tcPr>
            <w:tcW w:w="2702" w:type="dxa"/>
            <w:tcBorders>
              <w:top w:val="single" w:sz="24" w:space="0" w:color="auto"/>
            </w:tcBorders>
          </w:tcPr>
          <w:p w14:paraId="19DC0C1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Borders>
              <w:top w:val="single" w:sz="24" w:space="0" w:color="auto"/>
            </w:tcBorders>
          </w:tcPr>
          <w:p w14:paraId="29C8A4E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Borders>
              <w:top w:val="single" w:sz="24" w:space="0" w:color="auto"/>
            </w:tcBorders>
          </w:tcPr>
          <w:p w14:paraId="116ADD8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Borders>
              <w:top w:val="single" w:sz="24" w:space="0" w:color="auto"/>
            </w:tcBorders>
          </w:tcPr>
          <w:p w14:paraId="4BC152F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top w:val="single" w:sz="24" w:space="0" w:color="auto"/>
              <w:right w:val="single" w:sz="4" w:space="0" w:color="auto"/>
            </w:tcBorders>
          </w:tcPr>
          <w:p w14:paraId="5297CBA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Precision; Recall</w:t>
            </w:r>
          </w:p>
        </w:tc>
        <w:tc>
          <w:tcPr>
            <w:tcW w:w="781" w:type="dxa"/>
            <w:tcBorders>
              <w:top w:val="single" w:sz="24" w:space="0" w:color="auto"/>
              <w:left w:val="single" w:sz="4" w:space="0" w:color="auto"/>
              <w:right w:val="single" w:sz="4" w:space="0" w:color="auto"/>
            </w:tcBorders>
            <w:vAlign w:val="center"/>
          </w:tcPr>
          <w:p w14:paraId="246CB94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top w:val="single" w:sz="24" w:space="0" w:color="auto"/>
              <w:left w:val="single" w:sz="4" w:space="0" w:color="auto"/>
              <w:right w:val="single" w:sz="4" w:space="0" w:color="auto"/>
            </w:tcBorders>
            <w:vAlign w:val="center"/>
          </w:tcPr>
          <w:p w14:paraId="7A0CE368"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top w:val="single" w:sz="24" w:space="0" w:color="auto"/>
              <w:left w:val="single" w:sz="4" w:space="0" w:color="auto"/>
            </w:tcBorders>
            <w:vAlign w:val="center"/>
          </w:tcPr>
          <w:p w14:paraId="5B7D0E5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3013D87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A941CA2" w14:textId="77777777" w:rsidR="00375D17" w:rsidRDefault="00375D17" w:rsidP="00530265">
            <w:proofErr w:type="spellStart"/>
            <w:r>
              <w:t>Pyrgelis</w:t>
            </w:r>
            <w:proofErr w:type="spellEnd"/>
            <w:r>
              <w:t xml:space="preserve"> </w:t>
            </w:r>
            <w:r>
              <w:rPr>
                <w:i/>
                <w:iCs/>
              </w:rPr>
              <w:t xml:space="preserve">et al </w:t>
            </w:r>
            <w:r w:rsidRPr="00433D95">
              <w:t>(</w:t>
            </w:r>
            <w:r>
              <w:t>2018)</w:t>
            </w:r>
            <w:r>
              <w:rPr>
                <w:i/>
                <w:iCs/>
              </w:rPr>
              <w:t xml:space="preserve"> </w:t>
            </w:r>
            <w:r>
              <w:rPr>
                <w:i/>
                <w:iCs/>
              </w:rPr>
              <w:fldChar w:fldCharType="begin"/>
            </w:r>
            <w:r>
              <w:rPr>
                <w:i/>
                <w:iCs/>
              </w:rPr>
              <w:instrText xml:space="preserve"> ADDIN ZOTERO_ITEM CSL_CITATION {"citationID":"RHExJWBp","properties":{"formattedCitation":"\\super 8\\nosupersub{}","plainCitation":"8","noteIndex":0},"citationItems":[{"id":329,"uris":["http://zotero.org/users/local/HJepGCSn/items/ASAKWP4A"],"itemData":{"id":329,"type":"paper-conference","abstract":"Aggregate location data is often used to support smart services and applications, e.g., generating live trafﬁc maps or predicting visits to businesses. In this paper, we present the ﬁrst study on the feasibility of membership inference attacks on aggregate location time-series. We introduce a game-based deﬁnition of the adversarial task, and cast it as a classiﬁcation problem where machine learning can be used to distinguish whether or not a target user is part of the aggregates.","container-title":"Proceedings 2018 Network and Distributed System Security Symposium","DOI":"10.14722/ndss.2018.23183","event-place":"San Diego, CA","event-title":"Network and Distributed System Security Symposium","ISBN":"978-1-891562-49-5","language":"en","publisher":"Internet Society","publisher-place":"San Diego, CA","source":"DOI.org (Crossref)","title":"Knock Knock, Who's There? Membership Inference on Aggregate Location Data","title-short":"Knock Knock, Who's There?","URL":"https://www.ndss-symposium.org/wp-content/uploads/2018/02/ndss2018_05B-5_Pyrgelis_paper.pdf","author":[{"family":"Pyrgelis","given":"Apostolos"},{"family":"Troncoso","given":"Carmela"},{"family":"Cristofaro","given":"Emiliano De"}],"accessed":{"date-parts":[["2022",8,4]]},"issued":{"date-parts":[["2018"]]}}}],"schema":"https://github.com/citation-style-language/schema/raw/master/csl-citation.json"} </w:instrText>
            </w:r>
            <w:r>
              <w:rPr>
                <w:i/>
                <w:iCs/>
              </w:rPr>
              <w:fldChar w:fldCharType="separate"/>
            </w:r>
            <w:r w:rsidRPr="0013485C">
              <w:rPr>
                <w:rFonts w:ascii="Calibri" w:hAnsi="Calibri" w:cs="Calibri"/>
                <w:szCs w:val="24"/>
                <w:vertAlign w:val="superscript"/>
              </w:rPr>
              <w:t>8</w:t>
            </w:r>
            <w:r>
              <w:rPr>
                <w:i/>
                <w:iCs/>
              </w:rPr>
              <w:fldChar w:fldCharType="end"/>
            </w:r>
          </w:p>
        </w:tc>
        <w:tc>
          <w:tcPr>
            <w:tcW w:w="234" w:type="dxa"/>
          </w:tcPr>
          <w:p w14:paraId="7F1B6A0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59C0C14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Transport for London; San Francisco Cabs</w:t>
            </w:r>
          </w:p>
        </w:tc>
        <w:tc>
          <w:tcPr>
            <w:tcW w:w="2702" w:type="dxa"/>
          </w:tcPr>
          <w:p w14:paraId="52C3962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Logistic Regression; k-Nearest Neighbours; Random Forest; Multilayer Perceptron</w:t>
            </w:r>
          </w:p>
        </w:tc>
        <w:tc>
          <w:tcPr>
            <w:tcW w:w="1808" w:type="dxa"/>
          </w:tcPr>
          <w:p w14:paraId="3463924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6AEFBEA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tc>
        <w:tc>
          <w:tcPr>
            <w:tcW w:w="233" w:type="dxa"/>
          </w:tcPr>
          <w:p w14:paraId="0A71049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2CCA40D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AUC; “Privacy Loss”</w:t>
            </w:r>
          </w:p>
        </w:tc>
        <w:tc>
          <w:tcPr>
            <w:tcW w:w="781" w:type="dxa"/>
            <w:tcBorders>
              <w:left w:val="single" w:sz="4" w:space="0" w:color="auto"/>
              <w:right w:val="single" w:sz="4" w:space="0" w:color="auto"/>
            </w:tcBorders>
            <w:vAlign w:val="center"/>
          </w:tcPr>
          <w:p w14:paraId="6625669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3DDB8C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2C07534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5C449778"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04631942" w14:textId="77777777" w:rsidR="00375D17" w:rsidRDefault="00375D17" w:rsidP="00530265">
            <w:r w:rsidRPr="003823B4">
              <w:t xml:space="preserve">Rahman </w:t>
            </w:r>
            <w:r w:rsidRPr="003823B4">
              <w:rPr>
                <w:i/>
                <w:iCs/>
              </w:rPr>
              <w:t>et al</w:t>
            </w:r>
            <w:r>
              <w:rPr>
                <w:i/>
                <w:iCs/>
              </w:rPr>
              <w:t xml:space="preserve"> </w:t>
            </w:r>
            <w:r w:rsidRPr="00433D95">
              <w:t>(2</w:t>
            </w:r>
            <w:r>
              <w:t>018)</w:t>
            </w:r>
            <w:r w:rsidRPr="003823B4">
              <w:rPr>
                <w:i/>
                <w:iCs/>
              </w:rPr>
              <w:t xml:space="preserve"> </w:t>
            </w:r>
            <w:r w:rsidRPr="003823B4">
              <w:rPr>
                <w:i/>
                <w:iCs/>
              </w:rPr>
              <w:fldChar w:fldCharType="begin"/>
            </w:r>
            <w:r>
              <w:rPr>
                <w:i/>
                <w:iCs/>
              </w:rPr>
              <w:instrText xml:space="preserve"> ADDIN ZOTERO_ITEM CSL_CITATION {"citationID":"ol4Ij9np","properties":{"formattedCitation":"\\super 9\\nosupersub{}","plainCitation":"9","noteIndex":0},"citationItems":[{"id":417,"uris":["http://zotero.org/users/local/HJepGCSn/items/LG2CA77U"],"itemData":{"id":417,"type":"article-journal","abstract":"The unprecedented success of deep learning is largely dependent on the availability of massive amount of training data. In many cases, these data are crowd-sourced and may contain sensitive and confidential information, therefore, pose privacy concerns. As a result, privacy-preserving deep learning has been gaining increasing focus nowadays. One of the promising approaches for privacy-preserving deep learning is to employ differential privacy during model training which aims to prevent the leakage of sensitive information about the training data via the trained model. While these models are considered to be immune to privacy attacks, with the advent of recent and sophisticated attack models, it is not clear how well these models trade-off utility for privacy. In this paper, we systematically study the impact of a sophisticated machine learning based privacy attack called the membership inference attack against a state-of-the-art differentially private deep model. More specifically, given a differentially private deep model with its associated utility, we investigate how much we can infer about the model's training data. Our experimental results show that differentially private deep models may keep their promise to provide privacy protection against strong adversaries by only offering poor model utility, while exhibit moderate vulnerability to the membership inference attack when they offer an acceptable utility. For evaluating our experiments, we use the CIFAR-10 and MNIST datasets and the corresponding classification tasks.","container-title":"Transactions on Data Privacy","ISSN":"1888-5063","issue":"1","journalAbbreviation":"Trans. Data Priv.","language":"English","note":"publisher-place: Madrid\npublisher: Inst Estudios Documentales Ciencia &amp; Tecnologia-Iedcyt\nWOS:000437104600004","page":"61-79","source":"Web of Science Nextgen","title":"Membership Inference Attack against Differentially Private Deep Learning Model","volume":"11","author":[{"family":"Rahman","given":"Md Atiqur"},{"family":"Rahman","given":"Tanzila"},{"family":"Laganiere","given":"Robert"},{"family":"Mohammed","given":"Noman"},{"family":"Wang","given":"Yang"}],"issued":{"date-parts":[["2018",4]]}}}],"schema":"https://github.com/citation-style-language/schema/raw/master/csl-citation.json"} </w:instrText>
            </w:r>
            <w:r w:rsidRPr="003823B4">
              <w:rPr>
                <w:i/>
                <w:iCs/>
              </w:rPr>
              <w:fldChar w:fldCharType="separate"/>
            </w:r>
            <w:r w:rsidRPr="0013485C">
              <w:rPr>
                <w:rFonts w:ascii="Calibri" w:hAnsi="Calibri" w:cs="Calibri"/>
                <w:szCs w:val="24"/>
                <w:vertAlign w:val="superscript"/>
              </w:rPr>
              <w:t>9</w:t>
            </w:r>
            <w:r w:rsidRPr="003823B4">
              <w:rPr>
                <w:i/>
                <w:iCs/>
              </w:rPr>
              <w:fldChar w:fldCharType="end"/>
            </w:r>
          </w:p>
        </w:tc>
        <w:tc>
          <w:tcPr>
            <w:tcW w:w="234" w:type="dxa"/>
          </w:tcPr>
          <w:p w14:paraId="68CCA0E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0D4603B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CIFAR-10; MNIST</w:t>
            </w:r>
          </w:p>
        </w:tc>
        <w:tc>
          <w:tcPr>
            <w:tcW w:w="2702" w:type="dxa"/>
          </w:tcPr>
          <w:p w14:paraId="5209E4C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 Deep Neural Network</w:t>
            </w:r>
          </w:p>
        </w:tc>
        <w:tc>
          <w:tcPr>
            <w:tcW w:w="1808" w:type="dxa"/>
          </w:tcPr>
          <w:p w14:paraId="609AFAA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348E369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tc>
        <w:tc>
          <w:tcPr>
            <w:tcW w:w="233" w:type="dxa"/>
          </w:tcPr>
          <w:p w14:paraId="4ED08CC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31B687C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F1-Score</w:t>
            </w:r>
          </w:p>
        </w:tc>
        <w:tc>
          <w:tcPr>
            <w:tcW w:w="781" w:type="dxa"/>
            <w:tcBorders>
              <w:left w:val="single" w:sz="4" w:space="0" w:color="auto"/>
              <w:right w:val="single" w:sz="4" w:space="0" w:color="auto"/>
            </w:tcBorders>
            <w:vAlign w:val="center"/>
          </w:tcPr>
          <w:p w14:paraId="428418C4"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60B6DC8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6236681A"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15F7DEE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4E73B142" w14:textId="77777777" w:rsidR="00375D17" w:rsidRDefault="00375D17" w:rsidP="00530265">
            <w:proofErr w:type="spellStart"/>
            <w:r>
              <w:t>Yeom</w:t>
            </w:r>
            <w:proofErr w:type="spellEnd"/>
            <w:r>
              <w:t xml:space="preserve"> </w:t>
            </w:r>
            <w:r>
              <w:rPr>
                <w:i/>
                <w:iCs/>
              </w:rPr>
              <w:t xml:space="preserve">et al </w:t>
            </w:r>
            <w:r w:rsidRPr="00433D95">
              <w:t>(</w:t>
            </w:r>
            <w:r>
              <w:t>2018)</w:t>
            </w:r>
            <w:r w:rsidRPr="003823B4">
              <w:rPr>
                <w:i/>
                <w:iCs/>
              </w:rPr>
              <w:t xml:space="preserve"> </w:t>
            </w:r>
            <w:r>
              <w:rPr>
                <w:i/>
                <w:iCs/>
              </w:rPr>
              <w:t xml:space="preserve"> </w:t>
            </w:r>
            <w:r>
              <w:rPr>
                <w:i/>
                <w:iCs/>
              </w:rPr>
              <w:fldChar w:fldCharType="begin"/>
            </w:r>
            <w:r>
              <w:rPr>
                <w:i/>
                <w:iCs/>
              </w:rPr>
              <w:instrText xml:space="preserve"> ADDIN ZOTERO_ITEM CSL_CITATION {"citationID":"dLaRl1GU","properties":{"formattedCitation":"\\super 10\\nosupersub{}","plainCitation":"10","noteIndex":0},"citationItems":[{"id":84,"uris":["http://zotero.org/users/local/HJepGCSn/items/SLC69FIK"],"itemData":{"id":84,"type":"paper-conference","abstract":"Machine learning algorithms, when applied to sensitive data, pose a distinct threat to privacy. A growing body of prior work demonstrates that models produced by these algorithms may leak specific private information in the training data to an attacker, either through the models' structure or their observable behavior. However, the underlying cause of this privacy risk is not well understood beyond a handful of anecdotal accounts that suggest overfitting and influence might play a role. This paper examines the effect that overfitting and influence have on the ability of an attacker to learn information about the training data from machine learning models, either through training set membership inference or attribute inference attacks. Using both formal and empirical analyses, we illustrate a clear relationship between these factors and the privacy risk that arises in several popular machine learning algorithms. We find that overfitting is sufficient to allow an attacker to perform membership inference and, when the target attribute meets certain conditions about its influence, attribute inference attacks. Interestingly, our formal analysis also shows that overfitting is not necessary for these attacks and begins to shed light on what other factors may be in play. Finally, we explore the connection between membership inference and attribute inference, showing that there are deep connections between the two that lead to effective new attacks.","container-title":"2018 IEEE 31st Computer Security Foundations Symposium (CSF)","DOI":"10.1109/CSF.2018.00027","event-title":"2018 IEEE 31st Computer Security Foundations Symposium (CSF)","note":"ISSN: 2374-8303","page":"268-282","source":"IEEE Xplore","title":"Privacy Risk in Machine Learning: Analyzing the Connection to Overfitting","title-short":"Privacy Risk in Machine Learning","author":[{"family":"Yeom","given":"Samuel"},{"family":"Giacomelli","given":"Irene"},{"family":"Fredrikson","given":"Matt"},{"family":"Jha","given":"Somesh"}],"issued":{"date-parts":[["2018",7]]}}}],"schema":"https://github.com/citation-style-language/schema/raw/master/csl-citation.json"} </w:instrText>
            </w:r>
            <w:r>
              <w:rPr>
                <w:i/>
                <w:iCs/>
              </w:rPr>
              <w:fldChar w:fldCharType="separate"/>
            </w:r>
            <w:r w:rsidRPr="0013485C">
              <w:rPr>
                <w:rFonts w:ascii="Calibri" w:hAnsi="Calibri" w:cs="Calibri"/>
                <w:szCs w:val="24"/>
                <w:vertAlign w:val="superscript"/>
              </w:rPr>
              <w:t>10</w:t>
            </w:r>
            <w:r>
              <w:rPr>
                <w:i/>
                <w:iCs/>
              </w:rPr>
              <w:fldChar w:fldCharType="end"/>
            </w:r>
          </w:p>
        </w:tc>
        <w:tc>
          <w:tcPr>
            <w:tcW w:w="234" w:type="dxa"/>
          </w:tcPr>
          <w:p w14:paraId="4764029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62C393D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roofErr w:type="spellStart"/>
            <w:r>
              <w:t>Eyedata</w:t>
            </w:r>
            <w:proofErr w:type="spellEnd"/>
            <w:r>
              <w:t>; IWPC; Netflix; MNIST; CIFAR-(10/100)</w:t>
            </w:r>
          </w:p>
        </w:tc>
        <w:tc>
          <w:tcPr>
            <w:tcW w:w="2702" w:type="dxa"/>
          </w:tcPr>
          <w:p w14:paraId="040AD80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2F0D436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2ADEAFB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3C08B4C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350C55A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Precision; Recall</w:t>
            </w:r>
          </w:p>
        </w:tc>
        <w:tc>
          <w:tcPr>
            <w:tcW w:w="781" w:type="dxa"/>
            <w:tcBorders>
              <w:left w:val="single" w:sz="4" w:space="0" w:color="auto"/>
              <w:right w:val="single" w:sz="4" w:space="0" w:color="auto"/>
            </w:tcBorders>
            <w:vAlign w:val="center"/>
          </w:tcPr>
          <w:p w14:paraId="353F4203"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6D42C1A"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24ACD86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1DA1EE24"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612E65A8" w14:textId="77777777" w:rsidR="00375D17" w:rsidRDefault="00375D17" w:rsidP="00530265">
            <w:r>
              <w:t xml:space="preserve">Nasr </w:t>
            </w:r>
            <w:r>
              <w:rPr>
                <w:i/>
                <w:iCs/>
              </w:rPr>
              <w:t xml:space="preserve">et al </w:t>
            </w:r>
            <w:r w:rsidRPr="00433D95">
              <w:t>(</w:t>
            </w:r>
            <w:r>
              <w:t>2018)</w:t>
            </w:r>
            <w:r w:rsidRPr="003823B4">
              <w:rPr>
                <w:i/>
                <w:iCs/>
              </w:rPr>
              <w:t xml:space="preserve"> </w:t>
            </w:r>
            <w:r>
              <w:rPr>
                <w:i/>
                <w:iCs/>
              </w:rPr>
              <w:t xml:space="preserve"> </w:t>
            </w:r>
            <w:r>
              <w:rPr>
                <w:i/>
                <w:iCs/>
              </w:rPr>
              <w:fldChar w:fldCharType="begin"/>
            </w:r>
            <w:r>
              <w:rPr>
                <w:i/>
                <w:iCs/>
              </w:rPr>
              <w:instrText xml:space="preserve"> ADDIN ZOTERO_ITEM CSL_CITATION {"citationID":"MlLMC2o8","properties":{"formattedCitation":"\\super 11\\nosupersub{}","plainCitation":"11","noteIndex":0},"citationItems":[{"id":467,"uris":["http://zotero.org/users/local/HJepGCSn/items/ADKW4A4G"],"itemData":{"id":467,"type":"paper-conference","abstract":"Machine learning models leak significant amount of information about their training sets, through their predictions. This is a serious privacy concern for the users of machine learning as a service. To address this concern, in this paper, we focus on mitigating the risks of black-box inference attacks against machine learning models. We introduce a mechanism to train models with membership privacy, which ensures indistinguishability between the predictions of a model on its training data and other data points (from the same distribution). This requires minimizing the accuracy of the best black-box membership inference attack against the model. We formalize this as a min-max game, and design an adversarial training algorithm that minimizes the prediction loss of the model as well as the maximum gain of the inference attacks. This strategy, which can guarantee membership privacy (as prediction indistinguishability), acts also as a strong regularizer and helps generalizing the model. We evaluate the practical feasibility of our privacy mechanism on training deep neural networks using benchmark datasets. We show that the min-max strategy can mitigate the risks of membership inference attacks (near random guess), and can achieve this with a negligible drop in the model's prediction accuracy (less than 4%).","collection-title":"CCS '18","container-title":"Proceedings of the 2018 ACM SIGSAC Conference on Computer and Communications Security","DOI":"10.1145/3243734.3243855","event-place":"New York, NY, USA","ISBN":"978-1-4503-5693-0","page":"634–646","publisher":"Association for Computing Machinery","publisher-place":"New York, NY, USA","source":"ACM Digital Library","title":"Machine Learning with Membership Privacy using Adversarial Regularization","URL":"https://doi.org/10.1145/3243734.3243855","author":[{"family":"Nasr","given":"Milad"},{"family":"Shokri","given":"Reza"},{"family":"Houmansadr","given":"Amir"}],"accessed":{"date-parts":[["2022",8,4]]},"issued":{"date-parts":[["2018",10,15]]}},"label":"page"}],"schema":"https://github.com/citation-style-language/schema/raw/master/csl-citation.json"} </w:instrText>
            </w:r>
            <w:r>
              <w:rPr>
                <w:i/>
                <w:iCs/>
              </w:rPr>
              <w:fldChar w:fldCharType="separate"/>
            </w:r>
            <w:r w:rsidRPr="0013485C">
              <w:rPr>
                <w:rFonts w:ascii="Calibri" w:hAnsi="Calibri" w:cs="Calibri"/>
                <w:szCs w:val="24"/>
                <w:vertAlign w:val="superscript"/>
              </w:rPr>
              <w:t>11</w:t>
            </w:r>
            <w:r>
              <w:rPr>
                <w:i/>
                <w:iCs/>
              </w:rPr>
              <w:fldChar w:fldCharType="end"/>
            </w:r>
          </w:p>
        </w:tc>
        <w:tc>
          <w:tcPr>
            <w:tcW w:w="234" w:type="dxa"/>
          </w:tcPr>
          <w:p w14:paraId="4BFECAE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08BAD6D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Texas-100; Purchase-100; CIFAR-100</w:t>
            </w:r>
          </w:p>
        </w:tc>
        <w:tc>
          <w:tcPr>
            <w:tcW w:w="2702" w:type="dxa"/>
          </w:tcPr>
          <w:p w14:paraId="02D09E3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 Convolutional Neural Network</w:t>
            </w:r>
          </w:p>
        </w:tc>
        <w:tc>
          <w:tcPr>
            <w:tcW w:w="1808" w:type="dxa"/>
          </w:tcPr>
          <w:p w14:paraId="18519E7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0E38D47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353C6BB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69FC4C8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0F11A29B"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297BE92"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0276AB9A"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68403F9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6839A196" w14:textId="77777777" w:rsidR="00375D17" w:rsidRDefault="00375D17" w:rsidP="00530265">
            <w:r>
              <w:t xml:space="preserve">Liu </w:t>
            </w:r>
            <w:r>
              <w:rPr>
                <w:i/>
                <w:iCs/>
              </w:rPr>
              <w:t xml:space="preserve">et al </w:t>
            </w:r>
            <w:r w:rsidRPr="00433D95">
              <w:t>(</w:t>
            </w:r>
            <w:r>
              <w:t>2019)</w:t>
            </w:r>
            <w:r w:rsidRPr="003823B4">
              <w:rPr>
                <w:i/>
                <w:iCs/>
              </w:rPr>
              <w:t xml:space="preserve"> </w:t>
            </w:r>
            <w:r>
              <w:rPr>
                <w:i/>
                <w:iCs/>
              </w:rPr>
              <w:t xml:space="preserve"> </w:t>
            </w:r>
            <w:r>
              <w:rPr>
                <w:i/>
                <w:iCs/>
              </w:rPr>
              <w:fldChar w:fldCharType="begin"/>
            </w:r>
            <w:r>
              <w:rPr>
                <w:i/>
                <w:iCs/>
              </w:rPr>
              <w:instrText xml:space="preserve"> ADDIN ZOTERO_ITEM CSL_CITATION {"citationID":"X0htAnaB","properties":{"formattedCitation":"\\super 12\\nosupersub{}","plainCitation":"12","noteIndex":0},"citationItems":[{"id":451,"uris":["http://zotero.org/users/local/HJepGCSn/items/CUBPTFCM"],"itemData":{"id":451,"type":"paper-conference","abstract":"In this paper we propose a new membership attack method called co-membership attacks against deep generative models including Variational Autoencoders (VAEs) and Generative Adversarial Networks (GANs). Specifically, membership attack aims to check whether a given instance x was used in the training data or not. A co-membership attack checks whether the given bundle of n instances were in the training, with the prior knowledge that the bundle was either entirely used in the training or none at all. Successful membership attacks can compromise the privacy of training data when the generative model is published. Our main idea is to cast membership inference of target data x as the optimization of another neural network (called the attacker network) to search for the latent encoding to reproduce x. The final reconstruction error is used directly to conclude whether x was in the training data or not. We conduct extensive experiments on a variety of datasets and generative models showing that: our attacker network outperforms prior membership attacks; co-membership attacks can be substantially more powerful than single attacks; and VAEs are more susceptible to membership attacks compared to GANs.","container-title":"2019 IEEE International Conference on Data Mining (ICDM)","DOI":"10.1109/ICDM.2019.00056","event-title":"2019 IEEE International Conference on Data Mining (ICDM)","note":"ISSN: 2374-8486","page":"459-467","source":"IEEE Xplore","title":"Performing Co-membership Attacks Against Deep Generative Models","author":[{"family":"Liu","given":"Kin Sum"},{"family":"Xiao","given":"Chaowei"},{"family":"Li","given":"Bo"},{"family":"Gao","given":"Jie"}],"issued":{"date-parts":[["2019",11]]}}}],"schema":"https://github.com/citation-style-language/schema/raw/master/csl-citation.json"} </w:instrText>
            </w:r>
            <w:r>
              <w:rPr>
                <w:i/>
                <w:iCs/>
              </w:rPr>
              <w:fldChar w:fldCharType="separate"/>
            </w:r>
            <w:r w:rsidRPr="0013485C">
              <w:rPr>
                <w:rFonts w:ascii="Calibri" w:hAnsi="Calibri" w:cs="Calibri"/>
                <w:szCs w:val="24"/>
                <w:vertAlign w:val="superscript"/>
              </w:rPr>
              <w:t>12</w:t>
            </w:r>
            <w:r>
              <w:rPr>
                <w:i/>
                <w:iCs/>
              </w:rPr>
              <w:fldChar w:fldCharType="end"/>
            </w:r>
          </w:p>
        </w:tc>
        <w:tc>
          <w:tcPr>
            <w:tcW w:w="234" w:type="dxa"/>
          </w:tcPr>
          <w:p w14:paraId="05F8E56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3885D8E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MNIST; </w:t>
            </w:r>
            <w:proofErr w:type="spellStart"/>
            <w:r>
              <w:t>CelebA</w:t>
            </w:r>
            <w:proofErr w:type="spellEnd"/>
            <w:r>
              <w:t>; ChestX-ray8</w:t>
            </w:r>
          </w:p>
        </w:tc>
        <w:tc>
          <w:tcPr>
            <w:tcW w:w="2702" w:type="dxa"/>
          </w:tcPr>
          <w:p w14:paraId="01DE845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Generative Adversarial Network; Variational Autoencoders</w:t>
            </w:r>
          </w:p>
        </w:tc>
        <w:tc>
          <w:tcPr>
            <w:tcW w:w="1808" w:type="dxa"/>
          </w:tcPr>
          <w:p w14:paraId="5086B09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Generative</w:t>
            </w:r>
          </w:p>
        </w:tc>
        <w:tc>
          <w:tcPr>
            <w:tcW w:w="1407" w:type="dxa"/>
          </w:tcPr>
          <w:p w14:paraId="5A31DEF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tc>
        <w:tc>
          <w:tcPr>
            <w:tcW w:w="233" w:type="dxa"/>
          </w:tcPr>
          <w:p w14:paraId="46444EA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45892B3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AUC</w:t>
            </w:r>
          </w:p>
        </w:tc>
        <w:tc>
          <w:tcPr>
            <w:tcW w:w="781" w:type="dxa"/>
            <w:tcBorders>
              <w:left w:val="single" w:sz="4" w:space="0" w:color="auto"/>
              <w:right w:val="single" w:sz="4" w:space="0" w:color="auto"/>
            </w:tcBorders>
            <w:vAlign w:val="center"/>
          </w:tcPr>
          <w:p w14:paraId="3A4C9834"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2777E2F3"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3D4A58D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18CB3A40"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03D5A416" w14:textId="77777777" w:rsidR="00375D17" w:rsidRDefault="00375D17" w:rsidP="00530265">
            <w:r>
              <w:t xml:space="preserve">Song </w:t>
            </w:r>
            <w:r>
              <w:rPr>
                <w:i/>
                <w:iCs/>
              </w:rPr>
              <w:t xml:space="preserve">et al </w:t>
            </w:r>
            <w:r w:rsidRPr="00433D95">
              <w:t>(</w:t>
            </w:r>
            <w:r>
              <w:t>2019)</w:t>
            </w:r>
            <w:r>
              <w:rPr>
                <w:i/>
                <w:iCs/>
              </w:rPr>
              <w:t xml:space="preserve"> </w:t>
            </w:r>
            <w:r>
              <w:rPr>
                <w:i/>
                <w:iCs/>
              </w:rPr>
              <w:fldChar w:fldCharType="begin"/>
            </w:r>
            <w:r>
              <w:rPr>
                <w:i/>
                <w:iCs/>
              </w:rPr>
              <w:instrText xml:space="preserve"> ADDIN ZOTERO_ITEM CSL_CITATION {"citationID":"JKqNy1In","properties":{"formattedCitation":"\\super 13\\nosupersub{}","plainCitation":"13","noteIndex":0},"citationItems":[{"id":445,"uris":["http://zotero.org/users/local/HJepGCSn/items/23D8X3PK"],"itemData":{"id":445,"type":"paper-conference","abstract":"The arms race between attacks and defenses for machine learning models has come to a forefront in recent years, in both the security community and the privacy community. However, one big limitation of previous research is that the security domain and the privacy domain have typically been considered separately. It is thus unclear whether the defense methods in one domain will have any unexpected impact on the other domain. In this paper, we take a step towards resolving this limitation by combining the two domains. In particular, we measure the success of membership inference attacks against six state-of-the-art defense methods that mitigate the risk of adversarial examples (i.e., evasion attacks). Membership inference attacks determine whether or not an individual data record has been part of a model's training set. The accuracy of such attacks reflects the information leakage of training algorithms about individual members of the training set. Adversarial defense methods against adversarial examples influence the model's decision boundaries such that model predictions remain unchanged for a small area around each input. However, this objective is optimized on training data. Thus, individual data records in the training set have a significant influence on robust models. This makes the models more vulnerable to inference attacks. To perform the membership inference attacks, we leverage the existing inference methods that exploit model predictions. We also propose two new inference methods that exploit structural properties of robust models on adversarially perturbed data. Our experimental evaluation demonstrates that compared with the natural training (undefended) approach, adversarial defense methods can indeed increase the target model's risk against membership inference attacks. When using adversarial defenses to train the robust models, the membership inference advantage increases by up to 4.5 times compared to the naturally undefended models. Beyond revealing the privacy risks of adversarial defenses, we further investigate the factors, such as model capacity, that influence the membership information leakage.","collection-title":"CCS '19","container-title":"Proceedings of the 2019 ACM SIGSAC Conference on Computer and Communications Security","DOI":"10.1145/3319535.3354211","event-place":"New York, NY, USA","ISBN":"978-1-4503-6747-9","page":"241–257","publisher":"Association for Computing Machinery","publisher-place":"New York, NY, USA","source":"ACM Digital Library","title":"Privacy Risks of Securing Machine Learning Models against Adversarial Examples","URL":"https://doi.org/10.1145/3319535.3354211","author":[{"family":"Song","given":"Liwei"},{"family":"Shokri","given":"Reza"},{"family":"Mittal","given":"Prateek"}],"accessed":{"date-parts":[["2022",8,4]]},"issued":{"date-parts":[["2019",11,6]]}},"label":"page"}],"schema":"https://github.com/citation-style-language/schema/raw/master/csl-citation.json"} </w:instrText>
            </w:r>
            <w:r>
              <w:rPr>
                <w:i/>
                <w:iCs/>
              </w:rPr>
              <w:fldChar w:fldCharType="separate"/>
            </w:r>
            <w:r w:rsidRPr="0013485C">
              <w:rPr>
                <w:rFonts w:ascii="Calibri" w:hAnsi="Calibri" w:cs="Calibri"/>
                <w:szCs w:val="24"/>
                <w:vertAlign w:val="superscript"/>
              </w:rPr>
              <w:t>13</w:t>
            </w:r>
            <w:r>
              <w:rPr>
                <w:i/>
                <w:iCs/>
              </w:rPr>
              <w:fldChar w:fldCharType="end"/>
            </w:r>
          </w:p>
        </w:tc>
        <w:tc>
          <w:tcPr>
            <w:tcW w:w="234" w:type="dxa"/>
          </w:tcPr>
          <w:p w14:paraId="360493F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68AE535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Yale Face; Fashion-MNIST; CIFAR-10</w:t>
            </w:r>
          </w:p>
        </w:tc>
        <w:tc>
          <w:tcPr>
            <w:tcW w:w="2702" w:type="dxa"/>
          </w:tcPr>
          <w:p w14:paraId="02C0D35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3A780E5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2ACBDF4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6A40867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4872A85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71B10524"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2F1F39BA"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5BF673F4"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6522091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47865E39" w14:textId="77777777" w:rsidR="00375D17" w:rsidRDefault="00375D17" w:rsidP="00530265">
            <w:proofErr w:type="spellStart"/>
            <w:r>
              <w:t>Irolla</w:t>
            </w:r>
            <w:proofErr w:type="spellEnd"/>
            <w:r>
              <w:t xml:space="preserve"> &amp; </w:t>
            </w:r>
            <w:proofErr w:type="spellStart"/>
            <w:r>
              <w:t>Chatel</w:t>
            </w:r>
            <w:proofErr w:type="spellEnd"/>
            <w:r>
              <w:t xml:space="preserve"> </w:t>
            </w:r>
            <w:r w:rsidRPr="00433D95">
              <w:t>(</w:t>
            </w:r>
            <w:r>
              <w:t>2019)</w:t>
            </w:r>
            <w:r w:rsidRPr="003823B4">
              <w:rPr>
                <w:i/>
                <w:iCs/>
              </w:rPr>
              <w:t xml:space="preserve"> </w:t>
            </w:r>
            <w:r>
              <w:t xml:space="preserve"> </w:t>
            </w:r>
            <w:r>
              <w:fldChar w:fldCharType="begin"/>
            </w:r>
            <w:r>
              <w:instrText xml:space="preserve"> ADDIN ZOTERO_ITEM CSL_CITATION {"citationID":"tXwUBpTn","properties":{"formattedCitation":"\\super 14\\nosupersub{}","plainCitation":"14","noteIndex":0},"citationItems":[{"id":405,"uris":["http://zotero.org/users/local/HJepGCSn/items/D6BZSDRU"],"itemData":{"id":405,"type":"paper-conference","abstract":"The Membership Inference Attack (MIA) is the process of determining whether a sample comes from the training dataset (in) of a machine learning model or not (out). This attack makes use of a trained machine learning to expose confidential information about its training data. It is particularly alarming in cases where data is tightly linked to individuals like in the medical, financial and marketing domains. The underlying factors of the success of MIA are not well understood. The current theory explains its success by the difference in the confidence levels for in samples and out samples. In this article, we show that the confidence levels play little to no role in the MIA success in most of the cases. We propose a more general theory that explains previous results and some unexpected observations that have been made in the state-of-the-art. To back up our theory, we run MIA experiments on MNIST, CIFAR-10 and Fashion-MNIST.","container-title":"2019 12th Cmi Conference on Cybersecurity and Privacy (cmi)","event-place":"New York","ISBN":"978-1-72812-856-6","language":"English","note":"WOS:000540917000001","page":"1-7","publisher":"Ieee","publisher-place":"New York","source":"Web of Science Nextgen","title":"Demystifying the Membership Inference Attack","URL":"http://www.webofscience.com/wos/woscc/full-record/WOS:000540917000001","author":[{"family":"Irolla","given":"Paul"},{"family":"Chatel","given":"Gregory"}],"accessed":{"date-parts":[["2022",8,4]]},"issued":{"date-parts":[["2019"]]}}}],"schema":"https://github.com/citation-style-language/schema/raw/master/csl-citation.json"} </w:instrText>
            </w:r>
            <w:r>
              <w:fldChar w:fldCharType="separate"/>
            </w:r>
            <w:r w:rsidRPr="0013485C">
              <w:rPr>
                <w:rFonts w:ascii="Calibri" w:hAnsi="Calibri" w:cs="Calibri"/>
                <w:szCs w:val="24"/>
                <w:vertAlign w:val="superscript"/>
              </w:rPr>
              <w:t>14</w:t>
            </w:r>
            <w:r>
              <w:fldChar w:fldCharType="end"/>
            </w:r>
          </w:p>
        </w:tc>
        <w:tc>
          <w:tcPr>
            <w:tcW w:w="234" w:type="dxa"/>
          </w:tcPr>
          <w:p w14:paraId="08D99AA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1F0EF2B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CIFAR-10; </w:t>
            </w:r>
            <w:proofErr w:type="gramStart"/>
            <w:r>
              <w:t>MNIST;</w:t>
            </w:r>
            <w:proofErr w:type="gramEnd"/>
          </w:p>
          <w:p w14:paraId="1B829F4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Fashion MNIST</w:t>
            </w:r>
          </w:p>
        </w:tc>
        <w:tc>
          <w:tcPr>
            <w:tcW w:w="2702" w:type="dxa"/>
          </w:tcPr>
          <w:p w14:paraId="7D25ABE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29419F5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558A39A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32D270D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4E40CD2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270AA569"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5E7883F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506C4864"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4577986C"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65C43669" w14:textId="77777777" w:rsidR="00375D17" w:rsidRDefault="00375D17" w:rsidP="00530265">
            <w:r>
              <w:t xml:space="preserve">Hayes </w:t>
            </w:r>
            <w:r>
              <w:rPr>
                <w:i/>
                <w:iCs/>
              </w:rPr>
              <w:t xml:space="preserve">et al </w:t>
            </w:r>
            <w:r w:rsidRPr="00433D95">
              <w:t>(</w:t>
            </w:r>
            <w:r>
              <w:t>2019)</w:t>
            </w:r>
            <w:r>
              <w:rPr>
                <w:i/>
                <w:iCs/>
              </w:rPr>
              <w:t xml:space="preserve"> </w:t>
            </w:r>
            <w:r>
              <w:rPr>
                <w:i/>
                <w:iCs/>
              </w:rPr>
              <w:fldChar w:fldCharType="begin"/>
            </w:r>
            <w:r>
              <w:rPr>
                <w:i/>
                <w:iCs/>
              </w:rPr>
              <w:instrText xml:space="preserve"> ADDIN ZOTERO_ITEM CSL_CITATION {"citationID":"nHPtSwrs","properties":{"formattedCitation":"\\super 15\\nosupersub{}","plainCitation":"15","noteIndex":0},"citationItems":[{"id":734,"uris":["http://zotero.org/users/local/HJepGCSn/items/YSQYQBH4"],"itemData":{"id":734,"type":"article","abstract":"Generative models estimate the underlying distribution of a dataset to generate realistic samples according to that distribution. In this paper, we present the first membership inference attacks against generative models: given a data point, the adversary determines whether or not it was used to train the model. Our attacks leverage Generative Adversarial Networks (GANs), which combine a discriminative and a generative model, to detect overfitting and recognize inputs that were part of training datasets, using the discriminator's capacity to learn statistical differences in distributions. We present attacks based on both white-box and black-box access to the target model, against several state-of-the-art generative models, over datasets of complex representations of faces (LFW), objects (CIFAR-10), and medical images (Diabetic Retinopathy). We also discuss the sensitivity of the attacks to different training parameters, and their robustness against mitigation strategies, finding that defenses are either ineffective or lead to significantly worse performances of the generative models in terms of training stability and/or sample quality.","note":"arXiv:1705.07663 [cs]","number":"arXiv:1705.07663","publisher":"arXiv","source":"arXiv.org","title":"LOGAN: Membership Inference Attacks Against Generative Models","title-short":"LOGAN","URL":"http://arxiv.org/abs/1705.07663","author":[{"family":"Hayes","given":"Jamie"},{"family":"Melis","given":"Luca"},{"family":"Danezis","given":"George"},{"family":"De Cristofaro","given":"Emiliano"}],"accessed":{"date-parts":[["2022",9,26]]},"issued":{"date-parts":[["2018",8,21]]}}}],"schema":"https://github.com/citation-style-language/schema/raw/master/csl-citation.json"} </w:instrText>
            </w:r>
            <w:r>
              <w:rPr>
                <w:i/>
                <w:iCs/>
              </w:rPr>
              <w:fldChar w:fldCharType="separate"/>
            </w:r>
            <w:r w:rsidRPr="0013485C">
              <w:rPr>
                <w:rFonts w:ascii="Calibri" w:hAnsi="Calibri" w:cs="Calibri"/>
                <w:szCs w:val="24"/>
                <w:vertAlign w:val="superscript"/>
              </w:rPr>
              <w:t>15</w:t>
            </w:r>
            <w:r>
              <w:rPr>
                <w:i/>
                <w:iCs/>
              </w:rPr>
              <w:fldChar w:fldCharType="end"/>
            </w:r>
          </w:p>
        </w:tc>
        <w:tc>
          <w:tcPr>
            <w:tcW w:w="234" w:type="dxa"/>
          </w:tcPr>
          <w:p w14:paraId="33683FA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415F880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Labeled Faces in the Wild; CIFAR-10; Diabetic Retinopathy</w:t>
            </w:r>
          </w:p>
        </w:tc>
        <w:tc>
          <w:tcPr>
            <w:tcW w:w="2702" w:type="dxa"/>
          </w:tcPr>
          <w:p w14:paraId="08F2F0A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 Generative Adversarial Network; Variational Autoencoders</w:t>
            </w:r>
          </w:p>
        </w:tc>
        <w:tc>
          <w:tcPr>
            <w:tcW w:w="1808" w:type="dxa"/>
          </w:tcPr>
          <w:p w14:paraId="6B07FF2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2CD460F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6A99EAC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2DD0D3D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3F5AFEF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20F46E9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C42C84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0909511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10D79C4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181F3743" w14:textId="77777777" w:rsidR="00375D17" w:rsidRDefault="00375D17" w:rsidP="00530265">
            <w:proofErr w:type="spellStart"/>
            <w:r>
              <w:t>Hilprecht</w:t>
            </w:r>
            <w:proofErr w:type="spellEnd"/>
            <w:r>
              <w:t xml:space="preserve"> </w:t>
            </w:r>
            <w:r>
              <w:rPr>
                <w:i/>
                <w:iCs/>
              </w:rPr>
              <w:t xml:space="preserve">et al </w:t>
            </w:r>
            <w:r w:rsidRPr="00433D95">
              <w:t>(</w:t>
            </w:r>
            <w:r>
              <w:t>2019)</w:t>
            </w:r>
            <w:r>
              <w:rPr>
                <w:i/>
                <w:iCs/>
              </w:rPr>
              <w:t xml:space="preserve"> </w:t>
            </w:r>
            <w:r>
              <w:rPr>
                <w:i/>
                <w:iCs/>
              </w:rPr>
              <w:fldChar w:fldCharType="begin"/>
            </w:r>
            <w:r>
              <w:rPr>
                <w:i/>
                <w:iCs/>
              </w:rPr>
              <w:instrText xml:space="preserve"> ADDIN ZOTERO_ITEM CSL_CITATION {"citationID":"g7zyw6th","properties":{"formattedCitation":"\\super 16\\nosupersub{}","plainCitation":"16","noteIndex":0},"citationItems":[{"id":738,"uris":["http://zotero.org/users/local/HJepGCSn/items/M4P3G2GK"],"itemData":{"id":738,"type":"article-journal","abstract":"We present two information leakage attacks that outperform previous work on membership inference against generative models. The ﬁrst attack allows membership inference without assumptions on the type of the generative model. Contrary to previous evaluation metrics for generative models, like Kernel Density Estimation, it only considers samples of the model which are close to training data records. The second attack speciﬁcally targets Variational Autoencoders, achieving high membership inference accuracy. Furthermore, previous work mostly considers membership inference adversaries who perform single record membership inference. We argue for considering regulatory actors who perform set membership inference to identify the use of speciﬁc datasets for training. The attacks are evaluated on two generative model architectures, Generative Adversarial Networks (GANs) and Variational Autoencoders (VAEs), trained on standard image datasets. Our results show that the two attacks yield success rates superior to previous work on most data sets while at the same time having only very mild assumptions. We envision the two attacks in combination with the membership inference attack type formalization as especially useful. For example, to enforce data privacy standards and automatically assessing model quality in machine learning as a service setups. In practice, our work motivates the use of GANs since they prove less vulnerable against information leakage attacks while producing detailed samples.","container-title":"Proceedings on Privacy Enhancing Technologies","DOI":"10.2478/popets-2019-0067","ISSN":"2299-0984","issue":"4","language":"en","page":"232-249","source":"DOI.org (Crossref)","title":"Monte Carlo and Reconstruction Membership Inference Attacks against Generative Models","volume":"2019","author":[{"family":"Hilprecht","given":"Benjamin"},{"family":"Härterich","given":"Martin"},{"family":"Bernau","given":"Daniel"}],"issued":{"date-parts":[["2019",10,1]]}}}],"schema":"https://github.com/citation-style-language/schema/raw/master/csl-citation.json"} </w:instrText>
            </w:r>
            <w:r>
              <w:rPr>
                <w:i/>
                <w:iCs/>
              </w:rPr>
              <w:fldChar w:fldCharType="separate"/>
            </w:r>
            <w:r w:rsidRPr="0013485C">
              <w:rPr>
                <w:rFonts w:ascii="Calibri" w:hAnsi="Calibri" w:cs="Calibri"/>
                <w:szCs w:val="24"/>
                <w:vertAlign w:val="superscript"/>
              </w:rPr>
              <w:t>16</w:t>
            </w:r>
            <w:r>
              <w:rPr>
                <w:i/>
                <w:iCs/>
              </w:rPr>
              <w:fldChar w:fldCharType="end"/>
            </w:r>
          </w:p>
        </w:tc>
        <w:tc>
          <w:tcPr>
            <w:tcW w:w="234" w:type="dxa"/>
          </w:tcPr>
          <w:p w14:paraId="0097B88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578E7C1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MNIST; Fashion MNIST; CIFAR-10</w:t>
            </w:r>
          </w:p>
        </w:tc>
        <w:tc>
          <w:tcPr>
            <w:tcW w:w="2702" w:type="dxa"/>
          </w:tcPr>
          <w:p w14:paraId="103C4E6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Generative Adversarial Network; Variational Autoencoders</w:t>
            </w:r>
          </w:p>
          <w:p w14:paraId="7498EA5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808" w:type="dxa"/>
          </w:tcPr>
          <w:p w14:paraId="2962B71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Generative</w:t>
            </w:r>
          </w:p>
        </w:tc>
        <w:tc>
          <w:tcPr>
            <w:tcW w:w="1407" w:type="dxa"/>
          </w:tcPr>
          <w:p w14:paraId="4B15C82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p w14:paraId="1DABD31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63CCD95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44B9BD5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24A25075"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1F570C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3FF40E5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rsidRPr="00443DC9" w14:paraId="3EAECB32" w14:textId="77777777" w:rsidTr="00530265">
        <w:tc>
          <w:tcPr>
            <w:cnfStyle w:val="001000000000" w:firstRow="0" w:lastRow="0" w:firstColumn="1" w:lastColumn="0" w:oddVBand="0" w:evenVBand="0" w:oddHBand="0" w:evenHBand="0" w:firstRowFirstColumn="0" w:firstRowLastColumn="0" w:lastRowFirstColumn="0" w:lastRowLastColumn="0"/>
            <w:tcW w:w="2329" w:type="dxa"/>
            <w:vMerge w:val="restart"/>
            <w:tcBorders>
              <w:top w:val="single" w:sz="24" w:space="0" w:color="auto"/>
            </w:tcBorders>
          </w:tcPr>
          <w:p w14:paraId="3A92BA10" w14:textId="77777777" w:rsidR="00375D17" w:rsidRPr="00443DC9" w:rsidRDefault="00375D17" w:rsidP="00530265">
            <w:pPr>
              <w:rPr>
                <w:b w:val="0"/>
                <w:bCs w:val="0"/>
                <w:sz w:val="24"/>
                <w:szCs w:val="24"/>
              </w:rPr>
            </w:pPr>
          </w:p>
          <w:p w14:paraId="29F8DE17" w14:textId="77777777" w:rsidR="00375D17" w:rsidRPr="00443DC9" w:rsidRDefault="00375D17" w:rsidP="00530265">
            <w:pPr>
              <w:rPr>
                <w:b w:val="0"/>
                <w:bCs w:val="0"/>
                <w:sz w:val="24"/>
                <w:szCs w:val="24"/>
              </w:rPr>
            </w:pPr>
          </w:p>
          <w:p w14:paraId="4B6CEFDF" w14:textId="77777777" w:rsidR="00375D17" w:rsidRPr="00443DC9" w:rsidRDefault="00375D17" w:rsidP="00530265">
            <w:pPr>
              <w:rPr>
                <w:sz w:val="24"/>
                <w:szCs w:val="24"/>
              </w:rPr>
            </w:pPr>
            <w:r w:rsidRPr="00443DC9">
              <w:rPr>
                <w:sz w:val="24"/>
                <w:szCs w:val="24"/>
              </w:rPr>
              <w:t>Authors (Year)</w:t>
            </w:r>
          </w:p>
        </w:tc>
        <w:tc>
          <w:tcPr>
            <w:tcW w:w="234" w:type="dxa"/>
            <w:tcBorders>
              <w:top w:val="single" w:sz="24" w:space="0" w:color="auto"/>
            </w:tcBorders>
          </w:tcPr>
          <w:p w14:paraId="2D3B1DD9"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sz w:val="24"/>
                <w:szCs w:val="24"/>
              </w:rPr>
            </w:pPr>
          </w:p>
        </w:tc>
        <w:tc>
          <w:tcPr>
            <w:tcW w:w="8050" w:type="dxa"/>
            <w:gridSpan w:val="4"/>
            <w:tcBorders>
              <w:top w:val="single" w:sz="24" w:space="0" w:color="auto"/>
            </w:tcBorders>
          </w:tcPr>
          <w:p w14:paraId="4FF4CD85"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Setting</w:t>
            </w:r>
          </w:p>
        </w:tc>
        <w:tc>
          <w:tcPr>
            <w:tcW w:w="233" w:type="dxa"/>
            <w:tcBorders>
              <w:top w:val="single" w:sz="24" w:space="0" w:color="auto"/>
              <w:bottom w:val="nil"/>
            </w:tcBorders>
          </w:tcPr>
          <w:p w14:paraId="7D7D504A"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p>
        </w:tc>
        <w:tc>
          <w:tcPr>
            <w:tcW w:w="4083" w:type="dxa"/>
            <w:gridSpan w:val="4"/>
            <w:tcBorders>
              <w:top w:val="single" w:sz="24" w:space="0" w:color="auto"/>
              <w:bottom w:val="single" w:sz="12" w:space="0" w:color="auto"/>
            </w:tcBorders>
            <w:vAlign w:val="center"/>
          </w:tcPr>
          <w:p w14:paraId="4B7E1314"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Performance</w:t>
            </w:r>
          </w:p>
        </w:tc>
      </w:tr>
      <w:tr w:rsidR="00375D17" w:rsidRPr="00443DC9" w14:paraId="0DA6EB0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tcBorders>
              <w:bottom w:val="single" w:sz="24" w:space="0" w:color="auto"/>
            </w:tcBorders>
          </w:tcPr>
          <w:p w14:paraId="52B60A57" w14:textId="77777777" w:rsidR="00375D17" w:rsidRPr="00443DC9" w:rsidRDefault="00375D17" w:rsidP="00530265">
            <w:pPr>
              <w:rPr>
                <w:b w:val="0"/>
                <w:bCs w:val="0"/>
                <w:sz w:val="24"/>
                <w:szCs w:val="24"/>
              </w:rPr>
            </w:pPr>
          </w:p>
        </w:tc>
        <w:tc>
          <w:tcPr>
            <w:tcW w:w="234" w:type="dxa"/>
            <w:tcBorders>
              <w:bottom w:val="single" w:sz="24" w:space="0" w:color="auto"/>
            </w:tcBorders>
            <w:shd w:val="clear" w:color="auto" w:fill="FFFFFF" w:themeFill="background1"/>
          </w:tcPr>
          <w:p w14:paraId="2CB788E5"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2133" w:type="dxa"/>
            <w:tcBorders>
              <w:top w:val="single" w:sz="12" w:space="0" w:color="auto"/>
              <w:bottom w:val="single" w:sz="24" w:space="0" w:color="auto"/>
            </w:tcBorders>
            <w:shd w:val="clear" w:color="auto" w:fill="FFFFFF" w:themeFill="background1"/>
            <w:vAlign w:val="bottom"/>
          </w:tcPr>
          <w:p w14:paraId="180B7224"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Training Dataset(s)</w:t>
            </w:r>
          </w:p>
        </w:tc>
        <w:tc>
          <w:tcPr>
            <w:tcW w:w="2702" w:type="dxa"/>
            <w:tcBorders>
              <w:top w:val="single" w:sz="12" w:space="0" w:color="auto"/>
              <w:bottom w:val="single" w:sz="24" w:space="0" w:color="auto"/>
            </w:tcBorders>
            <w:shd w:val="clear" w:color="auto" w:fill="FFFFFF" w:themeFill="background1"/>
            <w:vAlign w:val="bottom"/>
          </w:tcPr>
          <w:p w14:paraId="0A26845B"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Target Model Architecture(s)</w:t>
            </w:r>
          </w:p>
        </w:tc>
        <w:tc>
          <w:tcPr>
            <w:tcW w:w="1808" w:type="dxa"/>
            <w:tcBorders>
              <w:top w:val="single" w:sz="12" w:space="0" w:color="auto"/>
              <w:bottom w:val="single" w:sz="24" w:space="0" w:color="auto"/>
            </w:tcBorders>
            <w:shd w:val="clear" w:color="auto" w:fill="FFFFFF" w:themeFill="background1"/>
            <w:vAlign w:val="bottom"/>
          </w:tcPr>
          <w:p w14:paraId="02B05028"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 xml:space="preserve">Target Model Task </w:t>
            </w:r>
          </w:p>
        </w:tc>
        <w:tc>
          <w:tcPr>
            <w:tcW w:w="1407" w:type="dxa"/>
            <w:tcBorders>
              <w:top w:val="single" w:sz="12" w:space="0" w:color="auto"/>
              <w:bottom w:val="single" w:sz="24" w:space="0" w:color="auto"/>
            </w:tcBorders>
            <w:shd w:val="clear" w:color="auto" w:fill="FFFFFF" w:themeFill="background1"/>
            <w:vAlign w:val="bottom"/>
          </w:tcPr>
          <w:p w14:paraId="40FFD1BE"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Knowledge</w:t>
            </w:r>
          </w:p>
        </w:tc>
        <w:tc>
          <w:tcPr>
            <w:tcW w:w="233" w:type="dxa"/>
            <w:tcBorders>
              <w:top w:val="nil"/>
              <w:bottom w:val="single" w:sz="24" w:space="0" w:color="auto"/>
            </w:tcBorders>
            <w:shd w:val="clear" w:color="auto" w:fill="FFFFFF" w:themeFill="background1"/>
            <w:vAlign w:val="bottom"/>
          </w:tcPr>
          <w:p w14:paraId="311E3D3E"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1794" w:type="dxa"/>
            <w:tcBorders>
              <w:top w:val="single" w:sz="12" w:space="0" w:color="auto"/>
              <w:bottom w:val="single" w:sz="24" w:space="0" w:color="auto"/>
              <w:right w:val="single" w:sz="4" w:space="0" w:color="auto"/>
            </w:tcBorders>
            <w:shd w:val="clear" w:color="auto" w:fill="FFFFFF" w:themeFill="background1"/>
            <w:vAlign w:val="center"/>
          </w:tcPr>
          <w:p w14:paraId="70204E7C"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Performance Metric(s)</w:t>
            </w:r>
          </w:p>
        </w:tc>
        <w:tc>
          <w:tcPr>
            <w:tcW w:w="781" w:type="dxa"/>
            <w:tcBorders>
              <w:left w:val="single" w:sz="4" w:space="0" w:color="auto"/>
              <w:bottom w:val="single" w:sz="24" w:space="0" w:color="auto"/>
              <w:right w:val="single" w:sz="4" w:space="0" w:color="auto"/>
            </w:tcBorders>
            <w:shd w:val="clear" w:color="auto" w:fill="FFFFFF" w:themeFill="background1"/>
            <w:vAlign w:val="center"/>
          </w:tcPr>
          <w:p w14:paraId="226FD885"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&gt;50%</w:t>
            </w:r>
          </w:p>
        </w:tc>
        <w:tc>
          <w:tcPr>
            <w:tcW w:w="754" w:type="dxa"/>
            <w:tcBorders>
              <w:left w:val="single" w:sz="4" w:space="0" w:color="auto"/>
              <w:bottom w:val="single" w:sz="24" w:space="0" w:color="auto"/>
              <w:right w:val="single" w:sz="4" w:space="0" w:color="auto"/>
            </w:tcBorders>
            <w:shd w:val="clear" w:color="auto" w:fill="FFFFFF" w:themeFill="background1"/>
            <w:vAlign w:val="center"/>
          </w:tcPr>
          <w:p w14:paraId="37D22854"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w:t>
            </w:r>
            <w:r w:rsidRPr="00443DC9">
              <w:rPr>
                <w:b/>
                <w:bCs/>
                <w:sz w:val="24"/>
                <w:szCs w:val="24"/>
              </w:rPr>
              <w:t>75%</w:t>
            </w:r>
          </w:p>
        </w:tc>
        <w:tc>
          <w:tcPr>
            <w:tcW w:w="754" w:type="dxa"/>
            <w:tcBorders>
              <w:left w:val="single" w:sz="4" w:space="0" w:color="auto"/>
              <w:bottom w:val="single" w:sz="24" w:space="0" w:color="auto"/>
            </w:tcBorders>
            <w:shd w:val="clear" w:color="auto" w:fill="FFFFFF" w:themeFill="background1"/>
            <w:vAlign w:val="center"/>
          </w:tcPr>
          <w:p w14:paraId="1461F955"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≥90</w:t>
            </w:r>
            <w:r w:rsidRPr="00443DC9">
              <w:rPr>
                <w:b/>
                <w:bCs/>
                <w:sz w:val="24"/>
                <w:szCs w:val="24"/>
              </w:rPr>
              <w:t>%</w:t>
            </w:r>
          </w:p>
        </w:tc>
      </w:tr>
      <w:tr w:rsidR="00375D17" w14:paraId="7C152849"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57941BE7" w14:textId="77777777" w:rsidR="00375D17" w:rsidRDefault="00375D17" w:rsidP="00530265">
            <w:r>
              <w:t xml:space="preserve">Song </w:t>
            </w:r>
            <w:r>
              <w:rPr>
                <w:i/>
                <w:iCs/>
              </w:rPr>
              <w:t xml:space="preserve"> et al </w:t>
            </w:r>
            <w:r w:rsidRPr="00433D95">
              <w:t>(</w:t>
            </w:r>
            <w:r>
              <w:t>2019)</w:t>
            </w:r>
            <w:r>
              <w:rPr>
                <w:i/>
                <w:iCs/>
              </w:rPr>
              <w:t xml:space="preserve"> </w:t>
            </w:r>
            <w:r>
              <w:rPr>
                <w:i/>
                <w:iCs/>
              </w:rPr>
              <w:fldChar w:fldCharType="begin"/>
            </w:r>
            <w:r>
              <w:rPr>
                <w:i/>
                <w:iCs/>
              </w:rPr>
              <w:instrText xml:space="preserve"> ADDIN ZOTERO_ITEM CSL_CITATION {"citationID":"kO29KxA9","properties":{"formattedCitation":"\\super 17\\nosupersub{}","plainCitation":"17","noteIndex":0},"citationItems":[{"id":823,"uris":["http://zotero.org/users/local/HJepGCSn/items/GEAPRDRK"],"itemData":{"id":823,"type":"paper-conference","abstract":"In recent years, the research community has increasingly focused on understanding the security and privacy challenges posed by deep learning models. However, the security domain and the privacy domain have typically been considered separately. It is thus unclear whether the defense methods in one domain will have any unexpected impact on the other domain. In this paper, we take a step towards enhancing our understanding of deep learning models when the two domains are combined together. We do this by measuring the success of membership inference attacks against two state-of-the-art adversarial defense methods that mitigate evasion attacks: adversarial training and provable defense. On the one hand, membership inference attacks aim to infer an individual's participation in the target model's training dataset and are known to be correlated with target model's overfitting. On the other hand, adversarial defense methods aim to enhance the robustness of target models by ensuring that model predictions are unchanged for a small area around each sample in the training dataset. Intuitively, adversarial defenses may rely more on the training dataset and be more vulnerable to membership inference attacks. By performing empirical membership inference attacks on both adversarially robust models and corresponding undefended models, we find that the adversarial training method is indeed more susceptible to membership inference attacks, and the privacy leakage is directly correlated with model robustness. We also find that the provable defense approach does not lead to enhanced success of membership inference attacks. However, this is achieved by significantly sacrificing the accuracy of the model on benign data points, indicating that privacy, security, and prediction accuracy are not jointly achieved in these two approaches.","container-title":"2019 IEEE Security and Privacy Workshops (SPW)","DOI":"10.1109/SPW.2019.00021","event-title":"2019 IEEE Security and Privacy Workshops (SPW)","page":"50-56","source":"IEEE Xplore","title":"Membership Inference Attacks Against Adversarially Robust Deep Learning Models","author":[{"family":"Song","given":"Liwei"},{"family":"Shokri","given":"Reza"},{"family":"Mittal","given":"Prateek"}],"issued":{"date-parts":[["2019",5]]}}}],"schema":"https://github.com/citation-style-language/schema/raw/master/csl-citation.json"} </w:instrText>
            </w:r>
            <w:r>
              <w:rPr>
                <w:i/>
                <w:iCs/>
              </w:rPr>
              <w:fldChar w:fldCharType="separate"/>
            </w:r>
            <w:r w:rsidRPr="0013485C">
              <w:rPr>
                <w:rFonts w:ascii="Calibri" w:hAnsi="Calibri" w:cs="Calibri"/>
                <w:szCs w:val="24"/>
                <w:vertAlign w:val="superscript"/>
              </w:rPr>
              <w:t>17</w:t>
            </w:r>
            <w:r>
              <w:rPr>
                <w:i/>
                <w:iCs/>
              </w:rPr>
              <w:fldChar w:fldCharType="end"/>
            </w:r>
          </w:p>
        </w:tc>
        <w:tc>
          <w:tcPr>
            <w:tcW w:w="234" w:type="dxa"/>
          </w:tcPr>
          <w:p w14:paraId="67FF400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46479DC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CIFAR-10; SVHN</w:t>
            </w:r>
          </w:p>
        </w:tc>
        <w:tc>
          <w:tcPr>
            <w:tcW w:w="2702" w:type="dxa"/>
          </w:tcPr>
          <w:p w14:paraId="447D1B0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Wide Residual Network</w:t>
            </w:r>
          </w:p>
        </w:tc>
        <w:tc>
          <w:tcPr>
            <w:tcW w:w="1808" w:type="dxa"/>
          </w:tcPr>
          <w:p w14:paraId="0E82FB2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1E969D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028F690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52BD034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Accuracy; Precision; Recall; AUC; </w:t>
            </w:r>
            <w:proofErr w:type="spellStart"/>
            <w:r>
              <w:t>Kullback-Leibler</w:t>
            </w:r>
            <w:proofErr w:type="spellEnd"/>
            <w:r>
              <w:t xml:space="preserve"> Divergence</w:t>
            </w:r>
          </w:p>
        </w:tc>
        <w:tc>
          <w:tcPr>
            <w:tcW w:w="781" w:type="dxa"/>
            <w:tcBorders>
              <w:left w:val="single" w:sz="4" w:space="0" w:color="auto"/>
              <w:right w:val="single" w:sz="4" w:space="0" w:color="auto"/>
            </w:tcBorders>
            <w:vAlign w:val="center"/>
          </w:tcPr>
          <w:p w14:paraId="38340E3E"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01341A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3DC9A6EA"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0097AF5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2B76B16" w14:textId="77777777" w:rsidR="00375D17" w:rsidRDefault="00375D17" w:rsidP="00530265">
            <w:proofErr w:type="spellStart"/>
            <w:r>
              <w:t>Sablayrolles</w:t>
            </w:r>
            <w:proofErr w:type="spellEnd"/>
            <w:r>
              <w:t xml:space="preserve"> </w:t>
            </w:r>
            <w:r>
              <w:rPr>
                <w:i/>
                <w:iCs/>
              </w:rPr>
              <w:t xml:space="preserve">et al </w:t>
            </w:r>
            <w:r w:rsidRPr="00433D95">
              <w:t>(</w:t>
            </w:r>
            <w:r>
              <w:t>2019)</w:t>
            </w:r>
            <w:r>
              <w:rPr>
                <w:i/>
                <w:iCs/>
              </w:rPr>
              <w:t xml:space="preserve"> </w:t>
            </w:r>
            <w:r>
              <w:rPr>
                <w:i/>
                <w:iCs/>
              </w:rPr>
              <w:fldChar w:fldCharType="begin"/>
            </w:r>
            <w:r>
              <w:rPr>
                <w:i/>
                <w:iCs/>
              </w:rPr>
              <w:instrText xml:space="preserve"> ADDIN ZOTERO_ITEM CSL_CITATION {"citationID":"rqwys0Uj","properties":{"formattedCitation":"\\super 18\\nosupersub{}","plainCitation":"18","noteIndex":0},"citationItems":[{"id":409,"uris":["http://zotero.org/users/local/HJepGCSn/items/UXNUVRL7"],"itemData":{"id":409,"type":"paper-conference","abstract":"Membership inference determines, given a sample and trained parameters of a machine learning model, whether the sample was part of the training set. In this paper, we derive the optimal strategy for membership inference with a few assumptions on the distribution of the parameters. We show that optimal attacks only depend on the loss function, and thus black-box attacks are as good as white-box attacks. As the optimal strategy is not tractable, we provide approximations of it leading to several inference methods, and show that existing membership inference methods are coarser approximations of this optimal strategy. Our membership attacks outperform the state of the art in various settings, ranging from a simple logistic regression to more complex architectures and datasets, such as ResNet-101 and Imagenet.","container-title":"International Conference on Machine Learning, Vol 97","event-place":"San Diego","language":"English","note":"ISSN: 2640-3498\nWOS:000684034305072","publisher":"Jmlr-Journal Machine Learning Research","publisher-place":"San Diego","source":"Web of Science Nextgen","title":"White-box vs Black-box: Bayes Optimal Strategies for Membership Inference","title-short":"White-box vs Black-box","URL":"http://www.webofscience.com/wos/woscc/full-record/WOS:000684034305072","volume":"97","author":[{"family":"Sablayrolles","given":"Alexandre"},{"family":"Douze","given":"Matthijs"},{"family":"Ollivier","given":"Yann"},{"family":"Schmid","given":"Cordelia"},{"family":"Jegou","given":"Nerve"}],"editor":[{"family":"Chaudhuri","given":"K."},{"family":"Salakhutdinov","given":"R."}],"accessed":{"date-parts":[["2022",8,4]]},"issued":{"date-parts":[["2019"]]}}}],"schema":"https://github.com/citation-style-language/schema/raw/master/csl-citation.json"} </w:instrText>
            </w:r>
            <w:r>
              <w:rPr>
                <w:i/>
                <w:iCs/>
              </w:rPr>
              <w:fldChar w:fldCharType="separate"/>
            </w:r>
            <w:r w:rsidRPr="0013485C">
              <w:rPr>
                <w:rFonts w:ascii="Calibri" w:hAnsi="Calibri" w:cs="Calibri"/>
                <w:szCs w:val="24"/>
                <w:vertAlign w:val="superscript"/>
              </w:rPr>
              <w:t>18</w:t>
            </w:r>
            <w:r>
              <w:rPr>
                <w:i/>
                <w:iCs/>
              </w:rPr>
              <w:fldChar w:fldCharType="end"/>
            </w:r>
          </w:p>
        </w:tc>
        <w:tc>
          <w:tcPr>
            <w:tcW w:w="234" w:type="dxa"/>
          </w:tcPr>
          <w:p w14:paraId="6193FA7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04FD82E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CIFAR-10; </w:t>
            </w:r>
            <w:proofErr w:type="spellStart"/>
            <w:r>
              <w:t>Imagenet</w:t>
            </w:r>
            <w:proofErr w:type="spellEnd"/>
          </w:p>
        </w:tc>
        <w:tc>
          <w:tcPr>
            <w:tcW w:w="2702" w:type="dxa"/>
          </w:tcPr>
          <w:p w14:paraId="0C93843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Logistic Regression; Convolutional Neural Network</w:t>
            </w:r>
          </w:p>
        </w:tc>
        <w:tc>
          <w:tcPr>
            <w:tcW w:w="1808" w:type="dxa"/>
          </w:tcPr>
          <w:p w14:paraId="12437FC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4289DAA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p w14:paraId="3D96C91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5CADFBB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199F167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072EA649"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23ADEF13"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62B97A5A"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1DB898C3"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562EF5AC" w14:textId="77777777" w:rsidR="00375D17" w:rsidRDefault="00375D17" w:rsidP="00530265">
            <w:r>
              <w:t xml:space="preserve">Mo </w:t>
            </w:r>
            <w:r>
              <w:rPr>
                <w:i/>
                <w:iCs/>
              </w:rPr>
              <w:t xml:space="preserve">et al </w:t>
            </w:r>
            <w:r w:rsidRPr="00433D95">
              <w:t>(</w:t>
            </w:r>
            <w:r>
              <w:t>2019)</w:t>
            </w:r>
            <w:r>
              <w:rPr>
                <w:i/>
                <w:iCs/>
              </w:rPr>
              <w:t xml:space="preserve"> </w:t>
            </w:r>
            <w:r>
              <w:rPr>
                <w:i/>
                <w:iCs/>
              </w:rPr>
              <w:fldChar w:fldCharType="begin"/>
            </w:r>
            <w:r>
              <w:rPr>
                <w:i/>
                <w:iCs/>
              </w:rPr>
              <w:instrText xml:space="preserve"> ADDIN ZOTERO_ITEM CSL_CITATION {"citationID":"7dxzG51H","properties":{"formattedCitation":"\\super 19\\nosupersub{}","plainCitation":"19","noteIndex":0},"citationItems":[{"id":453,"uris":["http://zotero.org/users/local/HJepGCSn/items/F6HPYTPA"],"itemData":{"id":453,"type":"paper-conference","abstract":"Pre-trained Deep Neural Network (DNN) models are increasingly used in smartphones and other user devices to enable prediction services, leading to potential disclosures of (sensitive) information from training data captured inside these models. Based on the concept of generalization error, we propose a framework to measure the amount of sensitive information memorized in each layer of a DNN. Our results show that, when considered individually, the last layers encode a larger amount of information from the training data compared to the first layers. We find that the same DNN architecture trained with different datasets has similar exposure per layer. We evaluate an architecture to protect the most sensitive layers within an on-device Trusted Execution Environment (TEE) against potential white-box membership inference attacks without the significant computational overhead.","collection-title":"CCS '19","container-title":"Proceedings of the 2019 ACM SIGSAC Conference on Computer and Communications Security","DOI":"10.1145/3319535.3363279","event-place":"New York, NY, USA","ISBN":"978-1-4503-6747-9","page":"2653–2655","publisher":"Association for Computing Machinery","publisher-place":"New York, NY, USA","source":"ACM Digital Library","title":"Poster: Towards Characterizing and Limiting Information Exposure in DNN Layers","title-short":"Poster","URL":"https://doi.org/10.1145/3319535.3363279","author":[{"family":"Mo","given":"Fan"},{"family":"Shahin Shamsabadi","given":"Ali"},{"family":"Katevas","given":"Kleomenis"},{"family":"Cavallaro","given":"Andrea"},{"family":"Haddadi","given":"Hamed"}],"accessed":{"date-parts":[["2022",8,4]]},"issued":{"date-parts":[["2019",11,6]]}}}],"schema":"https://github.com/citation-style-language/schema/raw/master/csl-citation.json"} </w:instrText>
            </w:r>
            <w:r>
              <w:rPr>
                <w:i/>
                <w:iCs/>
              </w:rPr>
              <w:fldChar w:fldCharType="separate"/>
            </w:r>
            <w:r w:rsidRPr="0013485C">
              <w:rPr>
                <w:rFonts w:ascii="Calibri" w:hAnsi="Calibri" w:cs="Calibri"/>
                <w:szCs w:val="24"/>
                <w:vertAlign w:val="superscript"/>
              </w:rPr>
              <w:t>19</w:t>
            </w:r>
            <w:r>
              <w:rPr>
                <w:i/>
                <w:iCs/>
              </w:rPr>
              <w:fldChar w:fldCharType="end"/>
            </w:r>
          </w:p>
        </w:tc>
        <w:tc>
          <w:tcPr>
            <w:tcW w:w="234" w:type="dxa"/>
          </w:tcPr>
          <w:p w14:paraId="6293A97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55DA1C3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MNIST; Fashion </w:t>
            </w:r>
            <w:proofErr w:type="gramStart"/>
            <w:r>
              <w:t>MNIST;</w:t>
            </w:r>
            <w:proofErr w:type="gramEnd"/>
          </w:p>
          <w:p w14:paraId="2B78605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CIFAR-10</w:t>
            </w:r>
          </w:p>
        </w:tc>
        <w:tc>
          <w:tcPr>
            <w:tcW w:w="2702" w:type="dxa"/>
          </w:tcPr>
          <w:p w14:paraId="4414A99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Deep Neural Network</w:t>
            </w:r>
          </w:p>
        </w:tc>
        <w:tc>
          <w:tcPr>
            <w:tcW w:w="1808" w:type="dxa"/>
          </w:tcPr>
          <w:p w14:paraId="67BB0AB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0D96771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tc>
        <w:tc>
          <w:tcPr>
            <w:tcW w:w="233" w:type="dxa"/>
          </w:tcPr>
          <w:p w14:paraId="606406D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78687E7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“Risk of Sensitive Information Exposure"</w:t>
            </w:r>
          </w:p>
        </w:tc>
        <w:tc>
          <w:tcPr>
            <w:tcW w:w="781" w:type="dxa"/>
            <w:tcBorders>
              <w:left w:val="single" w:sz="4" w:space="0" w:color="auto"/>
              <w:right w:val="single" w:sz="4" w:space="0" w:color="auto"/>
            </w:tcBorders>
            <w:vAlign w:val="center"/>
          </w:tcPr>
          <w:p w14:paraId="5BC872D2"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t>-</w:t>
            </w:r>
          </w:p>
        </w:tc>
        <w:tc>
          <w:tcPr>
            <w:tcW w:w="754" w:type="dxa"/>
            <w:tcBorders>
              <w:left w:val="single" w:sz="4" w:space="0" w:color="auto"/>
              <w:right w:val="single" w:sz="4" w:space="0" w:color="auto"/>
            </w:tcBorders>
            <w:vAlign w:val="center"/>
          </w:tcPr>
          <w:p w14:paraId="33E9C92B"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t>-</w:t>
            </w:r>
          </w:p>
        </w:tc>
        <w:tc>
          <w:tcPr>
            <w:tcW w:w="754" w:type="dxa"/>
            <w:tcBorders>
              <w:left w:val="single" w:sz="4" w:space="0" w:color="auto"/>
            </w:tcBorders>
            <w:vAlign w:val="center"/>
          </w:tcPr>
          <w:p w14:paraId="2AD7392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t>-</w:t>
            </w:r>
          </w:p>
        </w:tc>
      </w:tr>
      <w:tr w:rsidR="00375D17" w14:paraId="35BADC3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4DC93387" w14:textId="77777777" w:rsidR="00375D17" w:rsidRDefault="00375D17" w:rsidP="00530265">
            <w:r>
              <w:t xml:space="preserve">Liu </w:t>
            </w:r>
            <w:r>
              <w:rPr>
                <w:i/>
                <w:iCs/>
              </w:rPr>
              <w:t xml:space="preserve">et al </w:t>
            </w:r>
            <w:r w:rsidRPr="00433D95">
              <w:t>(</w:t>
            </w:r>
            <w:r>
              <w:t>2019)</w:t>
            </w:r>
            <w:r>
              <w:rPr>
                <w:i/>
                <w:iCs/>
              </w:rPr>
              <w:t xml:space="preserve"> </w:t>
            </w:r>
            <w:r>
              <w:rPr>
                <w:i/>
                <w:iCs/>
              </w:rPr>
              <w:fldChar w:fldCharType="begin"/>
            </w:r>
            <w:r>
              <w:rPr>
                <w:i/>
                <w:iCs/>
              </w:rPr>
              <w:instrText xml:space="preserve"> ADDIN ZOTERO_ITEM CSL_CITATION {"citationID":"Bv9VlypY","properties":{"formattedCitation":"\\super 20\\nosupersub{}","plainCitation":"20","noteIndex":0},"citationItems":[{"id":310,"uris":["http://zotero.org/users/local/HJepGCSn/items/8M5X2NYU"],"itemData":{"id":310,"type":"article-journal","abstract":"Social media networks have shown rapid growth in the past, and massive social data are generated which can reveal behavior or emotion propensities of users. Numerous social researchers leverage machine learning technology to build social media analytic models which can detect the abnormal behaviors or mental illnesses from the social media data effectively. Although the researchers only public the prediction interfaces of the machine learning models, in general, these interfaces may leak information about the individual data records on which the models were trained. Knowing a certain user's social media record was used to train a model can breach user privacy. In this paper, we present SocInf and focus on the fundamental problem known as membership inference. The key idea of SocInf is to construct a mimic model which has a similar prediction behavior with the public model, and then we can disclose the prediction differences between the training and testing data set by abusing the mimic model. With elaborated analytics on the predictions of the mimic model, SocInf can thus infer whether a given record is in the victim model's training set or not. We empirically evaluate the attack performance of SocInf on machine learning models trained by Xgboost, logistics, and online cloud platform. Using the realistic data, the experiment results show that SocInf can achieve an inference accuracy and precision of 73% and 84%, respectively, in average, and of 83% and 91% at best.","container-title":"IEEE Transactions on Computational Social Systems","DOI":"10.1109/TCSS.2019.2916086","ISSN":"2329-924X","issue":"5","note":"event-title: IEEE Transactions on Computational Social Systems","page":"907-921","source":"IEEE Xplore","title":"SocInf: Membership Inference Attacks on Social Media Health Data With Machine Learning","title-short":"SocInf","volume":"6","author":[{"family":"Liu","given":"Gaoyang"},{"family":"Wang","given":"Chen"},{"family":"Peng","given":"Kai"},{"family":"Huang","given":"Haojun"},{"family":"Li","given":"Yutong"},{"family":"Cheng","given":"Wenqing"}],"issued":{"date-parts":[["2019",10]]}}}],"schema":"https://github.com/citation-style-language/schema/raw/master/csl-citation.json"} </w:instrText>
            </w:r>
            <w:r>
              <w:rPr>
                <w:i/>
                <w:iCs/>
              </w:rPr>
              <w:fldChar w:fldCharType="separate"/>
            </w:r>
            <w:r w:rsidRPr="0013485C">
              <w:rPr>
                <w:rFonts w:ascii="Calibri" w:hAnsi="Calibri" w:cs="Calibri"/>
                <w:szCs w:val="24"/>
                <w:vertAlign w:val="superscript"/>
              </w:rPr>
              <w:t>20</w:t>
            </w:r>
            <w:r>
              <w:rPr>
                <w:i/>
                <w:iCs/>
              </w:rPr>
              <w:fldChar w:fldCharType="end"/>
            </w:r>
          </w:p>
        </w:tc>
        <w:tc>
          <w:tcPr>
            <w:tcW w:w="234" w:type="dxa"/>
          </w:tcPr>
          <w:p w14:paraId="3ACA8ED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07D6D54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Tweet Emotion; Weibo</w:t>
            </w:r>
          </w:p>
          <w:p w14:paraId="57C0D25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702" w:type="dxa"/>
          </w:tcPr>
          <w:p w14:paraId="1B5253B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Neural Network; Logistic Regression; </w:t>
            </w:r>
            <w:proofErr w:type="spellStart"/>
            <w:r>
              <w:t>XGBoost</w:t>
            </w:r>
            <w:proofErr w:type="spellEnd"/>
          </w:p>
        </w:tc>
        <w:tc>
          <w:tcPr>
            <w:tcW w:w="1808" w:type="dxa"/>
          </w:tcPr>
          <w:p w14:paraId="40631E0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3582C38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7493467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51022C5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 Precision; Recall</w:t>
            </w:r>
          </w:p>
        </w:tc>
        <w:tc>
          <w:tcPr>
            <w:tcW w:w="781" w:type="dxa"/>
            <w:tcBorders>
              <w:left w:val="single" w:sz="4" w:space="0" w:color="auto"/>
              <w:right w:val="single" w:sz="4" w:space="0" w:color="auto"/>
            </w:tcBorders>
            <w:vAlign w:val="center"/>
          </w:tcPr>
          <w:p w14:paraId="5B6B4CE2"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E71670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1F8B153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6D3D2CAD"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5C9F0B03" w14:textId="77777777" w:rsidR="00375D17" w:rsidRDefault="00375D17" w:rsidP="00530265">
            <w:r>
              <w:t xml:space="preserve">Truex </w:t>
            </w:r>
            <w:r>
              <w:rPr>
                <w:i/>
                <w:iCs/>
              </w:rPr>
              <w:t xml:space="preserve">et al </w:t>
            </w:r>
            <w:r w:rsidRPr="00433D95">
              <w:t>(</w:t>
            </w:r>
            <w:r>
              <w:t>2019)</w:t>
            </w:r>
            <w:r>
              <w:rPr>
                <w:i/>
                <w:iCs/>
              </w:rPr>
              <w:fldChar w:fldCharType="begin"/>
            </w:r>
            <w:r>
              <w:rPr>
                <w:i/>
                <w:iCs/>
              </w:rPr>
              <w:instrText xml:space="preserve"> ADDIN ZOTERO_ITEM CSL_CITATION {"citationID":"dfNC0gHC","properties":{"formattedCitation":"\\super 21\\nosupersub{}","plainCitation":"21","noteIndex":0},"citationItems":[{"id":164,"uris":["http://zotero.org/users/local/HJepGCSn/items/9RRYUQRG"],"itemData":{"id":164,"type":"paper-conference","abstract":"Membership inference attacks seek to infer the membership of individual training instances of a privately trained model. This paper presents a membership privacy analysis and evaluation system, MPLens, with three unique contributions. First, through MPLens, we demonstrate how membership inference attack methods can be leveraged in adversarial ML. Second, we highlight with MPLens how the vulnerability of pre-trained models under membership inference attack is not uniform across all classes, particularly when the training data is skewed. We show that risk from membership inference attacks is routinely increased when models use skewed training data. Finally, we investigate the effectiveness of differential privacy as a mitigation technique against membership inference attacks. We discuss the trade-offs of implementing such a mitigation strategy with respect to the model complexity, the learning task complexity, the dataset complexity and the privacy parameter settings.","container-title":"2019 First Ieee International Conference on Trust, Privacy and Security in Intelligent Systems and Applications (tps-Isa 2019)","DOI":"10.1109/TPS-ISA48467.2019.00019","event-place":"New York","ISBN":"978-1-72816-741-1","language":"English","note":"WOS:000555456700010","page":"82-91","publisher":"Ieee","publisher-place":"New York","source":"Web of Science Nextgen","title":"Effects of Differential Privacy and Data Skewness on Membership Inference Vulnerability","URL":"http://gateway.webofknowledge.com/gateway/Gateway.cgi?GWVersion=2&amp;SrcAuth=DynamicDOIConfProc&amp;SrcApp=UA&amp;KeyAID=10.1109%2FTPS-ISA48467.2019.00019&amp;DestApp=DOI&amp;SrcAppSID=8Fe2BLlbgxoM4mqNpbj&amp;SrcJTitle=2019+FIRST+IEEE+INTERNATIONAL+CONFERENCE+ON+TRUST%2C+PRIVACY+AND+SECURITY+IN+INTELLIGENT+SYSTEMS+AND+APPLICATIONS+%28TPS-ISA+2019%29&amp;DestDOIRegistrantName=Institute+of+Electrical+and+Electronics+Engineers","author":[{"family":"Truex","given":"Stacey"},{"family":"Liu","given":"Ling"},{"family":"Gursoy","given":"Mehmet Emre"},{"family":"Wei","given":"Wenqi"},{"family":"Yu","given":"Lei"}],"accessed":{"date-parts":[["2022",3,1]]},"issued":{"date-parts":[["2019"]]}}}],"schema":"https://github.com/citation-style-language/schema/raw/master/csl-citation.json"} </w:instrText>
            </w:r>
            <w:r>
              <w:rPr>
                <w:i/>
                <w:iCs/>
              </w:rPr>
              <w:fldChar w:fldCharType="separate"/>
            </w:r>
            <w:r w:rsidRPr="0013485C">
              <w:rPr>
                <w:rFonts w:ascii="Calibri" w:hAnsi="Calibri" w:cs="Calibri"/>
                <w:szCs w:val="24"/>
                <w:vertAlign w:val="superscript"/>
              </w:rPr>
              <w:t>21</w:t>
            </w:r>
            <w:r>
              <w:rPr>
                <w:i/>
                <w:iCs/>
              </w:rPr>
              <w:fldChar w:fldCharType="end"/>
            </w:r>
          </w:p>
        </w:tc>
        <w:tc>
          <w:tcPr>
            <w:tcW w:w="234" w:type="dxa"/>
          </w:tcPr>
          <w:p w14:paraId="5C76548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42964C4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Purchase-(10/50); Adult</w:t>
            </w:r>
          </w:p>
        </w:tc>
        <w:tc>
          <w:tcPr>
            <w:tcW w:w="2702" w:type="dxa"/>
          </w:tcPr>
          <w:p w14:paraId="1AF8722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Decision Tree</w:t>
            </w:r>
          </w:p>
        </w:tc>
        <w:tc>
          <w:tcPr>
            <w:tcW w:w="1808" w:type="dxa"/>
          </w:tcPr>
          <w:p w14:paraId="4840AE9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7475CD6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6657169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360A245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3E2067F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7C40F9BE"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63B9E2C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4ED3AC4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EE7E0E2" w14:textId="77777777" w:rsidR="00375D17" w:rsidRDefault="00375D17" w:rsidP="00530265">
            <w:proofErr w:type="spellStart"/>
            <w:r>
              <w:t>Melis</w:t>
            </w:r>
            <w:proofErr w:type="spellEnd"/>
            <w:r>
              <w:t xml:space="preserve"> </w:t>
            </w:r>
            <w:r>
              <w:rPr>
                <w:i/>
                <w:iCs/>
              </w:rPr>
              <w:t xml:space="preserve">et al </w:t>
            </w:r>
            <w:r w:rsidRPr="00433D95">
              <w:t>(</w:t>
            </w:r>
            <w:r>
              <w:t>2019)</w:t>
            </w:r>
            <w:r>
              <w:rPr>
                <w:i/>
                <w:iCs/>
              </w:rPr>
              <w:fldChar w:fldCharType="begin"/>
            </w:r>
            <w:r>
              <w:rPr>
                <w:i/>
                <w:iCs/>
              </w:rPr>
              <w:instrText xml:space="preserve"> ADDIN ZOTERO_ITEM CSL_CITATION {"citationID":"xQGtzwwg","properties":{"formattedCitation":"\\super 22\\nosupersub{}","plainCitation":"22","noteIndex":0},"citationItems":[{"id":476,"uris":["http://zotero.org/users/local/HJepGCSn/items/NXQVIPEH"],"itemData":{"id":476,"type":"paper-conference","abstract":"Collaborative machine learning and related techniques such as federated learning allow multiple participants, each with his own training dataset, to build a joint model by training locally and periodically exchanging model updates. We demonstrate that these updates leak unintended information about participants' training data and develop passive and active inference attacks to exploit this leakage. First, we show that an adversarial participant can infer the presence of exact data points – for example, specific locations – in others' training data (i.e., membership inference). Then, we show how this adversary can infer properties that hold only for a subset of the training data and are independent of the properties that the joint model aims to capture. For example, he can infer when a specific person first appears in the photos used to train a binary gender classifier. We evaluate our attacks on a variety of tasks, datasets, and learning configurations, analyze their limitations, and discuss possible defenses.","container-title":"2019 IEEE Symposium on Security and Privacy (SP)","DOI":"10.1109/SP.2019.00029","event-title":"2019 IEEE Symposium on Security and Privacy (SP)","note":"ISSN: 2375-1207","page":"691-706","source":"IEEE Xplore","title":"Exploiting Unintended Feature Leakage in Collaborative Learning","author":[{"family":"Melis","given":"Luca"},{"family":"Song","given":"Congzheng"},{"family":"De Cristofaro","given":"Emiliano"},{"family":"Shmatikov","given":"Vitaly"}],"issued":{"date-parts":[["2019",5]]}}}],"schema":"https://github.com/citation-style-language/schema/raw/master/csl-citation.json"} </w:instrText>
            </w:r>
            <w:r>
              <w:rPr>
                <w:i/>
                <w:iCs/>
              </w:rPr>
              <w:fldChar w:fldCharType="separate"/>
            </w:r>
            <w:r w:rsidRPr="0013485C">
              <w:rPr>
                <w:rFonts w:ascii="Calibri" w:hAnsi="Calibri" w:cs="Calibri"/>
                <w:szCs w:val="24"/>
                <w:vertAlign w:val="superscript"/>
              </w:rPr>
              <w:t>22</w:t>
            </w:r>
            <w:r>
              <w:rPr>
                <w:i/>
                <w:iCs/>
              </w:rPr>
              <w:fldChar w:fldCharType="end"/>
            </w:r>
          </w:p>
        </w:tc>
        <w:tc>
          <w:tcPr>
            <w:tcW w:w="234" w:type="dxa"/>
          </w:tcPr>
          <w:p w14:paraId="00AB17A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3EB6CAB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roofErr w:type="spellStart"/>
            <w:r>
              <w:t>CLiPS</w:t>
            </w:r>
            <w:proofErr w:type="spellEnd"/>
            <w:r>
              <w:t xml:space="preserve"> Stylometry; </w:t>
            </w:r>
            <w:proofErr w:type="spellStart"/>
            <w:r>
              <w:t>FourSquare</w:t>
            </w:r>
            <w:proofErr w:type="spellEnd"/>
            <w:r>
              <w:t>; Yelp Health</w:t>
            </w:r>
          </w:p>
        </w:tc>
        <w:tc>
          <w:tcPr>
            <w:tcW w:w="2702" w:type="dxa"/>
          </w:tcPr>
          <w:p w14:paraId="058C9E8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7EAAC5F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7879403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tc>
        <w:tc>
          <w:tcPr>
            <w:tcW w:w="233" w:type="dxa"/>
          </w:tcPr>
          <w:p w14:paraId="5EA058C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487A1D4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Precision</w:t>
            </w:r>
          </w:p>
        </w:tc>
        <w:tc>
          <w:tcPr>
            <w:tcW w:w="781" w:type="dxa"/>
            <w:tcBorders>
              <w:left w:val="single" w:sz="4" w:space="0" w:color="auto"/>
              <w:right w:val="single" w:sz="4" w:space="0" w:color="auto"/>
            </w:tcBorders>
            <w:vAlign w:val="center"/>
          </w:tcPr>
          <w:p w14:paraId="0FC166D0"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991FA61"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403F1349"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0AA18493"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298470E4" w14:textId="77777777" w:rsidR="00375D17" w:rsidRDefault="00375D17" w:rsidP="00530265">
            <w:r>
              <w:t xml:space="preserve">Nasr </w:t>
            </w:r>
            <w:r>
              <w:rPr>
                <w:i/>
                <w:iCs/>
              </w:rPr>
              <w:t xml:space="preserve">et al </w:t>
            </w:r>
            <w:r w:rsidRPr="00433D95">
              <w:t>(</w:t>
            </w:r>
            <w:r>
              <w:t>2019)</w:t>
            </w:r>
            <w:r>
              <w:rPr>
                <w:i/>
                <w:iCs/>
              </w:rPr>
              <w:t xml:space="preserve"> </w:t>
            </w:r>
            <w:r>
              <w:rPr>
                <w:i/>
                <w:iCs/>
              </w:rPr>
              <w:fldChar w:fldCharType="begin"/>
            </w:r>
            <w:r>
              <w:rPr>
                <w:i/>
                <w:iCs/>
              </w:rPr>
              <w:instrText xml:space="preserve"> ADDIN ZOTERO_ITEM CSL_CITATION {"citationID":"VYuffVaO","properties":{"formattedCitation":"\\super 23\\nosupersub{}","plainCitation":"23","noteIndex":0},"citationItems":[{"id":166,"uris":["http://zotero.org/users/local/HJepGCSn/items/M2G7SSF3"],"itemData":{"id":166,"type":"paper-conference","abstract":"Deep neural networks are susceptible to various inference attacks as they remember information about their training data. We design white-box inference attacks to perform a comprehensive privacy analysis of deep learning models. We measure the privacy leakage through parameters of fully trained models as well as the parameter updates of models during training. We design inference algorithms for both centralized and federated learning, with respect to passive and active inference attackers, and assuming different adversary prior knowledge. We evaluate our novel white-box membership inference attacks against deep learning algorithms to trace their training data records. We show that a straightforward extension of the known black-box attacks to the white-box setting (through analyzing the outputs of activation functions) is ineffective. We therefore design new algorithms tailored to the white-box setting by exploiting the privacy vulnerabilities of the stochastic gradient descent algorithm, which is the algorithm used to train deep neural networks. We investigate the reasons why deep learning models may leak information about their training data. We then show that even well-generalized models are significantly susceptible to white-box membership inference attacks, by analyzing state-of-the-art pre-trained and publicly available models for the CIFAR dataset. We also show how adversarial participants, in the federated learning setting, can successfully run active membership inference attacks against other participants, even when the global model achieves high prediction accuracies.","container-title":"2019 Ieee Symposium on Security and Privacy (sp 2019)","DOI":"10.1109/SP.2019.00065","event-place":"Los Alamitos","ISBN":"978-1-5386-6660-9","language":"English","note":"ISSN: 1081-6011\nWOS:000510006100044","page":"739-753","publisher":"Ieee Computer Soc","publisher-place":"Los Alamitos","source":"Web of Science Nextgen","title":"Comprehensive Privacy Analysis of Deep Learning Passive and Active White-box Inference Attacks against Centralized and Federated Learning","URL":"http://gateway.webofknowledge.com/gateway/Gateway.cgi?GWVersion=2&amp;SrcAuth=DynamicDOIConfProc&amp;SrcApp=UA&amp;KeyAID=10.1109%2FSP.2019.00065&amp;DestApp=DOI&amp;SrcAppSID=8Fe2BLlbgxoM4mqNpbj&amp;SrcJTitle=2019+IEEE+SYMPOSIUM+ON+SECURITY+AND+PRIVACY+%28SP+2019%29&amp;DestDOIRegistrantName=Institute+of+Electrical+and+Electronics+Engineers","author":[{"family":"Nasr","given":"Milad"},{"family":"Shokri","given":"Reza"},{"family":"Houmansadr","given":"Amir"}],"accessed":{"date-parts":[["2022",3,1]]},"issued":{"date-parts":[["2019"]]}}}],"schema":"https://github.com/citation-style-language/schema/raw/master/csl-citation.json"} </w:instrText>
            </w:r>
            <w:r>
              <w:rPr>
                <w:i/>
                <w:iCs/>
              </w:rPr>
              <w:fldChar w:fldCharType="separate"/>
            </w:r>
            <w:r w:rsidRPr="0013485C">
              <w:rPr>
                <w:rFonts w:ascii="Calibri" w:hAnsi="Calibri" w:cs="Calibri"/>
                <w:szCs w:val="24"/>
                <w:vertAlign w:val="superscript"/>
              </w:rPr>
              <w:t>23</w:t>
            </w:r>
            <w:r>
              <w:rPr>
                <w:i/>
                <w:iCs/>
              </w:rPr>
              <w:fldChar w:fldCharType="end"/>
            </w:r>
          </w:p>
        </w:tc>
        <w:tc>
          <w:tcPr>
            <w:tcW w:w="234" w:type="dxa"/>
          </w:tcPr>
          <w:p w14:paraId="58EB998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616E449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Texas-100; Purchase-100</w:t>
            </w:r>
          </w:p>
        </w:tc>
        <w:tc>
          <w:tcPr>
            <w:tcW w:w="2702" w:type="dxa"/>
          </w:tcPr>
          <w:p w14:paraId="5E4AE9B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7AF4F18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21E30FB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1EDF2F4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7324C4E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64A2A82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4F1A096E"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4E8A75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5C67868C"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06F3BD6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7167BB77" w14:textId="77777777" w:rsidR="00375D17" w:rsidRDefault="00375D17" w:rsidP="00530265">
            <w:r>
              <w:t xml:space="preserve">Jia </w:t>
            </w:r>
            <w:r>
              <w:rPr>
                <w:i/>
                <w:iCs/>
              </w:rPr>
              <w:t xml:space="preserve">et al </w:t>
            </w:r>
            <w:r w:rsidRPr="00433D95">
              <w:t>(</w:t>
            </w:r>
            <w:r>
              <w:t>2019)</w:t>
            </w:r>
            <w:r>
              <w:rPr>
                <w:i/>
                <w:iCs/>
              </w:rPr>
              <w:fldChar w:fldCharType="begin"/>
            </w:r>
            <w:r>
              <w:rPr>
                <w:i/>
                <w:iCs/>
              </w:rPr>
              <w:instrText xml:space="preserve"> ADDIN ZOTERO_ITEM CSL_CITATION {"citationID":"qntgy83Q","properties":{"formattedCitation":"\\super 24\\nosupersub{}","plainCitation":"24","noteIndex":0},"citationItems":[{"id":459,"uris":["http://zotero.org/users/local/HJepGCSn/items/VYNRK685"],"itemData":{"id":459,"type":"paper-conference","abstract":"In a membership inference attack, an attacker aims to infer whether a data sample is in a target classifier's training dataset or not. Specifically, given a black-box access to the target classifier, the attacker trains a binary classifier, which takes a data sample's confidence score vector predicted by the target classifier as an input and predicts the data sample to be a member or non-member of the target classifier's training dataset. Membership inference attacks pose severe privacy and security threats to the training dataset. Most existing defenses leverage differential privacy when training the target classifier or regularize the training process of the target classifier. These defenses suffer from two key limitations: 1) they do not have formal utility-loss guarantees of the confidence score vectors, and 2) they achieve suboptimal privacy-utility tradeoffs. In this work, we propose MemGuard,the first defense with formal utility-loss guarantees against black-box membership inference attacks. Instead of tampering the training process of the target classifier, MemGuard adds noise to each confidence score vector predicted by the target classifier. Our key observation is that attacker uses a classifier to predict member or non-member and classifier is vulnerable to adversarial examples.Based on the observation, we propose to add a carefully crafted noise vector to a confidence score vector to turn it into an adversarial example that misleads the attacker's classifier. Specifically, MemGuard works in two phases. In Phase I, MemGuard finds a carefully crafted noise vector that can turn a confidence score vector into an adversarial example, which is likely to mislead the attacker's classifier to make a random guessing at member or non-member. We find such carefully crafted noise vector via a new method that we design to incorporate the unique utility-loss constraints on the noise vector. In Phase II, MemGuard adds the noise vector to the confidence score vector with a certain probability, which is selected to satisfy a given utility-loss budget on the confidence score vector. Our experimental results on three datasets show that MemGuard can effectively defend against membership inference attacks and achieve better privacy-utility tradeoffs than existing defenses. Our work is the first one to show that adversarial examples can be used as defensive mechanisms to defend against membership inference attacks.","collection-title":"CCS '19","container-title":"Proceedings of the 2019 ACM SIGSAC Conference on Computer and Communications Security","DOI":"10.1145/3319535.3363201","event-place":"New York, NY, USA","ISBN":"978-1-4503-6747-9","page":"259–274","publisher":"Association for Computing Machinery","publisher-place":"New York, NY, USA","source":"ACM Digital Library","title":"MemGuard: Defending against Black-Box Membership Inference Attacks via Adversarial Examples","title-short":"MemGuard","URL":"https://doi.org/10.1145/3319535.3363201","author":[{"family":"Jia","given":"Jinyuan"},{"family":"Salem","given":"Ahmed"},{"family":"Backes","given":"Michael"},{"family":"Zhang","given":"Yang"},{"family":"Gong","given":"Neil Zhenqiang"}],"accessed":{"date-parts":[["2022",8,4]]},"issued":{"date-parts":[["2019",11,6]]}}}],"schema":"https://github.com/citation-style-language/schema/raw/master/csl-citation.json"} </w:instrText>
            </w:r>
            <w:r>
              <w:rPr>
                <w:i/>
                <w:iCs/>
              </w:rPr>
              <w:fldChar w:fldCharType="separate"/>
            </w:r>
            <w:r w:rsidRPr="0013485C">
              <w:rPr>
                <w:rFonts w:ascii="Calibri" w:hAnsi="Calibri" w:cs="Calibri"/>
                <w:szCs w:val="24"/>
                <w:vertAlign w:val="superscript"/>
              </w:rPr>
              <w:t>24</w:t>
            </w:r>
            <w:r>
              <w:rPr>
                <w:i/>
                <w:iCs/>
              </w:rPr>
              <w:fldChar w:fldCharType="end"/>
            </w:r>
          </w:p>
        </w:tc>
        <w:tc>
          <w:tcPr>
            <w:tcW w:w="234" w:type="dxa"/>
          </w:tcPr>
          <w:p w14:paraId="338FA9A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296D765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Texas-100; Location</w:t>
            </w:r>
          </w:p>
        </w:tc>
        <w:tc>
          <w:tcPr>
            <w:tcW w:w="2702" w:type="dxa"/>
          </w:tcPr>
          <w:p w14:paraId="6760CFC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0810C52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06689FF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76CEB4E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72FEF5C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3A26E66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1629A13"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3EBD806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246A8B7A"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4FB69A8C" w14:textId="77777777" w:rsidR="00375D17" w:rsidRDefault="00375D17" w:rsidP="00530265">
            <w:r>
              <w:t xml:space="preserve">Song &amp; </w:t>
            </w:r>
            <w:proofErr w:type="spellStart"/>
            <w:r>
              <w:t>Shmatikov</w:t>
            </w:r>
            <w:proofErr w:type="spellEnd"/>
            <w:r>
              <w:t xml:space="preserve"> (2019) </w:t>
            </w:r>
            <w:r>
              <w:fldChar w:fldCharType="begin"/>
            </w:r>
            <w:r>
              <w:instrText xml:space="preserve"> ADDIN ZOTERO_ITEM CSL_CITATION {"citationID":"MnEERDiJ","properties":{"formattedCitation":"\\super 25\\nosupersub{}","plainCitation":"25","noteIndex":0},"citationItems":[{"id":491,"uris":["http://zotero.org/users/local/HJepGCSn/items/5VBFNHCH"],"itemData":{"id":491,"type":"paper-conference","abstract":"To help enforce data-protection regulations such as GDPR and detect unauthorized uses of personal data, we develop a new model auditing technique that helps users check if their data was used to train a machine learning model. We focus on auditing deep-learning models that generate natural-language text, including word prediction and dialog generation. These models are at the core of popular online services and are often trained on personal data such as users' messages, searches, chats, and comments. We design and evaluate a black-box auditing method that can detect, with very few queries to a model, if a particular user's texts were used to train it (among thousands of other users). We empirically show that our method can successfully audit well-generalized models that are not overfitted to the training data. We also analyze how text-generation models memorize word sequences and explain why this memorization makes them amenable to auditing.","collection-title":"KDD '19","container-title":"Proceedings of the 25th ACM SIGKDD International Conference on Knowledge Discovery &amp; Data Mining","DOI":"10.1145/3292500.3330885","event-place":"New York, NY, USA","ISBN":"978-1-4503-6201-6","page":"196–206","publisher":"Association for Computing Machinery","publisher-place":"New York, NY, USA","source":"ACM Digital Library","title":"Auditing Data Provenance in Text-Generation Models","URL":"https://doi.org/10.1145/3292500.3330885","author":[{"family":"Song","given":"Congzheng"},{"family":"Shmatikov","given":"Vitaly"}],"accessed":{"date-parts":[["2022",8,4]]},"issued":{"date-parts":[["2019",7,25]]}}}],"schema":"https://github.com/citation-style-language/schema/raw/master/csl-citation.json"} </w:instrText>
            </w:r>
            <w:r>
              <w:fldChar w:fldCharType="separate"/>
            </w:r>
            <w:r w:rsidRPr="0013485C">
              <w:rPr>
                <w:rFonts w:ascii="Calibri" w:hAnsi="Calibri" w:cs="Calibri"/>
                <w:szCs w:val="24"/>
                <w:vertAlign w:val="superscript"/>
              </w:rPr>
              <w:t>25</w:t>
            </w:r>
            <w:r>
              <w:fldChar w:fldCharType="end"/>
            </w:r>
          </w:p>
        </w:tc>
        <w:tc>
          <w:tcPr>
            <w:tcW w:w="234" w:type="dxa"/>
          </w:tcPr>
          <w:p w14:paraId="2B53BD2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468D832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Reddit Comments; TED Talks (SATED); Cornell Movie Dialogues </w:t>
            </w:r>
          </w:p>
        </w:tc>
        <w:tc>
          <w:tcPr>
            <w:tcW w:w="2702" w:type="dxa"/>
          </w:tcPr>
          <w:p w14:paraId="3DEC2E4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Recurrent Neural Network</w:t>
            </w:r>
          </w:p>
        </w:tc>
        <w:tc>
          <w:tcPr>
            <w:tcW w:w="1808" w:type="dxa"/>
          </w:tcPr>
          <w:p w14:paraId="28B92B5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Text-generation</w:t>
            </w:r>
          </w:p>
        </w:tc>
        <w:tc>
          <w:tcPr>
            <w:tcW w:w="1407" w:type="dxa"/>
          </w:tcPr>
          <w:p w14:paraId="62C0B3F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15C52B9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48268C1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Precision; Recall; AUC</w:t>
            </w:r>
          </w:p>
        </w:tc>
        <w:tc>
          <w:tcPr>
            <w:tcW w:w="781" w:type="dxa"/>
            <w:tcBorders>
              <w:left w:val="single" w:sz="4" w:space="0" w:color="auto"/>
              <w:right w:val="single" w:sz="4" w:space="0" w:color="auto"/>
            </w:tcBorders>
            <w:vAlign w:val="center"/>
          </w:tcPr>
          <w:p w14:paraId="09D9EDDC"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886C2AE"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34E731B4"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63999E4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26758CEE" w14:textId="77777777" w:rsidR="00375D17" w:rsidRDefault="00375D17" w:rsidP="00530265">
            <w:r>
              <w:t xml:space="preserve">Salem </w:t>
            </w:r>
            <w:r>
              <w:rPr>
                <w:i/>
                <w:iCs/>
              </w:rPr>
              <w:t xml:space="preserve">et al </w:t>
            </w:r>
            <w:r w:rsidRPr="00433D95">
              <w:t>(</w:t>
            </w:r>
            <w:r>
              <w:t>2019)</w:t>
            </w:r>
            <w:r>
              <w:rPr>
                <w:i/>
                <w:iCs/>
              </w:rPr>
              <w:fldChar w:fldCharType="begin"/>
            </w:r>
            <w:r>
              <w:rPr>
                <w:i/>
                <w:iCs/>
              </w:rPr>
              <w:instrText xml:space="preserve"> ADDIN ZOTERO_ITEM CSL_CITATION {"citationID":"CL8HnF3x","properties":{"formattedCitation":"\\super 26\\nosupersub{}","plainCitation":"26","noteIndex":0},"citationItems":[{"id":287,"uris":["http://zotero.org/users/local/HJepGCSn/items/X6X3KKW9"],"itemData":{"id":287,"type":"paper-conference","abstract":"Machine learning (ML) has become a core component of many real-world applications and training data is a key factor that drives current progress. This huge success has led Internet companies to deploy machine learning as a service (MLaaS). Recently, the ﬁrst membership inference attack has shown that extraction of information on the training set is possible in such MLaaS settings, which has severe security and privacy implications.","container-title":"Proceedings 2019 Network and Distributed System Security Symposium","DOI":"10.14722/ndss.2019.23119","event-place":"San Diego, CA","event-title":"Network and Distributed System Security Symposium","ISBN":"978-1-891562-55-6","language":"en","publisher":"Internet Society","publisher-place":"San Diego, CA","source":"DOI.org (Crossref)","title":"ML-Leaks: Model and Data Independent Membership Inference Attacks and Defenses on Machine Learning Models","title-short":"ML-Leaks","URL":"https://www.ndss-symposium.org/wp-content/uploads/2019/02/ndss2019_03A-1_Salem_paper.pdf","author":[{"family":"Salem","given":"Ahmed"},{"family":"Zhang","given":"Yang"},{"family":"Humbert","given":"Mathias"},{"family":"Berrang","given":"Pascal"},{"family":"Fritz","given":"Mario"},{"family":"Backes","given":"Michael"}],"accessed":{"date-parts":[["2022",8,4]]},"issued":{"date-parts":[["2019"]]}}}],"schema":"https://github.com/citation-style-language/schema/raw/master/csl-citation.json"} </w:instrText>
            </w:r>
            <w:r>
              <w:rPr>
                <w:i/>
                <w:iCs/>
              </w:rPr>
              <w:fldChar w:fldCharType="separate"/>
            </w:r>
            <w:r w:rsidRPr="0013485C">
              <w:rPr>
                <w:rFonts w:ascii="Calibri" w:hAnsi="Calibri" w:cs="Calibri"/>
                <w:szCs w:val="24"/>
                <w:vertAlign w:val="superscript"/>
              </w:rPr>
              <w:t>26</w:t>
            </w:r>
            <w:r>
              <w:rPr>
                <w:i/>
                <w:iCs/>
              </w:rPr>
              <w:fldChar w:fldCharType="end"/>
            </w:r>
          </w:p>
        </w:tc>
        <w:tc>
          <w:tcPr>
            <w:tcW w:w="234" w:type="dxa"/>
          </w:tcPr>
          <w:p w14:paraId="06AC567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1C7EAC9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Purchase-(2/10/20/ 50/100); Adult; </w:t>
            </w:r>
            <w:proofErr w:type="gramStart"/>
            <w:r>
              <w:t>Location;</w:t>
            </w:r>
            <w:proofErr w:type="gramEnd"/>
          </w:p>
          <w:p w14:paraId="42AFD2A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News</w:t>
            </w:r>
          </w:p>
          <w:p w14:paraId="6E313A8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p w14:paraId="719FB33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702" w:type="dxa"/>
          </w:tcPr>
          <w:p w14:paraId="16AB6B8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Logistic Regression; Multilayer Perceptron; Random Forest</w:t>
            </w:r>
          </w:p>
        </w:tc>
        <w:tc>
          <w:tcPr>
            <w:tcW w:w="1808" w:type="dxa"/>
          </w:tcPr>
          <w:p w14:paraId="4949AB9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2A4939A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56361F3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7558C03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Precision; Recall</w:t>
            </w:r>
          </w:p>
        </w:tc>
        <w:tc>
          <w:tcPr>
            <w:tcW w:w="781" w:type="dxa"/>
            <w:tcBorders>
              <w:left w:val="single" w:sz="4" w:space="0" w:color="auto"/>
              <w:right w:val="single" w:sz="4" w:space="0" w:color="auto"/>
            </w:tcBorders>
            <w:vAlign w:val="center"/>
          </w:tcPr>
          <w:p w14:paraId="68D22CF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62148BE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4947D3EA"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rsidRPr="00443DC9" w14:paraId="799E4712" w14:textId="77777777" w:rsidTr="00530265">
        <w:tc>
          <w:tcPr>
            <w:cnfStyle w:val="001000000000" w:firstRow="0" w:lastRow="0" w:firstColumn="1" w:lastColumn="0" w:oddVBand="0" w:evenVBand="0" w:oddHBand="0" w:evenHBand="0" w:firstRowFirstColumn="0" w:firstRowLastColumn="0" w:lastRowFirstColumn="0" w:lastRowLastColumn="0"/>
            <w:tcW w:w="2329" w:type="dxa"/>
            <w:vMerge w:val="restart"/>
            <w:tcBorders>
              <w:top w:val="single" w:sz="24" w:space="0" w:color="auto"/>
            </w:tcBorders>
          </w:tcPr>
          <w:p w14:paraId="175A2E0A" w14:textId="77777777" w:rsidR="00375D17" w:rsidRPr="00443DC9" w:rsidRDefault="00375D17" w:rsidP="00530265">
            <w:pPr>
              <w:rPr>
                <w:b w:val="0"/>
                <w:bCs w:val="0"/>
                <w:sz w:val="24"/>
                <w:szCs w:val="24"/>
              </w:rPr>
            </w:pPr>
          </w:p>
          <w:p w14:paraId="79A4EF1A" w14:textId="77777777" w:rsidR="00375D17" w:rsidRPr="00443DC9" w:rsidRDefault="00375D17" w:rsidP="00530265">
            <w:pPr>
              <w:rPr>
                <w:b w:val="0"/>
                <w:bCs w:val="0"/>
                <w:sz w:val="24"/>
                <w:szCs w:val="24"/>
              </w:rPr>
            </w:pPr>
          </w:p>
          <w:p w14:paraId="47759E7F" w14:textId="77777777" w:rsidR="00375D17" w:rsidRPr="00443DC9" w:rsidRDefault="00375D17" w:rsidP="00530265">
            <w:pPr>
              <w:rPr>
                <w:sz w:val="24"/>
                <w:szCs w:val="24"/>
              </w:rPr>
            </w:pPr>
            <w:r w:rsidRPr="00443DC9">
              <w:rPr>
                <w:sz w:val="24"/>
                <w:szCs w:val="24"/>
              </w:rPr>
              <w:t>Authors (Year)</w:t>
            </w:r>
          </w:p>
        </w:tc>
        <w:tc>
          <w:tcPr>
            <w:tcW w:w="234" w:type="dxa"/>
            <w:tcBorders>
              <w:top w:val="single" w:sz="24" w:space="0" w:color="auto"/>
            </w:tcBorders>
          </w:tcPr>
          <w:p w14:paraId="064E5744"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sz w:val="24"/>
                <w:szCs w:val="24"/>
              </w:rPr>
            </w:pPr>
          </w:p>
        </w:tc>
        <w:tc>
          <w:tcPr>
            <w:tcW w:w="8050" w:type="dxa"/>
            <w:gridSpan w:val="4"/>
            <w:tcBorders>
              <w:top w:val="single" w:sz="24" w:space="0" w:color="auto"/>
            </w:tcBorders>
          </w:tcPr>
          <w:p w14:paraId="0676791D"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Setting</w:t>
            </w:r>
          </w:p>
        </w:tc>
        <w:tc>
          <w:tcPr>
            <w:tcW w:w="233" w:type="dxa"/>
            <w:tcBorders>
              <w:top w:val="single" w:sz="24" w:space="0" w:color="auto"/>
              <w:bottom w:val="nil"/>
            </w:tcBorders>
          </w:tcPr>
          <w:p w14:paraId="0A1103DD"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p>
        </w:tc>
        <w:tc>
          <w:tcPr>
            <w:tcW w:w="4083" w:type="dxa"/>
            <w:gridSpan w:val="4"/>
            <w:tcBorders>
              <w:top w:val="single" w:sz="24" w:space="0" w:color="auto"/>
              <w:bottom w:val="single" w:sz="12" w:space="0" w:color="auto"/>
            </w:tcBorders>
            <w:vAlign w:val="center"/>
          </w:tcPr>
          <w:p w14:paraId="49CDDCD9"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Performance</w:t>
            </w:r>
          </w:p>
        </w:tc>
      </w:tr>
      <w:tr w:rsidR="00375D17" w:rsidRPr="00443DC9" w14:paraId="67B5589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tcBorders>
              <w:bottom w:val="single" w:sz="24" w:space="0" w:color="auto"/>
            </w:tcBorders>
          </w:tcPr>
          <w:p w14:paraId="4819805D" w14:textId="77777777" w:rsidR="00375D17" w:rsidRPr="00443DC9" w:rsidRDefault="00375D17" w:rsidP="00530265">
            <w:pPr>
              <w:rPr>
                <w:b w:val="0"/>
                <w:bCs w:val="0"/>
                <w:sz w:val="24"/>
                <w:szCs w:val="24"/>
              </w:rPr>
            </w:pPr>
          </w:p>
        </w:tc>
        <w:tc>
          <w:tcPr>
            <w:tcW w:w="234" w:type="dxa"/>
            <w:tcBorders>
              <w:bottom w:val="single" w:sz="24" w:space="0" w:color="auto"/>
            </w:tcBorders>
            <w:shd w:val="clear" w:color="auto" w:fill="FFFFFF" w:themeFill="background1"/>
          </w:tcPr>
          <w:p w14:paraId="155E4F52"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2133" w:type="dxa"/>
            <w:tcBorders>
              <w:top w:val="single" w:sz="12" w:space="0" w:color="auto"/>
              <w:bottom w:val="single" w:sz="24" w:space="0" w:color="auto"/>
            </w:tcBorders>
            <w:shd w:val="clear" w:color="auto" w:fill="FFFFFF" w:themeFill="background1"/>
            <w:vAlign w:val="bottom"/>
          </w:tcPr>
          <w:p w14:paraId="5E15C6F7"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Training Dataset(s)</w:t>
            </w:r>
          </w:p>
        </w:tc>
        <w:tc>
          <w:tcPr>
            <w:tcW w:w="2702" w:type="dxa"/>
            <w:tcBorders>
              <w:top w:val="single" w:sz="12" w:space="0" w:color="auto"/>
              <w:bottom w:val="single" w:sz="24" w:space="0" w:color="auto"/>
            </w:tcBorders>
            <w:shd w:val="clear" w:color="auto" w:fill="FFFFFF" w:themeFill="background1"/>
            <w:vAlign w:val="bottom"/>
          </w:tcPr>
          <w:p w14:paraId="047EEB31"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Target Model Architecture(s)</w:t>
            </w:r>
          </w:p>
        </w:tc>
        <w:tc>
          <w:tcPr>
            <w:tcW w:w="1808" w:type="dxa"/>
            <w:tcBorders>
              <w:top w:val="single" w:sz="12" w:space="0" w:color="auto"/>
              <w:bottom w:val="single" w:sz="24" w:space="0" w:color="auto"/>
            </w:tcBorders>
            <w:shd w:val="clear" w:color="auto" w:fill="FFFFFF" w:themeFill="background1"/>
            <w:vAlign w:val="bottom"/>
          </w:tcPr>
          <w:p w14:paraId="14117B23"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 xml:space="preserve">Target Model Task </w:t>
            </w:r>
          </w:p>
        </w:tc>
        <w:tc>
          <w:tcPr>
            <w:tcW w:w="1407" w:type="dxa"/>
            <w:tcBorders>
              <w:top w:val="single" w:sz="12" w:space="0" w:color="auto"/>
              <w:bottom w:val="single" w:sz="24" w:space="0" w:color="auto"/>
            </w:tcBorders>
            <w:shd w:val="clear" w:color="auto" w:fill="FFFFFF" w:themeFill="background1"/>
            <w:vAlign w:val="bottom"/>
          </w:tcPr>
          <w:p w14:paraId="7DADBA5D"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Knowledge</w:t>
            </w:r>
          </w:p>
        </w:tc>
        <w:tc>
          <w:tcPr>
            <w:tcW w:w="233" w:type="dxa"/>
            <w:tcBorders>
              <w:top w:val="nil"/>
              <w:bottom w:val="single" w:sz="24" w:space="0" w:color="auto"/>
            </w:tcBorders>
            <w:shd w:val="clear" w:color="auto" w:fill="FFFFFF" w:themeFill="background1"/>
            <w:vAlign w:val="bottom"/>
          </w:tcPr>
          <w:p w14:paraId="0CD37B06"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1794" w:type="dxa"/>
            <w:tcBorders>
              <w:top w:val="single" w:sz="12" w:space="0" w:color="auto"/>
              <w:bottom w:val="single" w:sz="24" w:space="0" w:color="auto"/>
              <w:right w:val="single" w:sz="4" w:space="0" w:color="auto"/>
            </w:tcBorders>
            <w:shd w:val="clear" w:color="auto" w:fill="FFFFFF" w:themeFill="background1"/>
            <w:vAlign w:val="center"/>
          </w:tcPr>
          <w:p w14:paraId="282344C3"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Performance Metric(s)</w:t>
            </w:r>
          </w:p>
        </w:tc>
        <w:tc>
          <w:tcPr>
            <w:tcW w:w="781" w:type="dxa"/>
            <w:tcBorders>
              <w:left w:val="single" w:sz="4" w:space="0" w:color="auto"/>
              <w:bottom w:val="single" w:sz="24" w:space="0" w:color="auto"/>
              <w:right w:val="single" w:sz="4" w:space="0" w:color="auto"/>
            </w:tcBorders>
            <w:shd w:val="clear" w:color="auto" w:fill="FFFFFF" w:themeFill="background1"/>
            <w:vAlign w:val="center"/>
          </w:tcPr>
          <w:p w14:paraId="6C11AD6D"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&gt;50%</w:t>
            </w:r>
          </w:p>
        </w:tc>
        <w:tc>
          <w:tcPr>
            <w:tcW w:w="754" w:type="dxa"/>
            <w:tcBorders>
              <w:left w:val="single" w:sz="4" w:space="0" w:color="auto"/>
              <w:bottom w:val="single" w:sz="24" w:space="0" w:color="auto"/>
              <w:right w:val="single" w:sz="4" w:space="0" w:color="auto"/>
            </w:tcBorders>
            <w:shd w:val="clear" w:color="auto" w:fill="FFFFFF" w:themeFill="background1"/>
            <w:vAlign w:val="center"/>
          </w:tcPr>
          <w:p w14:paraId="7D371E76"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w:t>
            </w:r>
            <w:r w:rsidRPr="00443DC9">
              <w:rPr>
                <w:b/>
                <w:bCs/>
                <w:sz w:val="24"/>
                <w:szCs w:val="24"/>
              </w:rPr>
              <w:t>75%</w:t>
            </w:r>
          </w:p>
        </w:tc>
        <w:tc>
          <w:tcPr>
            <w:tcW w:w="754" w:type="dxa"/>
            <w:tcBorders>
              <w:left w:val="single" w:sz="4" w:space="0" w:color="auto"/>
              <w:bottom w:val="single" w:sz="24" w:space="0" w:color="auto"/>
            </w:tcBorders>
            <w:shd w:val="clear" w:color="auto" w:fill="FFFFFF" w:themeFill="background1"/>
            <w:vAlign w:val="center"/>
          </w:tcPr>
          <w:p w14:paraId="46989C6A"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≥90</w:t>
            </w:r>
            <w:r w:rsidRPr="00443DC9">
              <w:rPr>
                <w:b/>
                <w:bCs/>
                <w:sz w:val="24"/>
                <w:szCs w:val="24"/>
              </w:rPr>
              <w:t>%</w:t>
            </w:r>
          </w:p>
        </w:tc>
      </w:tr>
      <w:tr w:rsidR="00375D17" w14:paraId="4AF86AAA"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33154B2A" w14:textId="77777777" w:rsidR="00375D17" w:rsidRDefault="00375D17" w:rsidP="00530265">
            <w:r w:rsidRPr="003E5B49">
              <w:t xml:space="preserve">Chen </w:t>
            </w:r>
            <w:r w:rsidRPr="003E5B49">
              <w:rPr>
                <w:i/>
                <w:iCs/>
              </w:rPr>
              <w:t xml:space="preserve">et al </w:t>
            </w:r>
            <w:r w:rsidRPr="003E5B49">
              <w:t xml:space="preserve">(2020) </w:t>
            </w:r>
            <w:r w:rsidRPr="003E5B49">
              <w:rPr>
                <w:i/>
                <w:iCs/>
              </w:rPr>
              <w:fldChar w:fldCharType="begin"/>
            </w:r>
            <w:r>
              <w:rPr>
                <w:i/>
                <w:iCs/>
              </w:rPr>
              <w:instrText xml:space="preserve"> ADDIN ZOTERO_ITEM CSL_CITATION {"citationID":"7N0bT80o","properties":{"formattedCitation":"\\super 27\\nosupersub{}","plainCitation":"27","noteIndex":0},"citationItems":[{"id":410,"uris":["http://zotero.org/users/local/HJepGCSn/items/6865EYFF"],"itemData":{"id":410,"type":"paper-conference","abstract":"With the rise of privacy concerns in traditional centralized machine learning services, the federated learning, which incorporates multiple participants to train a global model across their localized training data, has lately received significant attention in both industry and academia. However, recent researches reveal the inherent vulnerabilities of the federated learning for the membership inference attacks that the adversary could infer whether a given data record belongs to the model's training set. Although the state-of-the-art techniques could successfully deduce the membership information from the centralized machine learning models, it is still challenging to infer the membership to a more confined level, user-level. In this paper, We propose a novel user-level inference attack mechanism in federated learning. Specifically, we first give a comprehensive analysis of active and targeted membership inference attacks in the context of the federated learning. Then, by considering a more complicated scenario that the adversary can only passively observe the updating models from different iterations, we incorporate the generative adversarial networks into our method, which can enrich the training set for the final membership inference model. The extensive experimental results demonstrate the effectiveness of our proposed attacking approach in the case of single-label and multi-label.","container-title":"2020 29th International Conference on Computer Communications and Networks (icccn 2020)","event-place":"New York","ISBN":"978-1-72816-607-0","language":"English","note":"ISSN: 1095-2055\nWOS:000627816700125","publisher":"Ieee","publisher-place":"New York","source":"Web of Science Nextgen","title":"Beyond Model-Level Membership Privacy Leakage: an Adversarial Approach in Federated Learning","title-short":"Beyond Model-Level Membership Privacy Leakage","URL":"http://www.webofscience.com/wos/woscc/full-record/WOS:000627816700125","author":[{"family":"Chen","given":"Jiale"},{"family":"Zhang","given":"Jiale"},{"family":"Zhao","given":"Yanchao"},{"family":"Han","given":"Hao"},{"family":"Zhu","given":"Kun"},{"family":"Chen","given":"Bing"}],"accessed":{"date-parts":[["2022",8,4]]},"issued":{"date-parts":[["2020"]]}}}],"schema":"https://github.com/citation-style-language/schema/raw/master/csl-citation.json"} </w:instrText>
            </w:r>
            <w:r w:rsidRPr="003E5B49">
              <w:rPr>
                <w:i/>
                <w:iCs/>
              </w:rPr>
              <w:fldChar w:fldCharType="separate"/>
            </w:r>
            <w:r w:rsidRPr="0013485C">
              <w:rPr>
                <w:rFonts w:ascii="Calibri" w:hAnsi="Calibri" w:cs="Calibri"/>
                <w:szCs w:val="24"/>
                <w:vertAlign w:val="superscript"/>
              </w:rPr>
              <w:t>27</w:t>
            </w:r>
            <w:r w:rsidRPr="003E5B49">
              <w:rPr>
                <w:i/>
                <w:iCs/>
              </w:rPr>
              <w:fldChar w:fldCharType="end"/>
            </w:r>
          </w:p>
        </w:tc>
        <w:tc>
          <w:tcPr>
            <w:tcW w:w="234" w:type="dxa"/>
          </w:tcPr>
          <w:p w14:paraId="52F152B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0EFF02C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MNIST; CIFAR-10</w:t>
            </w:r>
          </w:p>
        </w:tc>
        <w:tc>
          <w:tcPr>
            <w:tcW w:w="2702" w:type="dxa"/>
          </w:tcPr>
          <w:p w14:paraId="6819A2D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Generative Adversarial Network</w:t>
            </w:r>
          </w:p>
        </w:tc>
        <w:tc>
          <w:tcPr>
            <w:tcW w:w="1808" w:type="dxa"/>
          </w:tcPr>
          <w:p w14:paraId="3A8A090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C89E88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tc>
        <w:tc>
          <w:tcPr>
            <w:tcW w:w="233" w:type="dxa"/>
          </w:tcPr>
          <w:p w14:paraId="31A959D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48E8FAD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AUC</w:t>
            </w:r>
          </w:p>
        </w:tc>
        <w:tc>
          <w:tcPr>
            <w:tcW w:w="781" w:type="dxa"/>
            <w:tcBorders>
              <w:left w:val="single" w:sz="4" w:space="0" w:color="auto"/>
              <w:right w:val="single" w:sz="4" w:space="0" w:color="auto"/>
            </w:tcBorders>
            <w:vAlign w:val="center"/>
          </w:tcPr>
          <w:p w14:paraId="2CEC644C"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3D08F0E"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730CBE96"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0CA6297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3720E46F" w14:textId="77777777" w:rsidR="00375D17" w:rsidRDefault="00375D17" w:rsidP="00530265">
            <w:r>
              <w:t xml:space="preserve">Chen </w:t>
            </w:r>
            <w:r>
              <w:rPr>
                <w:i/>
                <w:iCs/>
              </w:rPr>
              <w:t xml:space="preserve">et al </w:t>
            </w:r>
            <w:r w:rsidRPr="00433D95">
              <w:t>(2020)</w:t>
            </w:r>
            <w:r>
              <w:t xml:space="preserve"> </w:t>
            </w:r>
            <w:r>
              <w:rPr>
                <w:i/>
                <w:iCs/>
              </w:rPr>
              <w:fldChar w:fldCharType="begin"/>
            </w:r>
            <w:r>
              <w:rPr>
                <w:i/>
                <w:iCs/>
              </w:rPr>
              <w:instrText xml:space="preserve"> ADDIN ZOTERO_ITEM CSL_CITATION {"citationID":"PkFcsSNM","properties":{"formattedCitation":"\\super 28\\nosupersub{}","plainCitation":"28","noteIndex":0},"citationItems":[{"id":472,"uris":["http://zotero.org/users/local/HJepGCSn/items/HCSBFQUN"],"itemData":{"id":472,"type":"paper-conference","abstract":"Deep learning has achieved overwhelming success, spanning from discriminative models to generative models. In particular, deep generative models have facilitated a new level of performance in a myriad of areas, ranging from media manipulation to sanitized dataset generation. Despite the great success, the potential risks of privacy breach caused by generative models have not been analyzed systematically. In this paper, we focus on membership inference attack against deep generative models that reveals information about the training data used for victim models. Specifically, we present the first taxonomy of membership inference attacks, encompassing not only existing attacks but also our novel ones. In addition, we propose the first generic attack model that can be instantiated in a large range of settings and is applicable to various kinds of deep generative models. Moreover, we provide a theoretically grounded attack calibration technique, which consistently boosts the attack performance in all cases, across different attack settings, data modalities, and training configurations. We complement the systematic analysis of attack performance by a comprehensive experimental study, that investigates the effectiveness of various attacks w.r.t. model type and training configurations, over three diverse application scenarios (i.e., images, medical data, and location data).","collection-title":"CCS '20","container-title":"Proceedings of the 2020 ACM SIGSAC Conference on Computer and Communications Security","DOI":"10.1145/3372297.3417238","event-place":"New York, NY, USA","ISBN":"978-1-4503-7089-9","page":"343–362","publisher":"Association for Computing Machinery","publisher-place":"New York, NY, USA","source":"ACM Digital Library","title":"GAN-Leaks: A Taxonomy of Membership Inference Attacks against Generative Models","title-short":"GAN-Leaks","URL":"https://doi.org/10.1145/3372297.3417238","author":[{"family":"Chen","given":"Dingfan"},{"family":"Yu","given":"Ning"},{"family":"Zhang","given":"Yang"},{"family":"Fritz","given":"Mario"}],"accessed":{"date-parts":[["2022",8,4]]},"issued":{"date-parts":[["2020",10,30]]}}}],"schema":"https://github.com/citation-style-language/schema/raw/master/csl-citation.json"} </w:instrText>
            </w:r>
            <w:r>
              <w:rPr>
                <w:i/>
                <w:iCs/>
              </w:rPr>
              <w:fldChar w:fldCharType="separate"/>
            </w:r>
            <w:r w:rsidRPr="0013485C">
              <w:rPr>
                <w:rFonts w:ascii="Calibri" w:hAnsi="Calibri" w:cs="Calibri"/>
                <w:szCs w:val="24"/>
                <w:vertAlign w:val="superscript"/>
              </w:rPr>
              <w:t>28</w:t>
            </w:r>
            <w:r>
              <w:rPr>
                <w:i/>
                <w:iCs/>
              </w:rPr>
              <w:fldChar w:fldCharType="end"/>
            </w:r>
          </w:p>
        </w:tc>
        <w:tc>
          <w:tcPr>
            <w:tcW w:w="234" w:type="dxa"/>
          </w:tcPr>
          <w:p w14:paraId="03E846A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00EB1D5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roofErr w:type="spellStart"/>
            <w:r>
              <w:t>CelebA</w:t>
            </w:r>
            <w:proofErr w:type="spellEnd"/>
            <w:r>
              <w:t>; MIMIC-III; Instagram New York</w:t>
            </w:r>
          </w:p>
        </w:tc>
        <w:tc>
          <w:tcPr>
            <w:tcW w:w="2702" w:type="dxa"/>
          </w:tcPr>
          <w:p w14:paraId="56D1F7B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Generative Adversarial Network; Variational Autoencoders; Hybrid GAN/VAE</w:t>
            </w:r>
          </w:p>
        </w:tc>
        <w:tc>
          <w:tcPr>
            <w:tcW w:w="1808" w:type="dxa"/>
          </w:tcPr>
          <w:p w14:paraId="5019D2A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Generative</w:t>
            </w:r>
          </w:p>
        </w:tc>
        <w:tc>
          <w:tcPr>
            <w:tcW w:w="1407" w:type="dxa"/>
          </w:tcPr>
          <w:p w14:paraId="09B3DA9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p w14:paraId="53D59EF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4540F20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6790DCA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AUC</w:t>
            </w:r>
          </w:p>
        </w:tc>
        <w:tc>
          <w:tcPr>
            <w:tcW w:w="781" w:type="dxa"/>
            <w:tcBorders>
              <w:left w:val="single" w:sz="4" w:space="0" w:color="auto"/>
              <w:right w:val="single" w:sz="4" w:space="0" w:color="auto"/>
            </w:tcBorders>
            <w:vAlign w:val="center"/>
          </w:tcPr>
          <w:p w14:paraId="3B6D55F9"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6C87F57D"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36E1B9EA"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6C5474D0"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5D9088F3" w14:textId="77777777" w:rsidR="00375D17" w:rsidRDefault="00375D17" w:rsidP="00530265">
            <w:r w:rsidRPr="002407A3">
              <w:rPr>
                <w:rFonts w:ascii="Calibri" w:eastAsia="Times New Roman" w:hAnsi="Calibri" w:cs="Calibri"/>
                <w:color w:val="000000"/>
              </w:rPr>
              <w:t xml:space="preserve">He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sidRPr="00433D95">
              <w:t>(2020)</w:t>
            </w:r>
            <w: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{"citationID":"z1rTBXHr","properties":{"formattedCitation":"\\super 29\\nosupersub{}","plainCitation":"29","noteIndex":0},"citationItems":[{"id":633,"uris":["http://zotero.org/users/local/HJepGCSn/items/N3KN3G7U"],"itemData":{"id":633,"type":"paper-conference","abstract":"Today’s success of state of the art methods for semantic segmentation is driven by large datasets. Data is considered an important asset that needs to be protected, as the collection and annotation of such datasets comes at significant efforts and associated costs. In addition, visual data might contain private or sensitive information, that makes it equally unsuited for public release. Unfortunately, recent work on membership inference in the broader area of adversarial machine learning and inference attacks on machine learning models has shown that even black box classifiers leak information on the dataset that they were trained on. We show that such membership inference attacks can be successfully carried out on complex, state of the art models for semantic segmentation. In order to mitigate the associated risks, we also study a series of defenses against such membership inference attacks and find effective counter measures against the existing risks with little effect on the utility of the segmentation method. Finally, we extensively evaluate our attacks and defenses on a range of relevant real-world datasets: Cityscapes, BDD100K, and Mapillary Vistas. Our source code and demos are available at https://github.com/SSAW14/segmentation_membership_inference.","collection-title":"Lecture Notes in Computer Science","container-title":"Computer Vision – ECCV 2020","DOI":"10.1007/978-3-030-58592-1_31","event-place":"Cham","ISBN":"978-3-030-58592-1","language":"en","page":"519-535","publisher":"Springer International Publishing","publisher-place":"Cham","source":"Springer Link","title":"Segmentations-Leak: Membership Inference Attacks and Defenses in Semantic Image Segmentation","title-short":"Segmentations-Leak","author":[{"family":"He","given":"Yang"},{"family":"Rahimian","given":"Shadi"},{"family":"Schiele","given":"Bernt"},{"family":"Fritz","given":"Mario"}],"editor":[{"family":"Vedaldi","given":"Andrea"},{"family":"Bischof","given":"Horst"},{"family":"Brox","given":"Thomas"},{"family":"Frahm","given":"Jan-Michael"}],"issued":{"date-parts":[["2020"]]}}}],"schema":"https://github.com/citation-style-language/schema/raw/master/csl-citation.json"} </w:instrText>
            </w:r>
            <w:r>
              <w:rPr>
                <w:rFonts w:ascii="Calibri" w:eastAsia="Times New Roman" w:hAnsi="Calibri" w:cs="Calibri"/>
                <w:i/>
                <w:iCs/>
                <w:color w:val="000000"/>
              </w:rPr>
              <w:fldChar w:fldCharType="separate"/>
            </w:r>
            <w:r w:rsidRPr="0013485C">
              <w:rPr>
                <w:rFonts w:ascii="Calibri" w:hAnsi="Calibri" w:cs="Calibri"/>
                <w:szCs w:val="24"/>
                <w:vertAlign w:val="superscript"/>
              </w:rPr>
              <w:t>29</w:t>
            </w:r>
            <w:r>
              <w:rPr>
                <w:rFonts w:ascii="Calibri" w:eastAsia="Times New Roman" w:hAnsi="Calibri" w:cs="Calibri"/>
                <w:i/>
                <w:iCs/>
                <w:color w:val="000000"/>
              </w:rPr>
              <w:fldChar w:fldCharType="end"/>
            </w:r>
          </w:p>
        </w:tc>
        <w:tc>
          <w:tcPr>
            <w:tcW w:w="234" w:type="dxa"/>
          </w:tcPr>
          <w:p w14:paraId="0CE2B54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70507CC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rsidRPr="00117DEC">
              <w:t>Cityscapes, BDD100K</w:t>
            </w:r>
            <w:r>
              <w:t xml:space="preserve">; </w:t>
            </w:r>
            <w:proofErr w:type="spellStart"/>
            <w:r w:rsidRPr="00117DEC">
              <w:t>Mapillary</w:t>
            </w:r>
            <w:proofErr w:type="spellEnd"/>
            <w:r w:rsidRPr="00117DEC">
              <w:t xml:space="preserve"> Vistas</w:t>
            </w:r>
          </w:p>
        </w:tc>
        <w:tc>
          <w:tcPr>
            <w:tcW w:w="2702" w:type="dxa"/>
          </w:tcPr>
          <w:p w14:paraId="5AD04D1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Pyramid Scene Parsing Network; Unified Perceptual Parsing Network</w:t>
            </w:r>
          </w:p>
        </w:tc>
        <w:tc>
          <w:tcPr>
            <w:tcW w:w="1808" w:type="dxa"/>
          </w:tcPr>
          <w:p w14:paraId="042A410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Semantic Segmentation</w:t>
            </w:r>
          </w:p>
        </w:tc>
        <w:tc>
          <w:tcPr>
            <w:tcW w:w="1407" w:type="dxa"/>
          </w:tcPr>
          <w:p w14:paraId="640C681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4B01A14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18941A3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Precision; Recall; F1-Score; AUC</w:t>
            </w:r>
          </w:p>
        </w:tc>
        <w:tc>
          <w:tcPr>
            <w:tcW w:w="781" w:type="dxa"/>
            <w:tcBorders>
              <w:left w:val="single" w:sz="4" w:space="0" w:color="auto"/>
              <w:right w:val="single" w:sz="4" w:space="0" w:color="auto"/>
            </w:tcBorders>
            <w:vAlign w:val="center"/>
          </w:tcPr>
          <w:p w14:paraId="04BECDDC"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26EC198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4A9C617A"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52527A2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7F123430"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Zhang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sidRPr="00433D95">
              <w:t>(2020)</w:t>
            </w:r>
            <w: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{"citationID":"DjTbAJJ1","properties":{"formattedCitation":"\\super 30\\nosupersub{}","plainCitation":"30","noteIndex":0},"citationItems":[{"id":645,"uris":["http://zotero.org/users/local/HJepGCSn/items/NQ8UGG72"],"itemData":{"id":645,"type":"paper-conference","abstract":"Federated learning has lately received great attention for its privacy protection feature. However, recent researches found that federated learning models are susceptible to various inference attacks. In this paper, we point out a membership inference attack method that can cause a serious privacy leakage in federated learning. An adversary who is a participant in federated learning can train a classification attack model to launch the membership inference attack, which determines if a data record is in the model's training dataset. The existing membership inference method is dissatisfied due to a lack of attack data since the training data of each participant are independent. To overcome the lack of attack data, an adversary can enrich attack data using the generative adversarial network (GAN), which is a practical method to increase data diversity. We substantiate that this GAN enhanced membership inference attack method has a 98% attack accuracy. We perform experiments to show that data diversity and the overfitting make federated learning models susceptible.","container-title":"ICC 2020 - 2020 IEEE International Conference on Communications (ICC)","DOI":"10.1109/ICC40277.2020.9148790","event-title":"ICC 2020 - 2020 IEEE International Conference on Communications (ICC)","note":"ISSN: 1938-1883","page":"1-6","source":"IEEE Xplore","title":"GAN Enhanced Membership Inference: A Passive Local Attack in Federated Learning","title-short":"GAN Enhanced Membership Inference","author":[{"family":"Zhang","given":"Jingwen"},{"family":"Zhang","given":"Jiale"},{"family":"Chen","given":"Junjun"},{"family":"Yu","given":"Shui"}],"issued":{"date-parts":[["2020",6]]}}}],"schema":"https://github.com/citation-style-language/schema/raw/master/csl-citation.json"} </w:instrText>
            </w:r>
            <w:r>
              <w:rPr>
                <w:rFonts w:ascii="Calibri" w:eastAsia="Times New Roman" w:hAnsi="Calibri" w:cs="Calibri"/>
                <w:i/>
                <w:iCs/>
                <w:color w:val="000000"/>
              </w:rPr>
              <w:fldChar w:fldCharType="separate"/>
            </w:r>
            <w:r w:rsidRPr="0013485C">
              <w:rPr>
                <w:rFonts w:ascii="Calibri" w:hAnsi="Calibri" w:cs="Calibri"/>
                <w:szCs w:val="24"/>
                <w:vertAlign w:val="superscript"/>
              </w:rPr>
              <w:t>30</w:t>
            </w:r>
            <w:r>
              <w:rPr>
                <w:rFonts w:ascii="Calibri" w:eastAsia="Times New Roman" w:hAnsi="Calibri" w:cs="Calibri"/>
                <w:i/>
                <w:iCs/>
                <w:color w:val="000000"/>
              </w:rPr>
              <w:fldChar w:fldCharType="end"/>
            </w:r>
          </w:p>
        </w:tc>
        <w:tc>
          <w:tcPr>
            <w:tcW w:w="234" w:type="dxa"/>
          </w:tcPr>
          <w:p w14:paraId="7869138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721F89F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MNIST</w:t>
            </w:r>
          </w:p>
        </w:tc>
        <w:tc>
          <w:tcPr>
            <w:tcW w:w="2702" w:type="dxa"/>
          </w:tcPr>
          <w:p w14:paraId="3EFBE9A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613F4BF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5452013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tc>
        <w:tc>
          <w:tcPr>
            <w:tcW w:w="233" w:type="dxa"/>
          </w:tcPr>
          <w:p w14:paraId="6905ADE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19EDCB6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 Recall; F1-Score</w:t>
            </w:r>
          </w:p>
        </w:tc>
        <w:tc>
          <w:tcPr>
            <w:tcW w:w="781" w:type="dxa"/>
            <w:tcBorders>
              <w:left w:val="single" w:sz="4" w:space="0" w:color="auto"/>
              <w:right w:val="single" w:sz="4" w:space="0" w:color="auto"/>
            </w:tcBorders>
            <w:vAlign w:val="center"/>
          </w:tcPr>
          <w:p w14:paraId="52A18071"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18C94E3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7DCA3B50"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011B7A85"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41240673"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Song &amp; Raghunathan</w:t>
            </w:r>
            <w:r>
              <w:rPr>
                <w:rFonts w:ascii="Calibri" w:eastAsia="Times New Roman" w:hAnsi="Calibri" w:cs="Calibri"/>
                <w:color w:val="000000"/>
              </w:rPr>
              <w:t xml:space="preserve"> </w:t>
            </w:r>
            <w:r w:rsidRPr="00433D95">
              <w:t>(2020)</w:t>
            </w:r>
            <w: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{"citationID":"a11gmel2v0g","properties":{"formattedCitation":"\\super 31\\nosupersub{}","plainCitation":"31","noteIndex":0},"citationItems":[{"id":626,"uris":["http://zotero.org/users/local/HJepGCSn/items/5X3BNK8N"],"itemData":{"id":626,"type":"chapter","abstract":"Embeddings are functions that map raw input data to low-dimensional vector representations, while preserving important semantic information about the inputs. Pre-training embeddings on a large amount of unlabeled data and fine-tuning them for downstream tasks is now a de facto standard in achieving state of the art learning in many domains. We demonstrate that embeddings, in addition to encoding generic semantics, often also present a vector that leaks sensitive information about the input data. We develop three classes of attacks to systematically study information that might be leaked by embeddings. First, embedding vectors can be inverted to partially recover some of the input data. As an example, we show that our attacks on popular sentence embeddings recover between 50%--70% of the input words (F1 scores of 0.5--0.7). Second, embeddings may reveal sensitive attributes inherent in inputs and independent of the underlying semantic task at hand. Attributes such as authorship of text can be easily extracted by training an inference model on just a handful of labeled embedding vectors. Third, embedding models leak moderate amount of membership information for infrequent training data inputs. We extensively evaluate our attacks on various state-of-the-art embedding models in the text domain. We also propose and evaluate defenses that can prevent the leakage to some extent at a minor cost in utility.","container-title":"Proceedings of the 2020 ACM SIGSAC Conference on Computer and Communications Security","event-place":"New York, NY, USA","ISBN":"978-1-4503-7089-9","page":"377–390","publisher":"Association for Computing Machinery","publisher-place":"New York, NY, USA","source":"ACM Digital Library","title":"Information Leakage in Embedding Models","URL":"https://doi.org/10.1145/3372297.3417270","author":[{"family":"Song","given":"Congzheng"},{"family":"Raghunathan","given":"Ananth"}],"accessed":{"date-parts":[["2022",8,4]]},"issued":{"date-parts":[["2020",10,30]]}},"label":"page"}],"schema":"https://github.com/citation-style-language/schema/raw/master/csl-citation.json"} </w:instrText>
            </w:r>
            <w:r>
              <w:rPr>
                <w:rFonts w:ascii="Calibri" w:eastAsia="Times New Roman" w:hAnsi="Calibri" w:cs="Calibri"/>
                <w:color w:val="000000"/>
              </w:rPr>
              <w:fldChar w:fldCharType="separate"/>
            </w:r>
            <w:r w:rsidRPr="0013485C">
              <w:rPr>
                <w:rFonts w:ascii="Calibri" w:hAnsi="Calibri" w:cs="Calibri"/>
                <w:szCs w:val="24"/>
                <w:vertAlign w:val="superscript"/>
              </w:rPr>
              <w:t>31</w:t>
            </w:r>
            <w:r>
              <w:rPr>
                <w:rFonts w:ascii="Calibri" w:eastAsia="Times New Roman" w:hAnsi="Calibri" w:cs="Calibri"/>
                <w:color w:val="000000"/>
              </w:rPr>
              <w:fldChar w:fldCharType="end"/>
            </w:r>
          </w:p>
        </w:tc>
        <w:tc>
          <w:tcPr>
            <w:tcW w:w="234" w:type="dxa"/>
          </w:tcPr>
          <w:p w14:paraId="1E18480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24906E7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Wikipedia; </w:t>
            </w:r>
            <w:proofErr w:type="spellStart"/>
            <w:r>
              <w:t>BookCorpus</w:t>
            </w:r>
            <w:proofErr w:type="spellEnd"/>
          </w:p>
        </w:tc>
        <w:tc>
          <w:tcPr>
            <w:tcW w:w="2702" w:type="dxa"/>
          </w:tcPr>
          <w:p w14:paraId="53E9B17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Word2Vec; </w:t>
            </w:r>
            <w:proofErr w:type="spellStart"/>
            <w:r>
              <w:t>FastText</w:t>
            </w:r>
            <w:proofErr w:type="spellEnd"/>
            <w:r>
              <w:t xml:space="preserve">; </w:t>
            </w:r>
            <w:proofErr w:type="spellStart"/>
            <w:proofErr w:type="gramStart"/>
            <w:r>
              <w:t>GloVe</w:t>
            </w:r>
            <w:proofErr w:type="spellEnd"/>
            <w:r>
              <w:t>;</w:t>
            </w:r>
            <w:proofErr w:type="gramEnd"/>
          </w:p>
          <w:p w14:paraId="474A79A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Recurrent Neural </w:t>
            </w:r>
            <w:proofErr w:type="gramStart"/>
            <w:r>
              <w:t>Network;</w:t>
            </w:r>
            <w:proofErr w:type="gramEnd"/>
          </w:p>
          <w:p w14:paraId="0F29B77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Transformer</w:t>
            </w:r>
          </w:p>
        </w:tc>
        <w:tc>
          <w:tcPr>
            <w:tcW w:w="1808" w:type="dxa"/>
          </w:tcPr>
          <w:p w14:paraId="4E7001C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Natural Language Processing </w:t>
            </w:r>
          </w:p>
        </w:tc>
        <w:tc>
          <w:tcPr>
            <w:tcW w:w="1407" w:type="dxa"/>
          </w:tcPr>
          <w:p w14:paraId="3A004BC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386855D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15B190D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580F48D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“Adversarial Advantage”</w:t>
            </w:r>
          </w:p>
        </w:tc>
        <w:tc>
          <w:tcPr>
            <w:tcW w:w="781" w:type="dxa"/>
            <w:tcBorders>
              <w:left w:val="single" w:sz="4" w:space="0" w:color="auto"/>
              <w:right w:val="single" w:sz="4" w:space="0" w:color="auto"/>
            </w:tcBorders>
            <w:vAlign w:val="center"/>
          </w:tcPr>
          <w:p w14:paraId="5D6B840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t>-</w:t>
            </w:r>
          </w:p>
        </w:tc>
        <w:tc>
          <w:tcPr>
            <w:tcW w:w="754" w:type="dxa"/>
            <w:tcBorders>
              <w:left w:val="single" w:sz="4" w:space="0" w:color="auto"/>
              <w:right w:val="single" w:sz="4" w:space="0" w:color="auto"/>
            </w:tcBorders>
            <w:vAlign w:val="center"/>
          </w:tcPr>
          <w:p w14:paraId="00B3F0E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t>-</w:t>
            </w:r>
          </w:p>
        </w:tc>
        <w:tc>
          <w:tcPr>
            <w:tcW w:w="754" w:type="dxa"/>
            <w:tcBorders>
              <w:left w:val="single" w:sz="4" w:space="0" w:color="auto"/>
            </w:tcBorders>
            <w:vAlign w:val="center"/>
          </w:tcPr>
          <w:p w14:paraId="122DC642"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t>-</w:t>
            </w:r>
          </w:p>
        </w:tc>
      </w:tr>
      <w:tr w:rsidR="00375D17" w14:paraId="0188159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1637E333"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Zhang</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sidRPr="00433D95">
              <w:t>(2020)</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{"citationID":"k1640K2w","properties":{"formattedCitation":"\\super 32\\nosupersub{}","plainCitation":"32","noteIndex":0},"citationItems":[{"id":257,"uris":["http://zotero.org/users/local/HJepGCSn/items/TMMTDW6R"],"itemData":{"id":257,"type":"article-journal","abstract":"An increasing amount of users' locations are aggregated, and the statistical results about the collected data are further released to support mobile applications, such as point-of-interest recommendation and smart transportation. However, such statistical results cause users' membership privacy leakage. Unfortunately, most studies concerning data aggregation focused on privacy preservation and various attacks rather than the membership inference attacks. Moreover, literature about membership inference attacks mainly aimed at machine learning models and gene sequences rather than the locations in data aggregation. More importantly, these work concerning membership inference attacks assumed that adversaries know the exact data of victims, which is always impossible in practical scenarios. To this end, we propose LocMIA, a more invasive attack system that allows adversaries to launch membership inference attacks against aggregated location data without reliance on any prior knowledge of the locations of victims. The main idea of LocMIA is to train a binary classifier to infer whether a specific victim's location data is involved in the aggregation group, based solely on the data aggregation's output (i.e., the statistical results). Finally, experimental results on a real-world check-in data set prove the devastating privacy leaks caused by the proposed LocMIA.","container-title":"IEEE Internet of Things Journal","DOI":"10.1109/JIOT.2020.3001172","ISSN":"2327-4662","issue":"12","note":"event-title: IEEE Internet of Things Journal","page":"11778-11788","source":"IEEE Xplore","title":"LocMIA: Membership Inference Attacks Against Aggregated Location Data","title-short":"LocMIA","volume":"7","author":[{"family":"Zhang","given":"Guanglin"},{"family":"Zhang","given":"Anqi"},{"family":"Zhao","given":"Ping"}],"issued":{"date-parts":[["2020",12]]}}}],"schema":"https://github.com/citation-style-language/schema/raw/master/csl-citation.json"} </w:instrText>
            </w:r>
            <w:r>
              <w:rPr>
                <w:rFonts w:ascii="Calibri" w:eastAsia="Times New Roman" w:hAnsi="Calibri" w:cs="Calibri"/>
                <w:i/>
                <w:iCs/>
                <w:color w:val="000000"/>
              </w:rPr>
              <w:fldChar w:fldCharType="separate"/>
            </w:r>
            <w:r w:rsidRPr="0013485C">
              <w:rPr>
                <w:rFonts w:ascii="Calibri" w:hAnsi="Calibri" w:cs="Calibri"/>
                <w:szCs w:val="24"/>
                <w:vertAlign w:val="superscript"/>
              </w:rPr>
              <w:t>32</w:t>
            </w:r>
            <w:r>
              <w:rPr>
                <w:rFonts w:ascii="Calibri" w:eastAsia="Times New Roman" w:hAnsi="Calibri" w:cs="Calibri"/>
                <w:i/>
                <w:iCs/>
                <w:color w:val="000000"/>
              </w:rPr>
              <w:fldChar w:fldCharType="end"/>
            </w:r>
          </w:p>
        </w:tc>
        <w:tc>
          <w:tcPr>
            <w:tcW w:w="234" w:type="dxa"/>
          </w:tcPr>
          <w:p w14:paraId="7913D11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084842F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Gowalla</w:t>
            </w:r>
          </w:p>
        </w:tc>
        <w:tc>
          <w:tcPr>
            <w:tcW w:w="2702" w:type="dxa"/>
          </w:tcPr>
          <w:p w14:paraId="573E6DE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roofErr w:type="spellStart"/>
            <w:r>
              <w:t>XGBoost</w:t>
            </w:r>
            <w:proofErr w:type="spellEnd"/>
            <w:r>
              <w:t>; AdaBoost; Bagging; k-Nearest Neighbour; Random Forest; Support Vector Machine; Residual Network</w:t>
            </w:r>
          </w:p>
        </w:tc>
        <w:tc>
          <w:tcPr>
            <w:tcW w:w="1808" w:type="dxa"/>
          </w:tcPr>
          <w:p w14:paraId="110A0A4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4939592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381EF83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1724A91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True/False Positive/Negative Rates; Precision; Recall; AUC</w:t>
            </w:r>
          </w:p>
        </w:tc>
        <w:tc>
          <w:tcPr>
            <w:tcW w:w="781" w:type="dxa"/>
            <w:tcBorders>
              <w:left w:val="single" w:sz="4" w:space="0" w:color="auto"/>
              <w:right w:val="single" w:sz="4" w:space="0" w:color="auto"/>
            </w:tcBorders>
            <w:vAlign w:val="center"/>
          </w:tcPr>
          <w:p w14:paraId="7478057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B776B5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6F5DEE33"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57080FFA"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5CAFF2AD"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Shuvo</w:t>
            </w:r>
            <w:r>
              <w:rPr>
                <w:rFonts w:ascii="Calibri" w:eastAsia="Times New Roman" w:hAnsi="Calibri" w:cs="Calibri"/>
                <w:color w:val="000000"/>
              </w:rPr>
              <w:t xml:space="preserve"> &amp; </w:t>
            </w:r>
            <w:proofErr w:type="spellStart"/>
            <w:r w:rsidRPr="002407A3">
              <w:rPr>
                <w:rFonts w:ascii="Calibri" w:eastAsia="Times New Roman" w:hAnsi="Calibri" w:cs="Calibri"/>
                <w:color w:val="000000"/>
              </w:rPr>
              <w:t>Alhadidi</w:t>
            </w:r>
            <w:proofErr w:type="spellEnd"/>
            <w:r w:rsidRPr="002407A3">
              <w:rPr>
                <w:rFonts w:ascii="Calibri" w:eastAsia="Times New Roman" w:hAnsi="Calibri" w:cs="Calibri"/>
                <w:color w:val="000000"/>
              </w:rPr>
              <w:t xml:space="preserve"> </w:t>
            </w:r>
            <w:r w:rsidRPr="00433D95">
              <w:t>(2020)</w:t>
            </w:r>
            <w: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{"citationID":"FnZz6Pq7","properties":{"formattedCitation":"\\super 33\\nosupersub{}","plainCitation":"33","noteIndex":0},"citationItems":[{"id":259,"uris":["http://zotero.org/users/local/HJepGCSn/items/X6R7V8DC"],"itemData":{"id":259,"type":"paper-conference","abstract":"Given a machine learning model and a record, membership attacks determine whether this record was used as part of the model's training dataset. Membership inference can present a risk to private datasets if these datasets are used to train machine learning models and access to the resulting models is open to the public. To construct attack models, multiple shadow models are created that imitate the behaviour of the target model, but for which we know the training datasets and thus the ground truth about membership in these datasets. Attack models are then trained on the labeled inputs and outputs of the shadow models. There is a desideratum to conduct more analysis about this attack and accordingly to provide robust mitigation techniques that will not affect the target model's utility. In this paper, we empirically analyzed this attack from different perspectives related to the number of models and the type of training algorithms. We also proposed and evaluated different mitigation techniques against this type of attack considering different training algorithms of the target model. Our experiments show that the defence strategies mitigate the membership inference attack considerably while preserving the utility of the target model. Finally, we summarized and compared the existing mitigation techniques with our results.","container-title":"2020 IEEE 19th International Conference on Trust, Security and Privacy in Computing and Communications (TrustCom)","DOI":"10.1109/TrustCom50675.2020.00190","event-title":"2020 IEEE 19th International Conference on Trust, Security and Privacy in Computing and Communications (TrustCom)","note":"ISSN: 2324-9013","page":"1410-1419","source":"IEEE Xplore","title":"Membership Inference Attacks: Analysis and Mitigation","title-short":"Membership Inference Attacks","author":[{"family":"Shuvo","given":"Md Shamimur Rahman"},{"family":"Alhadidi","given":"Dima"}],"issued":{"date-parts":[["2020",12]]}}}],"schema":"https://github.com/citation-style-language/schema/raw/master/csl-citation.json"} </w:instrText>
            </w:r>
            <w:r>
              <w:rPr>
                <w:rFonts w:ascii="Calibri" w:eastAsia="Times New Roman" w:hAnsi="Calibri" w:cs="Calibri"/>
                <w:i/>
                <w:iCs/>
                <w:color w:val="000000"/>
              </w:rPr>
              <w:fldChar w:fldCharType="separate"/>
            </w:r>
            <w:r w:rsidRPr="0013485C">
              <w:rPr>
                <w:rFonts w:ascii="Calibri" w:hAnsi="Calibri" w:cs="Calibri"/>
                <w:szCs w:val="24"/>
                <w:vertAlign w:val="superscript"/>
              </w:rPr>
              <w:t>33</w:t>
            </w:r>
            <w:r>
              <w:rPr>
                <w:rFonts w:ascii="Calibri" w:eastAsia="Times New Roman" w:hAnsi="Calibri" w:cs="Calibri"/>
                <w:i/>
                <w:iCs/>
                <w:color w:val="000000"/>
              </w:rPr>
              <w:fldChar w:fldCharType="end"/>
            </w:r>
          </w:p>
        </w:tc>
        <w:tc>
          <w:tcPr>
            <w:tcW w:w="234" w:type="dxa"/>
          </w:tcPr>
          <w:p w14:paraId="64FDCDF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77D41A8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MNIST</w:t>
            </w:r>
          </w:p>
        </w:tc>
        <w:tc>
          <w:tcPr>
            <w:tcW w:w="2702" w:type="dxa"/>
          </w:tcPr>
          <w:p w14:paraId="1F09BE8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Feed-Forward Neural Network; </w:t>
            </w:r>
            <w:proofErr w:type="spellStart"/>
            <w:r>
              <w:t>Softmax</w:t>
            </w:r>
            <w:proofErr w:type="spellEnd"/>
            <w:r>
              <w:t xml:space="preserve"> Regression; Convolutional Neural Network; Logistic Regression</w:t>
            </w:r>
          </w:p>
        </w:tc>
        <w:tc>
          <w:tcPr>
            <w:tcW w:w="1808" w:type="dxa"/>
          </w:tcPr>
          <w:p w14:paraId="53DEF7A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2BD01E8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6A3119B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78B412B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Recall</w:t>
            </w:r>
          </w:p>
        </w:tc>
        <w:tc>
          <w:tcPr>
            <w:tcW w:w="781" w:type="dxa"/>
            <w:tcBorders>
              <w:left w:val="single" w:sz="4" w:space="0" w:color="auto"/>
              <w:right w:val="single" w:sz="4" w:space="0" w:color="auto"/>
            </w:tcBorders>
            <w:vAlign w:val="center"/>
          </w:tcPr>
          <w:p w14:paraId="2F3EC7C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1682FA48"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39C85F98"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2214008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6B59C7C7"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Wang</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sidRPr="00433D95">
              <w:t>(2020)</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{"citationID":"4veAtPN4","properties":{"formattedCitation":"\\super 34\\nosupersub{}","plainCitation":"34","noteIndex":0},"citationItems":[{"id":250,"uris":["http://zotero.org/users/local/HJepGCSn/items/KXYM4ZNP"],"itemData":{"id":250,"type":"article-journal","abstract":"The emerging of machine learning has massively promoted the abilities of computational sustainability in natural resource management and allocation. Many Internet giants such as Google, Amazon, and Microsoft now provide Machine Learning as a Service (MLaaS) to meet the increasing demand for machine learning services. However, the prediction results of training data and testing data with the same machine learning model in MLaaS have remarkable differences, and thus the attackers can leverage machine learning techniques to launch the so-called membership inference attacks, i.e., to infer whether a record is in the training data or not. In this paper, we propose MIASec that can guarantee the data indistinguishability of the training data and thereby has the ability to defend against membership inference attacks in MLaaS. The key idea of MIASec is to narrow the dynamic ranges of vital features in the training data, such that the training data, the testing data, and even the synthetic data have almost semblable prediction results by the same machine learning model. With elaborated design on modifying the values of vital features in the training data, MIASec can thus reduce the differences between the model's outcomes of training data and testing data, thereby protecting the training data in effect while keeping the model's accuracy stable. We empirically evaluate MIASec on machine learning models trained by off-line neural networks and on-line MLaaS. Using realistic data and classification tasks, our experiment results show that MIASec can defend the membership inference attacks effectively. In particular, MIASec can reduce the precision and recall of attacks respectively by 11.7 and 15.4 percent in average, and by 18.6 and 21.8 percent at best.","container-title":"IEEE Transactions on Sustainable Computing","DOI":"10.1109/TSUSC.2019.2930526","ISSN":"2377-3782","issue":"3","note":"event-title: IEEE Transactions on Sustainable Computing","page":"365-376","source":"IEEE Xplore","title":"MIASec: Enabling Data Indistinguishability Against Membership Inference Attacks in MLaaS","title-short":"MIASec","volume":"5","author":[{"family":"Wang","given":"Chen"},{"family":"Liu","given":"Gaoyang"},{"family":"Huang","given":"Haojun"},{"family":"Feng","given":"Weijie"},{"family":"Peng","given":"Kai"},{"family":"Wang","given":"Lizhe"}],"issued":{"date-parts":[["2020",7]]}}}],"schema":"https://github.com/citation-style-language/schema/raw/master/csl-citation.json"} </w:instrText>
            </w:r>
            <w:r>
              <w:rPr>
                <w:rFonts w:ascii="Calibri" w:eastAsia="Times New Roman" w:hAnsi="Calibri" w:cs="Calibri"/>
                <w:i/>
                <w:iCs/>
                <w:color w:val="000000"/>
              </w:rPr>
              <w:fldChar w:fldCharType="separate"/>
            </w:r>
            <w:r w:rsidRPr="0013485C">
              <w:rPr>
                <w:rFonts w:ascii="Calibri" w:hAnsi="Calibri" w:cs="Calibri"/>
                <w:szCs w:val="24"/>
                <w:vertAlign w:val="superscript"/>
              </w:rPr>
              <w:t>34</w:t>
            </w:r>
            <w:r>
              <w:rPr>
                <w:rFonts w:ascii="Calibri" w:eastAsia="Times New Roman" w:hAnsi="Calibri" w:cs="Calibri"/>
                <w:i/>
                <w:iCs/>
                <w:color w:val="000000"/>
              </w:rPr>
              <w:fldChar w:fldCharType="end"/>
            </w:r>
          </w:p>
        </w:tc>
        <w:tc>
          <w:tcPr>
            <w:tcW w:w="234" w:type="dxa"/>
          </w:tcPr>
          <w:p w14:paraId="6E5214F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5DFAB1A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Adult; Location; Purchase-(2/5/10/ 30/50) </w:t>
            </w:r>
          </w:p>
        </w:tc>
        <w:tc>
          <w:tcPr>
            <w:tcW w:w="2702" w:type="dxa"/>
          </w:tcPr>
          <w:p w14:paraId="757D30F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Neural Network; Random Forest; </w:t>
            </w:r>
            <w:proofErr w:type="spellStart"/>
            <w:r>
              <w:t>XGBoost</w:t>
            </w:r>
            <w:proofErr w:type="spellEnd"/>
            <w:r>
              <w:t>; Support Vector Machine</w:t>
            </w:r>
          </w:p>
        </w:tc>
        <w:tc>
          <w:tcPr>
            <w:tcW w:w="1808" w:type="dxa"/>
          </w:tcPr>
          <w:p w14:paraId="5ECD99B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108F4E6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64BFE3D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3093A25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 Precision</w:t>
            </w:r>
          </w:p>
        </w:tc>
        <w:tc>
          <w:tcPr>
            <w:tcW w:w="781" w:type="dxa"/>
            <w:tcBorders>
              <w:left w:val="single" w:sz="4" w:space="0" w:color="auto"/>
              <w:right w:val="single" w:sz="4" w:space="0" w:color="auto"/>
            </w:tcBorders>
            <w:vAlign w:val="center"/>
          </w:tcPr>
          <w:p w14:paraId="2AC6CBA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277F916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63FAA83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56EF8BE0"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74640304"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Yeom</w:t>
            </w:r>
            <w:proofErr w:type="spellEnd"/>
            <w:r>
              <w:rPr>
                <w:rFonts w:ascii="Calibri" w:eastAsia="Times New Roman" w:hAnsi="Calibri" w:cs="Calibri"/>
                <w:color w:val="000000"/>
              </w:rPr>
              <w:t xml:space="preserve"> </w:t>
            </w:r>
            <w:r>
              <w:rPr>
                <w:rFonts w:ascii="Calibri" w:eastAsia="Times New Roman" w:hAnsi="Calibri" w:cs="Calibri"/>
                <w:i/>
                <w:iCs/>
                <w:color w:val="000000"/>
              </w:rPr>
              <w:t xml:space="preserve">et al </w:t>
            </w:r>
            <w:r w:rsidRPr="00433D95">
              <w:t>(2020)</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{"citationID":"bu98UHD5","properties":{"formattedCitation":"\\super 35\\nosupersub{}","plainCitation":"35","noteIndex":0},"citationItems":[{"id":169,"uris":["http://zotero.org/users/local/HJepGCSn/items/G9PLDTCQ"],"itemData":{"id":169,"type":"article-journal","abstract":"Machine learning algorithms, when applied to sensitive data, pose a distinct threat to privacy. A growing body of prior work demonstrates that models produced by these algorithms may leak speciﬁc private information in the training data to an attacker, either through the models’ structure or their observable behavior. This article examines the factors that can allow a training set membership inference attacker or an attribute inference attacker to learn such information. Using both formal and empirical analyses, we illustrate a clear relationship between these factors and the privacy risk that arises in several popular machine learning algorithms.","container-title":"Journal of Computer Security","DOI":"10.3233/JCS-191362","ISSN":"18758924, 0926227X","issue":"1","journalAbbreviation":"JCS","language":"en","page":"35-70","source":"DOI.org (Crossref)","title":"Overfitting, robustness, and malicious algorithms: A study of potential causes of privacy risk in machine learning","title-short":"Overfitting, robustness, and malicious algorithms","volume":"28","author":[{"family":"Yeom","given":"Samuel"},{"family":"Giacomelli","given":"Irene"},{"family":"Menaged","given":"Alan"},{"family":"Fredrikson","given":"Matt"},{"family":"Jha","given":"Somesh"}],"issued":{"date-parts":[["2020",2,4]]}}}],"schema":"https://github.com/citation-style-language/schema/raw/master/csl-citation.json"} </w:instrText>
            </w:r>
            <w:r>
              <w:rPr>
                <w:rFonts w:ascii="Calibri" w:eastAsia="Times New Roman" w:hAnsi="Calibri" w:cs="Calibri"/>
                <w:i/>
                <w:iCs/>
                <w:color w:val="000000"/>
              </w:rPr>
              <w:fldChar w:fldCharType="separate"/>
            </w:r>
            <w:r w:rsidRPr="0013485C">
              <w:rPr>
                <w:rFonts w:ascii="Calibri" w:hAnsi="Calibri" w:cs="Calibri"/>
                <w:szCs w:val="24"/>
                <w:vertAlign w:val="superscript"/>
              </w:rPr>
              <w:t>35</w:t>
            </w:r>
            <w:r>
              <w:rPr>
                <w:rFonts w:ascii="Calibri" w:eastAsia="Times New Roman" w:hAnsi="Calibri" w:cs="Calibri"/>
                <w:i/>
                <w:iCs/>
                <w:color w:val="000000"/>
              </w:rPr>
              <w:fldChar w:fldCharType="end"/>
            </w:r>
          </w:p>
        </w:tc>
        <w:tc>
          <w:tcPr>
            <w:tcW w:w="234" w:type="dxa"/>
          </w:tcPr>
          <w:p w14:paraId="3BD4AC7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68E8F60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roofErr w:type="spellStart"/>
            <w:r>
              <w:t>Eyedata</w:t>
            </w:r>
            <w:proofErr w:type="spellEnd"/>
            <w:r>
              <w:t>; IWPC; Netflix; MNIST; CIFAR-(10/100); Labeled Faces Wild</w:t>
            </w:r>
          </w:p>
        </w:tc>
        <w:tc>
          <w:tcPr>
            <w:tcW w:w="2702" w:type="dxa"/>
          </w:tcPr>
          <w:p w14:paraId="4C32FEC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Linear Regression; Decision Tree; Deep Convolutional Neural Network</w:t>
            </w:r>
          </w:p>
        </w:tc>
        <w:tc>
          <w:tcPr>
            <w:tcW w:w="1808" w:type="dxa"/>
          </w:tcPr>
          <w:p w14:paraId="5B64CD6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4529536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5D71152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564502E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Precision; Recall</w:t>
            </w:r>
          </w:p>
        </w:tc>
        <w:tc>
          <w:tcPr>
            <w:tcW w:w="781" w:type="dxa"/>
            <w:tcBorders>
              <w:left w:val="single" w:sz="4" w:space="0" w:color="auto"/>
              <w:right w:val="single" w:sz="4" w:space="0" w:color="auto"/>
            </w:tcBorders>
            <w:vAlign w:val="center"/>
          </w:tcPr>
          <w:p w14:paraId="308D6FA6"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D01065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6B5C81E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rsidRPr="00443DC9" w14:paraId="4962844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val="restart"/>
            <w:tcBorders>
              <w:top w:val="single" w:sz="24" w:space="0" w:color="auto"/>
            </w:tcBorders>
            <w:shd w:val="clear" w:color="auto" w:fill="FFFFFF" w:themeFill="background1"/>
          </w:tcPr>
          <w:p w14:paraId="3ED5E305" w14:textId="77777777" w:rsidR="00375D17" w:rsidRPr="00443DC9" w:rsidRDefault="00375D17" w:rsidP="00530265">
            <w:pPr>
              <w:rPr>
                <w:b w:val="0"/>
                <w:bCs w:val="0"/>
                <w:sz w:val="24"/>
                <w:szCs w:val="24"/>
              </w:rPr>
            </w:pPr>
          </w:p>
          <w:p w14:paraId="2E731E12" w14:textId="77777777" w:rsidR="00375D17" w:rsidRPr="00443DC9" w:rsidRDefault="00375D17" w:rsidP="00530265">
            <w:pPr>
              <w:rPr>
                <w:b w:val="0"/>
                <w:bCs w:val="0"/>
                <w:sz w:val="24"/>
                <w:szCs w:val="24"/>
              </w:rPr>
            </w:pPr>
          </w:p>
          <w:p w14:paraId="1155578F" w14:textId="77777777" w:rsidR="00375D17" w:rsidRPr="00443DC9" w:rsidRDefault="00375D17" w:rsidP="00530265">
            <w:pPr>
              <w:rPr>
                <w:sz w:val="24"/>
                <w:szCs w:val="24"/>
              </w:rPr>
            </w:pPr>
            <w:r w:rsidRPr="00443DC9">
              <w:rPr>
                <w:sz w:val="24"/>
                <w:szCs w:val="24"/>
              </w:rPr>
              <w:t>Authors (Year)</w:t>
            </w:r>
          </w:p>
        </w:tc>
        <w:tc>
          <w:tcPr>
            <w:tcW w:w="234" w:type="dxa"/>
            <w:tcBorders>
              <w:top w:val="single" w:sz="24" w:space="0" w:color="auto"/>
            </w:tcBorders>
            <w:shd w:val="clear" w:color="auto" w:fill="FFFFFF" w:themeFill="background1"/>
          </w:tcPr>
          <w:p w14:paraId="120CB336"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sz w:val="24"/>
                <w:szCs w:val="24"/>
              </w:rPr>
            </w:pPr>
          </w:p>
        </w:tc>
        <w:tc>
          <w:tcPr>
            <w:tcW w:w="8050" w:type="dxa"/>
            <w:gridSpan w:val="4"/>
            <w:tcBorders>
              <w:top w:val="single" w:sz="24" w:space="0" w:color="auto"/>
            </w:tcBorders>
            <w:shd w:val="clear" w:color="auto" w:fill="FFFFFF" w:themeFill="background1"/>
          </w:tcPr>
          <w:p w14:paraId="0C43E32E"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Setting</w:t>
            </w:r>
          </w:p>
        </w:tc>
        <w:tc>
          <w:tcPr>
            <w:tcW w:w="233" w:type="dxa"/>
            <w:tcBorders>
              <w:top w:val="single" w:sz="24" w:space="0" w:color="auto"/>
              <w:bottom w:val="nil"/>
            </w:tcBorders>
            <w:shd w:val="clear" w:color="auto" w:fill="FFFFFF" w:themeFill="background1"/>
          </w:tcPr>
          <w:p w14:paraId="236F16E8"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p>
        </w:tc>
        <w:tc>
          <w:tcPr>
            <w:tcW w:w="4083" w:type="dxa"/>
            <w:gridSpan w:val="4"/>
            <w:tcBorders>
              <w:top w:val="single" w:sz="24" w:space="0" w:color="auto"/>
              <w:bottom w:val="single" w:sz="12" w:space="0" w:color="auto"/>
            </w:tcBorders>
            <w:shd w:val="clear" w:color="auto" w:fill="FFFFFF" w:themeFill="background1"/>
            <w:vAlign w:val="center"/>
          </w:tcPr>
          <w:p w14:paraId="77CE88C9"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Performance</w:t>
            </w:r>
          </w:p>
        </w:tc>
      </w:tr>
      <w:tr w:rsidR="00375D17" w:rsidRPr="00443DC9" w14:paraId="0D27D258" w14:textId="77777777" w:rsidTr="00530265">
        <w:tc>
          <w:tcPr>
            <w:cnfStyle w:val="001000000000" w:firstRow="0" w:lastRow="0" w:firstColumn="1" w:lastColumn="0" w:oddVBand="0" w:evenVBand="0" w:oddHBand="0" w:evenHBand="0" w:firstRowFirstColumn="0" w:firstRowLastColumn="0" w:lastRowFirstColumn="0" w:lastRowLastColumn="0"/>
            <w:tcW w:w="2329" w:type="dxa"/>
            <w:vMerge/>
            <w:tcBorders>
              <w:bottom w:val="single" w:sz="24" w:space="0" w:color="auto"/>
            </w:tcBorders>
          </w:tcPr>
          <w:p w14:paraId="637A4C6C" w14:textId="77777777" w:rsidR="00375D17" w:rsidRPr="00443DC9" w:rsidRDefault="00375D17" w:rsidP="00530265">
            <w:pPr>
              <w:rPr>
                <w:b w:val="0"/>
                <w:bCs w:val="0"/>
                <w:sz w:val="24"/>
                <w:szCs w:val="24"/>
              </w:rPr>
            </w:pPr>
          </w:p>
        </w:tc>
        <w:tc>
          <w:tcPr>
            <w:tcW w:w="234" w:type="dxa"/>
            <w:tcBorders>
              <w:bottom w:val="single" w:sz="24" w:space="0" w:color="auto"/>
            </w:tcBorders>
            <w:shd w:val="clear" w:color="auto" w:fill="FFFFFF" w:themeFill="background1"/>
          </w:tcPr>
          <w:p w14:paraId="65D2ABE4"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p>
        </w:tc>
        <w:tc>
          <w:tcPr>
            <w:tcW w:w="2133" w:type="dxa"/>
            <w:tcBorders>
              <w:top w:val="single" w:sz="12" w:space="0" w:color="auto"/>
              <w:bottom w:val="single" w:sz="24" w:space="0" w:color="auto"/>
            </w:tcBorders>
            <w:shd w:val="clear" w:color="auto" w:fill="FFFFFF" w:themeFill="background1"/>
            <w:vAlign w:val="bottom"/>
          </w:tcPr>
          <w:p w14:paraId="5E192FCE"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Training Dataset(s)</w:t>
            </w:r>
          </w:p>
        </w:tc>
        <w:tc>
          <w:tcPr>
            <w:tcW w:w="2702" w:type="dxa"/>
            <w:tcBorders>
              <w:top w:val="single" w:sz="12" w:space="0" w:color="auto"/>
              <w:bottom w:val="single" w:sz="24" w:space="0" w:color="auto"/>
            </w:tcBorders>
            <w:shd w:val="clear" w:color="auto" w:fill="FFFFFF" w:themeFill="background1"/>
            <w:vAlign w:val="bottom"/>
          </w:tcPr>
          <w:p w14:paraId="074BD3D9"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Target Model Architecture(s)</w:t>
            </w:r>
          </w:p>
        </w:tc>
        <w:tc>
          <w:tcPr>
            <w:tcW w:w="1808" w:type="dxa"/>
            <w:tcBorders>
              <w:top w:val="single" w:sz="12" w:space="0" w:color="auto"/>
              <w:bottom w:val="single" w:sz="24" w:space="0" w:color="auto"/>
            </w:tcBorders>
            <w:shd w:val="clear" w:color="auto" w:fill="FFFFFF" w:themeFill="background1"/>
            <w:vAlign w:val="bottom"/>
          </w:tcPr>
          <w:p w14:paraId="030ACF6D"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 xml:space="preserve">Target Model Task </w:t>
            </w:r>
          </w:p>
        </w:tc>
        <w:tc>
          <w:tcPr>
            <w:tcW w:w="1407" w:type="dxa"/>
            <w:tcBorders>
              <w:top w:val="single" w:sz="12" w:space="0" w:color="auto"/>
              <w:bottom w:val="single" w:sz="24" w:space="0" w:color="auto"/>
            </w:tcBorders>
            <w:shd w:val="clear" w:color="auto" w:fill="FFFFFF" w:themeFill="background1"/>
            <w:vAlign w:val="bottom"/>
          </w:tcPr>
          <w:p w14:paraId="50C446CA"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Knowledge</w:t>
            </w:r>
          </w:p>
        </w:tc>
        <w:tc>
          <w:tcPr>
            <w:tcW w:w="233" w:type="dxa"/>
            <w:tcBorders>
              <w:top w:val="nil"/>
              <w:bottom w:val="single" w:sz="24" w:space="0" w:color="auto"/>
            </w:tcBorders>
            <w:shd w:val="clear" w:color="auto" w:fill="FFFFFF" w:themeFill="background1"/>
            <w:vAlign w:val="bottom"/>
          </w:tcPr>
          <w:p w14:paraId="14DC8416"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p>
        </w:tc>
        <w:tc>
          <w:tcPr>
            <w:tcW w:w="1794" w:type="dxa"/>
            <w:tcBorders>
              <w:top w:val="single" w:sz="12" w:space="0" w:color="auto"/>
              <w:bottom w:val="single" w:sz="24" w:space="0" w:color="auto"/>
              <w:right w:val="single" w:sz="4" w:space="0" w:color="auto"/>
            </w:tcBorders>
            <w:shd w:val="clear" w:color="auto" w:fill="FFFFFF" w:themeFill="background1"/>
            <w:vAlign w:val="center"/>
          </w:tcPr>
          <w:p w14:paraId="6AC3FC28"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Performance Metric(s)</w:t>
            </w:r>
          </w:p>
        </w:tc>
        <w:tc>
          <w:tcPr>
            <w:tcW w:w="781" w:type="dxa"/>
            <w:tcBorders>
              <w:left w:val="single" w:sz="4" w:space="0" w:color="auto"/>
              <w:bottom w:val="single" w:sz="24" w:space="0" w:color="auto"/>
              <w:right w:val="single" w:sz="4" w:space="0" w:color="auto"/>
            </w:tcBorders>
            <w:shd w:val="clear" w:color="auto" w:fill="FFFFFF" w:themeFill="background1"/>
            <w:vAlign w:val="center"/>
          </w:tcPr>
          <w:p w14:paraId="7BAD8543"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&gt;50%</w:t>
            </w:r>
          </w:p>
        </w:tc>
        <w:tc>
          <w:tcPr>
            <w:tcW w:w="754" w:type="dxa"/>
            <w:tcBorders>
              <w:left w:val="single" w:sz="4" w:space="0" w:color="auto"/>
              <w:bottom w:val="single" w:sz="24" w:space="0" w:color="auto"/>
              <w:right w:val="single" w:sz="4" w:space="0" w:color="auto"/>
            </w:tcBorders>
            <w:shd w:val="clear" w:color="auto" w:fill="FFFFFF" w:themeFill="background1"/>
            <w:vAlign w:val="center"/>
          </w:tcPr>
          <w:p w14:paraId="4ADE4969"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rFonts w:cstheme="minorHAnsi"/>
                <w:b/>
                <w:bCs/>
                <w:sz w:val="24"/>
                <w:szCs w:val="24"/>
              </w:rPr>
              <w:t>≥</w:t>
            </w:r>
            <w:r w:rsidRPr="00443DC9">
              <w:rPr>
                <w:b/>
                <w:bCs/>
                <w:sz w:val="24"/>
                <w:szCs w:val="24"/>
              </w:rPr>
              <w:t>75%</w:t>
            </w:r>
          </w:p>
        </w:tc>
        <w:tc>
          <w:tcPr>
            <w:tcW w:w="754" w:type="dxa"/>
            <w:tcBorders>
              <w:left w:val="single" w:sz="4" w:space="0" w:color="auto"/>
              <w:bottom w:val="single" w:sz="24" w:space="0" w:color="auto"/>
            </w:tcBorders>
            <w:shd w:val="clear" w:color="auto" w:fill="FFFFFF" w:themeFill="background1"/>
            <w:vAlign w:val="center"/>
          </w:tcPr>
          <w:p w14:paraId="4CB3148A"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rFonts w:cstheme="minorHAnsi"/>
                <w:b/>
                <w:bCs/>
                <w:sz w:val="24"/>
                <w:szCs w:val="24"/>
              </w:rPr>
              <w:t>≥90</w:t>
            </w:r>
            <w:r w:rsidRPr="00443DC9">
              <w:rPr>
                <w:b/>
                <w:bCs/>
                <w:sz w:val="24"/>
                <w:szCs w:val="24"/>
              </w:rPr>
              <w:t>%</w:t>
            </w:r>
          </w:p>
        </w:tc>
      </w:tr>
      <w:tr w:rsidR="00375D17" w14:paraId="314AFD86"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4BBD3623"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Bogdanova</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sidRPr="00433D95">
              <w:t>(2020)</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{"citationID":"LufSMY6k","properties":{"formattedCitation":"\\super 36\\nosupersub{}","plainCitation":"36","noteIndex":0},"citationItems":[{"id":433,"uris":["http://zotero.org/users/local/HJepGCSn/items/LTXVX6PK"],"itemData":{"id":433,"type":"article-journal","abstract":"This paper explores the problem of data collaboration in health care, which is the one of the critical infrastructure sectors designated by the Department of Home Security. Limitations to data sharing in health care obstruct the development of a new generation of medical technology powered by artificial intelligence (AI). Collaborative machine learning helps to overcome these limitations through training models on distributed data sets without data sharing. Among other approaches to collaborative machine learning, federated learning in recent years has demonstrated multiple advantages. However, it had been developed and tested in a highly distributed data environment, which is different from the typical cases of health care data collaboration. The objective of this paper is to validate the known advantages of federated learning and to assess possible risks in a small multiparty setting. The experiments show that federated learning can be successfully applied in a multiparty collaboration setting. However, with a small number of parties, it becomes easier to overfit to each local data so that the averaging steps have to occur more frequently. In addition, for the first time, the risks of a membership inference attack were assessed for different methods of collaborative machine learning.","container-title":"ASCE-ASME Journal of Risk and Uncertainty in Engineering Systems, Part A: Civil Engineering","DOI":"10.1061/AJRUA6.0001078","issue":"3","language":"EN","license":"©2020 American Society of Civil Engineers","note":"publisher: American Society of Civil Engineers","page":"04020031","source":"ASCE","title":"Risk and Advantages of Federated Learning for Health Care Data Collaboration","volume":"6","author":[{"family":"Bogdanova","given":"Anna"},{"family":"Attoh-Okine","given":"Nii"},{"family":"Sakurai","given":"Tetsuya"}],"issued":{"date-parts":[["2020",9,1]]}}}],"schema":"https://github.com/citation-style-language/schema/raw/master/csl-citation.json"} </w:instrText>
            </w:r>
            <w:r>
              <w:rPr>
                <w:rFonts w:ascii="Calibri" w:eastAsia="Times New Roman" w:hAnsi="Calibri" w:cs="Calibri"/>
                <w:i/>
                <w:iCs/>
                <w:color w:val="000000"/>
              </w:rPr>
              <w:fldChar w:fldCharType="separate"/>
            </w:r>
            <w:r w:rsidRPr="0013485C">
              <w:rPr>
                <w:rFonts w:ascii="Calibri" w:hAnsi="Calibri" w:cs="Calibri"/>
                <w:szCs w:val="24"/>
                <w:vertAlign w:val="superscript"/>
              </w:rPr>
              <w:t>36</w:t>
            </w:r>
            <w:r>
              <w:rPr>
                <w:rFonts w:ascii="Calibri" w:eastAsia="Times New Roman" w:hAnsi="Calibri" w:cs="Calibri"/>
                <w:i/>
                <w:iCs/>
                <w:color w:val="000000"/>
              </w:rPr>
              <w:fldChar w:fldCharType="end"/>
            </w:r>
          </w:p>
        </w:tc>
        <w:tc>
          <w:tcPr>
            <w:tcW w:w="234" w:type="dxa"/>
          </w:tcPr>
          <w:p w14:paraId="34D2B11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11E060B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CIFAR-10</w:t>
            </w:r>
          </w:p>
        </w:tc>
        <w:tc>
          <w:tcPr>
            <w:tcW w:w="2702" w:type="dxa"/>
          </w:tcPr>
          <w:p w14:paraId="67EA865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2B30DD9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0CB110B2" w14:textId="77777777" w:rsidR="00375D17" w:rsidRDefault="00375D17" w:rsidP="00530265">
            <w:pPr>
              <w:jc w:val="center"/>
              <w:cnfStyle w:val="000000100000" w:firstRow="0" w:lastRow="0" w:firstColumn="0" w:lastColumn="0" w:oddVBand="0" w:evenVBand="0" w:oddHBand="1" w:evenHBand="0" w:firstRowFirstColumn="0" w:firstRowLastColumn="0" w:lastRowFirstColumn="0" w:lastRowLastColumn="0"/>
            </w:pPr>
            <w:r>
              <w:t>-</w:t>
            </w:r>
          </w:p>
        </w:tc>
        <w:tc>
          <w:tcPr>
            <w:tcW w:w="233" w:type="dxa"/>
          </w:tcPr>
          <w:p w14:paraId="7FDA2A4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6F9570D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Precision</w:t>
            </w:r>
          </w:p>
        </w:tc>
        <w:tc>
          <w:tcPr>
            <w:tcW w:w="781" w:type="dxa"/>
            <w:tcBorders>
              <w:left w:val="single" w:sz="4" w:space="0" w:color="auto"/>
              <w:right w:val="single" w:sz="4" w:space="0" w:color="auto"/>
            </w:tcBorders>
            <w:vAlign w:val="center"/>
          </w:tcPr>
          <w:p w14:paraId="5316A9A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2777DC90"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3C55592E"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26225F5C"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24ECBFEB"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Leino</w:t>
            </w:r>
            <w:proofErr w:type="spellEnd"/>
            <w:r>
              <w:rPr>
                <w:rFonts w:ascii="Calibri" w:eastAsia="Times New Roman" w:hAnsi="Calibri" w:cs="Calibri"/>
                <w:color w:val="000000"/>
              </w:rPr>
              <w:t xml:space="preserve"> &amp; </w:t>
            </w:r>
            <w:proofErr w:type="spellStart"/>
            <w:r w:rsidRPr="002407A3">
              <w:rPr>
                <w:rFonts w:ascii="Calibri" w:eastAsia="Times New Roman" w:hAnsi="Calibri" w:cs="Calibri"/>
                <w:color w:val="000000"/>
              </w:rPr>
              <w:t>Fredrikson</w:t>
            </w:r>
            <w:proofErr w:type="spellEnd"/>
            <w:r>
              <w:rPr>
                <w:rFonts w:ascii="Calibri" w:eastAsia="Times New Roman" w:hAnsi="Calibri" w:cs="Calibri"/>
                <w:color w:val="000000"/>
              </w:rPr>
              <w:t xml:space="preserve"> </w:t>
            </w:r>
            <w:r w:rsidRPr="00433D95">
              <w:t>(2020)</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{"citationID":"ZpBCI1PO","properties":{"formattedCitation":"\\super 5\\nosupersub{}","plainCitation":"5","noteIndex":0},"citationItems":[{"id":137,"uris":["http://zotero.org/users/local/HJepGCSn/items/W9B2TLM6"],"itemData":{"id":137,"type":"article-journal","abstract":"Membership inference (MI) attacks exploit the fact that machine learning algorithms sometimes leak information about their training data through the learned model. In this work, we study membership inference in the white-box setting in order to exploit the internals of a model, which have not been effectively utilized by previous work. Leveraging new insights about how overﬁtting occurs in deep neural networks, we show how a model’s idiosyncratic use of features can provide evidence for membership to white-box attackers—even when the model’s black-box behavior appears to generalize well—and demonstrate that this attack outperforms prior black-box methods. Taking the position that an effective attack should have the ability to provide conﬁdent positive inferences, we ﬁnd that previous attacks do not often provide a meaningful basis for conﬁdently inferring membership, whereas our attack can be effectively calibrated for high precision. Finally, we examine popular defenses against MI attacks, ﬁnding that (1) smaller generalization error is not sufﬁcient to prevent attacks on real models, and (2) while small-ε-differential privacy reduces the attack’s effectiveness, this often comes at a signiﬁcant cost to the model’s accuracy; and for larger ε that are sometimes used in practice (e.g., ε = 16 [43]), the attack can achieve nearly the same accuracy as on the unprotected model.","language":"en","page":"19","source":"Zotero","title":"Stolen Memories: Leveraging Model Memorization for Calibrated White-Box Membership Inference","author":[{"family":"Leino","given":"Klas"},{"family":"Fredrikson","given":"Matt"}]}}],"schema":"https://github.com/citation-style-language/schema/raw/master/csl-citation.json"} </w:instrText>
            </w:r>
            <w:r>
              <w:rPr>
                <w:rFonts w:ascii="Calibri" w:eastAsia="Times New Roman" w:hAnsi="Calibri" w:cs="Calibri"/>
                <w:color w:val="000000"/>
              </w:rPr>
              <w:fldChar w:fldCharType="separate"/>
            </w:r>
            <w:r w:rsidRPr="0013485C">
              <w:rPr>
                <w:rFonts w:ascii="Calibri" w:hAnsi="Calibri" w:cs="Calibri"/>
                <w:szCs w:val="24"/>
                <w:vertAlign w:val="superscript"/>
              </w:rPr>
              <w:t>5</w:t>
            </w:r>
            <w:r>
              <w:rPr>
                <w:rFonts w:ascii="Calibri" w:eastAsia="Times New Roman" w:hAnsi="Calibri" w:cs="Calibri"/>
                <w:color w:val="000000"/>
              </w:rPr>
              <w:fldChar w:fldCharType="end"/>
            </w:r>
          </w:p>
        </w:tc>
        <w:tc>
          <w:tcPr>
            <w:tcW w:w="234" w:type="dxa"/>
          </w:tcPr>
          <w:p w14:paraId="298B63B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637DA9B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Synthetic; Breast Cancer; Pima Diabetes; Hepatitis; German Credit; Adult</w:t>
            </w:r>
          </w:p>
        </w:tc>
        <w:tc>
          <w:tcPr>
            <w:tcW w:w="2702" w:type="dxa"/>
          </w:tcPr>
          <w:p w14:paraId="66E5A95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 Multilayer Perceptron</w:t>
            </w:r>
          </w:p>
        </w:tc>
        <w:tc>
          <w:tcPr>
            <w:tcW w:w="1808" w:type="dxa"/>
          </w:tcPr>
          <w:p w14:paraId="139DC40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2676D39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37A0B39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2B161F8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0AC4C4C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Precision; Recall</w:t>
            </w:r>
          </w:p>
        </w:tc>
        <w:tc>
          <w:tcPr>
            <w:tcW w:w="781" w:type="dxa"/>
            <w:tcBorders>
              <w:left w:val="single" w:sz="4" w:space="0" w:color="auto"/>
              <w:right w:val="single" w:sz="4" w:space="0" w:color="auto"/>
            </w:tcBorders>
            <w:vAlign w:val="center"/>
          </w:tcPr>
          <w:p w14:paraId="39BCEEDD"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20246A74"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3014B9A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09EB152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0FB1084B"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Long</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sidRPr="00433D95">
              <w:t>(2020)</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{"citationID":"JKBdU9u8","properties":{"formattedCitation":"\\super 37\\nosupersub{}","plainCitation":"37","noteIndex":0},"citationItems":[{"id":263,"uris":["http://zotero.org/users/local/HJepGCSn/items/DKZQ7CGF"],"itemData":{"id":263,"type":"paper-conference","abstract":"Membership Inference Attacks (MIAs) aim to determine the presence of a record in a machine learning model's training data by querying the model. Recent work has demonstrated the effectiveness of MIA on various machine learning models and corresponding defenses have been proposed. However, both attacks and defenses have focused on an adversary that indiscriminately attacks all the records without regard to the cost of false positives or negatives. In this work, we revisit membership inference attacks from the perspective of a pragmatic adversary who carefully selects targets and make predictions conservatively. We design a new evaluation methodology that allows us to evaluate the membership privacy risk at the level of individuals and not only in aggregate. We experimentally demonstrate that highly vulnerable records exist even when the aggregate attack precision is close to 50% (baseline). Specifically, on the MNIST dataset, our pragmatic adversary achieves a precision of 95.05% whereas the prior attack only achieves a precision of 51.7%.","container-title":"2020 IEEE European Symposium on Security and Privacy (EuroS&amp;P)","DOI":"10.1109/EuroSP48549.2020.00040","event-title":"2020 IEEE European Symposium on Security and Privacy (EuroS&amp;P)","page":"521-534","source":"IEEE Xplore","title":"A Pragmatic Approach to Membership Inferences on Machine Learning Models","author":[{"family":"Long","given":"Yunhui"},{"family":"Wang","given":"Lei"},{"family":"Bu","given":"Diyue"},{"family":"Bindschaedler","given":"Vincent"},{"family":"Wang","given":"Xiaofeng"},{"family":"Tang","given":"Haixu"},{"family":"Gunter","given":"Carl A."},{"family":"Chen","given":"Kai"}],"issued":{"date-parts":[["2020",9]]}}}],"schema":"https://github.com/citation-style-language/schema/raw/master/csl-citation.json"}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37</w:t>
            </w:r>
            <w:r>
              <w:rPr>
                <w:rFonts w:ascii="Calibri" w:eastAsia="Times New Roman" w:hAnsi="Calibri" w:cs="Calibri"/>
                <w:i/>
                <w:iCs/>
                <w:color w:val="000000"/>
              </w:rPr>
              <w:fldChar w:fldCharType="end"/>
            </w:r>
          </w:p>
        </w:tc>
        <w:tc>
          <w:tcPr>
            <w:tcW w:w="234" w:type="dxa"/>
          </w:tcPr>
          <w:p w14:paraId="1597DDB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7E229A3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Adult; Breast Cancer; MNIST</w:t>
            </w:r>
          </w:p>
        </w:tc>
        <w:tc>
          <w:tcPr>
            <w:tcW w:w="2702" w:type="dxa"/>
          </w:tcPr>
          <w:p w14:paraId="108301C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0CE8FCC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61370A7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tc>
        <w:tc>
          <w:tcPr>
            <w:tcW w:w="233" w:type="dxa"/>
          </w:tcPr>
          <w:p w14:paraId="1798F70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6248CCA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Precision; Recall</w:t>
            </w:r>
          </w:p>
        </w:tc>
        <w:tc>
          <w:tcPr>
            <w:tcW w:w="781" w:type="dxa"/>
            <w:tcBorders>
              <w:left w:val="single" w:sz="4" w:space="0" w:color="auto"/>
              <w:right w:val="single" w:sz="4" w:space="0" w:color="auto"/>
            </w:tcBorders>
            <w:vAlign w:val="center"/>
          </w:tcPr>
          <w:p w14:paraId="1DE04D6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1074D3A"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502A82D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535EDE53"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1A965959"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Chen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sidRPr="00433D95">
              <w:t>(2020)</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{"citationID":"81R7hZt3","properties":{"formattedCitation":"\\super 38\\nosupersub{}","plainCitation":"38","noteIndex":0},"citationItems":[{"id":641,"uris":["http://zotero.org/users/local/HJepGCSn/items/6DJ39T9W"],"itemData":{"id":641,"type":"article","abstract":"Transfer learning is widely used for transferring knowledge from a source domain to the target domain where the labeled data is scarce. Recently, deep transfer learning has achieved remarkable progress in various applications. However, the source and target datasets usually belong to two different organizations in many real-world scenarios, potential privacy issues in deep transfer learning are posed. In this study, to thoroughly analyze the potential privacy leakage in deep transfer learning, we first divide previous methods into three categories. Based on that, we demonstrate specific threats that lead to unintentional privacy leakage in each category. Additionally, we also provide some solutions to prevent these threats. To the best of our knowledge, our study is the first to provide a thorough analysis of the information leakage issues in deep transfer learning methods and provide potential solutions to the issue. Extensive experiments on two public datasets and an industry dataset are conducted to show the privacy leakage under different deep transfer learning settings and defense solution effectiveness.","DOI":"10.48550/arXiv.2009.01989","note":"arXiv:2009.01989 [cs]","number":"arXiv:2009.01989","publisher":"arXiv","source":"arXiv.org","title":"A Comprehensive Analysis of Information Leakage in Deep Transfer Learning","URL":"http://arxiv.org/abs/2009.01989","author":[{"family":"Chen","given":"Cen"},{"family":"Wu","given":"Bingzhe"},{"family":"Qiu","given":"Minghui"},{"family":"Wang","given":"Li"},{"family":"Zhou","given":"Jun"}],"accessed":{"date-parts":[["2022",8,4]]},"issued":{"date-parts":[["2020",9,3]]}},"label":"page"}],"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38</w:t>
            </w:r>
            <w:r>
              <w:rPr>
                <w:rFonts w:ascii="Calibri" w:eastAsia="Times New Roman" w:hAnsi="Calibri" w:cs="Calibri"/>
                <w:i/>
                <w:iCs/>
                <w:color w:val="000000"/>
              </w:rPr>
              <w:fldChar w:fldCharType="end"/>
            </w:r>
          </w:p>
        </w:tc>
        <w:tc>
          <w:tcPr>
            <w:tcW w:w="234" w:type="dxa"/>
          </w:tcPr>
          <w:p w14:paraId="14EE745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1AF0F7C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Amazon Review</w:t>
            </w:r>
          </w:p>
        </w:tc>
        <w:tc>
          <w:tcPr>
            <w:tcW w:w="2702" w:type="dxa"/>
          </w:tcPr>
          <w:p w14:paraId="295D870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 Multilayer Perceptron</w:t>
            </w:r>
          </w:p>
        </w:tc>
        <w:tc>
          <w:tcPr>
            <w:tcW w:w="1808" w:type="dxa"/>
          </w:tcPr>
          <w:p w14:paraId="0411B7D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36C6719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tc>
        <w:tc>
          <w:tcPr>
            <w:tcW w:w="233" w:type="dxa"/>
          </w:tcPr>
          <w:p w14:paraId="7600C0C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15F0E6C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Precision; AUC</w:t>
            </w:r>
          </w:p>
          <w:p w14:paraId="55D2B251" w14:textId="77777777" w:rsidR="00375D17" w:rsidRPr="00A86589" w:rsidRDefault="00375D17" w:rsidP="00530265">
            <w:pPr>
              <w:cnfStyle w:val="000000000000" w:firstRow="0" w:lastRow="0" w:firstColumn="0" w:lastColumn="0" w:oddVBand="0" w:evenVBand="0" w:oddHBand="0" w:evenHBand="0" w:firstRowFirstColumn="0" w:firstRowLastColumn="0" w:lastRowFirstColumn="0" w:lastRowLastColumn="0"/>
            </w:pPr>
          </w:p>
        </w:tc>
        <w:tc>
          <w:tcPr>
            <w:tcW w:w="781" w:type="dxa"/>
            <w:tcBorders>
              <w:left w:val="single" w:sz="4" w:space="0" w:color="auto"/>
              <w:right w:val="single" w:sz="4" w:space="0" w:color="auto"/>
            </w:tcBorders>
            <w:vAlign w:val="center"/>
          </w:tcPr>
          <w:p w14:paraId="0F0FAC9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675CC43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6CDF738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399E250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7983F47C"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Tople</w:t>
            </w:r>
            <w:proofErr w:type="spellEnd"/>
            <w:r>
              <w:rPr>
                <w:rFonts w:ascii="Calibri" w:eastAsia="Times New Roman" w:hAnsi="Calibri" w:cs="Calibri"/>
                <w:color w:val="000000"/>
              </w:rPr>
              <w:t xml:space="preserve">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sidRPr="00433D95">
              <w:t>(2020)</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{"citationID":"12drGKPj","properties":{"formattedCitation":"\\super 39\\nosupersub{}","plainCitation":"39","noteIndex":0},"citationItems":[{"id":677,"uris":["http://zotero.org/users/local/HJepGCSn/items/R2BPA6J7"],"itemData":{"id":677,"type":"paper-conference","abstract":"Machine learning models, especially deep neural networks are known to be susceptible to privacy attacks such as membership inference where an adversary can detect whether a data point was used to train a model. Such privacy risks are exacerbated when a model is used for predictions on an unseen data distribution. To alleviate privacy attacks, we demonstrate the benefit of predictive models that are based on the causal relationships between input features and the outcome. We first show that models learnt using causal structure generalize better to unseen data, especially on data from different distributions than the train distribution. Based on this generalization property, we establish a theoretical link between causality and privacy: compared to associational models, causal models provide stronger differential privacy guarantees and are more robust to membership inference attacks. Experiments on simulated Bayesian networks and the colored-MNIST dataset show that associational models exhibit upto 80% attack accuracy under different test distributions and sample sizes whereas causal models exhibit attack accuracy close to a random guess.","container-title":"Proceedings of the 37th International Conference on Machine Learning","event-title":"International Conference on Machine Learning","language":"en","note":"ISSN: 2640-3498","page":"9537-9547","publisher":"PMLR","source":"proceedings.mlr.press","title":"Alleviating Privacy Attacks via Causal Learning","URL":"https://proceedings.mlr.press/v119/tople20a.html","author":[{"family":"Tople","given":"Shruti"},{"family":"Sharma","given":"Amit"},{"family":"Nori","given":"Aditya"}],"accessed":{"date-parts":[["2022",9,26]]},"issued":{"date-parts":[["2020",11,21]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39</w:t>
            </w:r>
            <w:r>
              <w:rPr>
                <w:rFonts w:ascii="Calibri" w:eastAsia="Times New Roman" w:hAnsi="Calibri" w:cs="Calibri"/>
                <w:i/>
                <w:iCs/>
                <w:color w:val="000000"/>
              </w:rPr>
              <w:fldChar w:fldCharType="end"/>
            </w:r>
          </w:p>
        </w:tc>
        <w:tc>
          <w:tcPr>
            <w:tcW w:w="234" w:type="dxa"/>
          </w:tcPr>
          <w:p w14:paraId="56472D2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039D52E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Child; Alarm; Sachs; Water; MNIST</w:t>
            </w:r>
          </w:p>
        </w:tc>
        <w:tc>
          <w:tcPr>
            <w:tcW w:w="2702" w:type="dxa"/>
          </w:tcPr>
          <w:p w14:paraId="4581E77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Deep Neural Network</w:t>
            </w:r>
          </w:p>
        </w:tc>
        <w:tc>
          <w:tcPr>
            <w:tcW w:w="1808" w:type="dxa"/>
          </w:tcPr>
          <w:p w14:paraId="2399BCF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5BF3F9F2" w14:textId="77777777" w:rsidR="00375D17" w:rsidRDefault="00375D17" w:rsidP="00530265">
            <w:pPr>
              <w:pStyle w:val="ListParagraph"/>
              <w:numPr>
                <w:ilvl w:val="0"/>
                <w:numId w:val="6"/>
              </w:numPr>
              <w:cnfStyle w:val="000000100000" w:firstRow="0" w:lastRow="0" w:firstColumn="0" w:lastColumn="0" w:oddVBand="0" w:evenVBand="0" w:oddHBand="1" w:evenHBand="0" w:firstRowFirstColumn="0" w:firstRowLastColumn="0" w:lastRowFirstColumn="0" w:lastRowLastColumn="0"/>
            </w:pPr>
          </w:p>
        </w:tc>
        <w:tc>
          <w:tcPr>
            <w:tcW w:w="233" w:type="dxa"/>
          </w:tcPr>
          <w:p w14:paraId="39C8900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5E4B4C7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09C05F59"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4169A12"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62217BF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7FF76725"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03002789"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Wu</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sidRPr="00433D95">
              <w:t>(2020)</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{"citationID":"sA2YXeds","properties":{"formattedCitation":"\\super 40\\nosupersub{}","plainCitation":"40","noteIndex":0},"citationItems":[{"id":680,"uris":["http://zotero.org/users/local/HJepGCSn/items/B3EDQ6HS"],"itemData":{"id":680,"type":"article-journal","abstract":"Bayesian deep learning is recently regarded as an intrinsic way to characterize the weight uncertainty of deep neural networks (DNNs). Stochastic Gradient Langevin Dynamics (SGLD) is an effective method to enable Bayesian deep learning on large-scale datasets. Previous theoretical studies have shown various appealing properties of SGLD, ranging from the convergence properties to the generalization bounds. In this paper, we study the properties of SGLD from a novel perspective of membership privacy protection (i.e., preventing the membership attack). The membership attack, which aims to determine whether a specific sample is used for training a given DNN model, has emerged as a common threat against deep learning algorithms. To this end, we build a theoretical framework to analyze the information leakage (w.r.t. the training dataset) of a model trained using SGLD. Based on this framework, we demonstrate that SGLD can prevent the information leakage of the training dataset to a certain extent. Moreover, our theoretical analysis can be naturally extended to other types of Stochastic Gradient Markov Chain Monte Carlo (SG-MCMC) methods. Empirical results on different datasets and models verify our theoretical findings and suggest that the SGLD algorithm can not only reduce the information leakage but also improve the generalization ability of the DNN models in real-world applications.","container-title":"Proceedings of the AAAI Conference on Artificial Intelligence","DOI":"10.1609/aaai.v34i04.6107","ISSN":"2374-3468","issue":"04","language":"en","license":"Copyright (c) 2020 Association for the Advancement of Artificial Intelligence","note":"number: 04","page":"6372-6379","source":"ojs.aaai.org","title":"Characterizing Membership Privacy in Stochastic Gradient Langevin Dynamics","volume":"34","author":[{"family":"Wu","given":"Bingzhe"},{"family":"Chen","given":"Chaochao"},{"family":"Zhao","given":"Shiwan"},{"family":"Chen","given":"Cen"},{"family":"Yao","given":"Yuan"},{"family":"Sun","given":"Guangyu"},{"family":"Wang","given":"Li"},{"family":"Zhang","given":"Xiaolu"},{"family":"Zhou","given":"Jun"}],"issued":{"date-parts":[["2020",4,3]]}}}],"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40</w:t>
            </w:r>
            <w:r>
              <w:rPr>
                <w:rFonts w:ascii="Calibri" w:eastAsia="Times New Roman" w:hAnsi="Calibri" w:cs="Calibri"/>
                <w:i/>
                <w:iCs/>
                <w:color w:val="000000"/>
              </w:rPr>
              <w:fldChar w:fldCharType="end"/>
            </w:r>
          </w:p>
        </w:tc>
        <w:tc>
          <w:tcPr>
            <w:tcW w:w="234" w:type="dxa"/>
          </w:tcPr>
          <w:p w14:paraId="37F9750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780A971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German Credit</w:t>
            </w:r>
          </w:p>
        </w:tc>
        <w:tc>
          <w:tcPr>
            <w:tcW w:w="2702" w:type="dxa"/>
          </w:tcPr>
          <w:p w14:paraId="4952EAC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0D06A32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2ADB92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6DA3F60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4622A94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AUC</w:t>
            </w:r>
          </w:p>
        </w:tc>
        <w:tc>
          <w:tcPr>
            <w:tcW w:w="781" w:type="dxa"/>
            <w:tcBorders>
              <w:left w:val="single" w:sz="4" w:space="0" w:color="auto"/>
              <w:right w:val="single" w:sz="4" w:space="0" w:color="auto"/>
            </w:tcBorders>
            <w:vAlign w:val="center"/>
          </w:tcPr>
          <w:p w14:paraId="3AC6273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5EDB8248"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2621F66C"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5552590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13CF572"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Ying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sidRPr="00433D95">
              <w:t>(2020)</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{"citationID":"veXv7Dzg","properties":{"formattedCitation":"\\super 41\\nosupersub{}","plainCitation":"41","noteIndex":0},"citationItems":[{"id":828,"uris":["http://zotero.org/users/local/HJepGCSn/items/3ALWLNHU"],"itemData":{"id":828,"type":"paper-conference","abstract":"The membership inference attack refers to the attacker's purpose to infer whether the data sample is in the target classifier training dataset. The ability of an adversary to ascertain the presence of an individual constitutes an obvious privacy threat if relate to a group of users that share a sensitive characteristic. Many defense methods have been proposed for membership inference attack, but they have not achieved the expected privacy effect. In this paper, we quantify the impact of these choices on privacy in experiments using logistic regression and neural network models. Using both formal and empirical analyses, we illustrate that differential privacy and L2 regularization can effectively prevent member inference attacks.","collection-title":"PPMLP'20","container-title":"Proceedings of the 2020 Workshop on Privacy-Preserving Machine Learning in Practice","DOI":"10.1145/3411501.3419428","event-place":"New York, NY, USA","ISBN":"978-1-4503-8088-1","page":"61–63","publisher":"Association for Computing Machinery","publisher-place":"New York, NY, USA","source":"ACM Digital Library","title":"Privacy-Preserving in Defending against Membership Inference Attacks","URL":"https://doi.org/10.1145/3411501.3419428","author":[{"family":"Ying","given":"Zuobin"},{"family":"Zhang","given":"Yun"},{"family":"Liu","given":"Ximeng"}],"accessed":{"date-parts":[["2023",2,16]]},"issued":{"date-parts":[["2020",11,9]]}}}],"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41</w:t>
            </w:r>
            <w:r>
              <w:rPr>
                <w:rFonts w:ascii="Calibri" w:eastAsia="Times New Roman" w:hAnsi="Calibri" w:cs="Calibri"/>
                <w:i/>
                <w:iCs/>
                <w:color w:val="000000"/>
              </w:rPr>
              <w:fldChar w:fldCharType="end"/>
            </w:r>
          </w:p>
        </w:tc>
        <w:tc>
          <w:tcPr>
            <w:tcW w:w="234" w:type="dxa"/>
          </w:tcPr>
          <w:p w14:paraId="2AA0EBC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7A81470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Texas-100</w:t>
            </w:r>
          </w:p>
        </w:tc>
        <w:tc>
          <w:tcPr>
            <w:tcW w:w="2702" w:type="dxa"/>
          </w:tcPr>
          <w:p w14:paraId="4C8F5B7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32B4E8C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6153007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4846D8A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60F3958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Precision; Recall</w:t>
            </w:r>
          </w:p>
        </w:tc>
        <w:tc>
          <w:tcPr>
            <w:tcW w:w="781" w:type="dxa"/>
            <w:tcBorders>
              <w:left w:val="single" w:sz="4" w:space="0" w:color="auto"/>
              <w:right w:val="single" w:sz="4" w:space="0" w:color="auto"/>
            </w:tcBorders>
            <w:vAlign w:val="center"/>
          </w:tcPr>
          <w:p w14:paraId="7BBC41B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0321C5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1D76100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763B2ADD"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532F34E4"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Hisamoto</w:t>
            </w:r>
            <w:proofErr w:type="spellEnd"/>
            <w:r>
              <w:rPr>
                <w:rFonts w:ascii="Calibri" w:eastAsia="Times New Roman" w:hAnsi="Calibri" w:cs="Calibri"/>
                <w:color w:val="000000"/>
              </w:rPr>
              <w:t xml:space="preserve"> </w:t>
            </w:r>
            <w:r>
              <w:rPr>
                <w:rFonts w:ascii="Calibri" w:eastAsia="Times New Roman" w:hAnsi="Calibri" w:cs="Calibri"/>
                <w:i/>
                <w:iCs/>
                <w:color w:val="000000"/>
              </w:rPr>
              <w:t xml:space="preserve">et al </w:t>
            </w:r>
            <w:r w:rsidRPr="00433D95">
              <w:t>(2020)</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{"citationID":"x81gUg5z","properties":{"formattedCitation":"\\super 42\\nosupersub{}","plainCitation":"42","noteIndex":0},"citationItems":[{"id":463,"uris":["http://zotero.org/users/local/HJepGCSn/items/X4TCVBAJ"],"itemData":{"id":463,"type":"article-journal","abstract":"Data privacy is an important issue for “machine learning as a\nservice” providers. We focus on the problem of membership inference\nattacks: Given a data sample and black-box access to a model’s API,\ndetermine whether the sample existed in the model’s training data. Our\ncontribution is an investigation of this problem in the context of\nsequence-to-sequence models, which are important in applications such as machine\ntranslation and video captioning. We define the membership inference problem for\nsequence generation, provide an open dataset based on state-of-the-art machine\ntranslation models, and report initial results on whether these models leak\nprivate information against several kinds of membership inference attacks.","container-title":"Transactions of the Association for Computational Linguistics","DOI":"10.1162/tacl_a_00299","ISSN":"2307-387X","journalAbbreviation":"Transactions of the Association for Computational Linguistics","page":"49-63","source":"Silverchair","title":"Membership Inference Attacks on Sequence-to-Sequence Models: Is My Data In Your Machine Translation System?","title-short":"Membership Inference Attacks on Sequence-to-Sequence Models","volume":"8","author":[{"family":"Hisamoto","given":"Sorami"},{"family":"Post","given":"Matt"},{"family":"Duh","given":"Kevin"}],"issued":{"date-parts":[["2020",1,1]]}}}],"schema":"https://github.com/citation-style-language/schema/raw/master/csl-citation.json"}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42</w:t>
            </w:r>
            <w:r>
              <w:rPr>
                <w:rFonts w:ascii="Calibri" w:eastAsia="Times New Roman" w:hAnsi="Calibri" w:cs="Calibri"/>
                <w:i/>
                <w:iCs/>
                <w:color w:val="000000"/>
              </w:rPr>
              <w:fldChar w:fldCharType="end"/>
            </w:r>
          </w:p>
        </w:tc>
        <w:tc>
          <w:tcPr>
            <w:tcW w:w="234" w:type="dxa"/>
          </w:tcPr>
          <w:p w14:paraId="550D019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6F03EEB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Synthetic; </w:t>
            </w:r>
            <w:proofErr w:type="spellStart"/>
            <w:r>
              <w:t>ParaCrawl</w:t>
            </w:r>
            <w:proofErr w:type="spellEnd"/>
            <w:r>
              <w:t xml:space="preserve">; Common Crawl; </w:t>
            </w:r>
            <w:proofErr w:type="spellStart"/>
            <w:r>
              <w:t>Europarl</w:t>
            </w:r>
            <w:proofErr w:type="spellEnd"/>
            <w:r>
              <w:t>; News; Rapid; EMEA; Koran; Subtitles; TED</w:t>
            </w:r>
          </w:p>
        </w:tc>
        <w:tc>
          <w:tcPr>
            <w:tcW w:w="2702" w:type="dxa"/>
          </w:tcPr>
          <w:p w14:paraId="04EA37B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2868B29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398F4E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2DF8CAF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3C8E44C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38F1A69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298FD07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0D3CF2CC"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0144B2F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6E8474F"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Song</w:t>
            </w:r>
            <w:r>
              <w:rPr>
                <w:rFonts w:ascii="Calibri" w:eastAsia="Times New Roman" w:hAnsi="Calibri" w:cs="Calibri"/>
                <w:color w:val="000000"/>
              </w:rPr>
              <w:t xml:space="preserve"> &amp; </w:t>
            </w:r>
            <w:r w:rsidRPr="002407A3">
              <w:rPr>
                <w:rFonts w:ascii="Calibri" w:eastAsia="Times New Roman" w:hAnsi="Calibri" w:cs="Calibri"/>
                <w:color w:val="000000"/>
              </w:rPr>
              <w:t>Mittal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{"citationID":"uPprVBOp","properties":{"formattedCitation":"\\super 43\\nosupersub{}","plainCitation":"43","noteIndex":0},"citationItems":[{"id":170,"uris":["http://zotero.org/users/local/HJepGCSn/items/NIQYATHK"],"itemData":{"id":170,"type":"article-journal","abstract":"Machine learning models are prone to memorizing sensitive data, making them vulnerable to membership inference attacks in which an adversary aims to guess if an input sample was used to train the model. In this paper, we show that prior work on membership inference attacks may severely underestimate the privacy risks by relying solely on training custom neural network classifiers to perform attacks and focusing only on the aggregate results over data samples, such as the attack accuracy. To overcome these limitations, we first propose to benchmark membership inference privacy risks by improving existing non-neural network based inference attacks and proposing a new inference attack method based on a modification of prediction entropy. We also propose benchmarks for defense mechanisms by accounting for adaptive adversaries with knowledge of the defense and also accounting for the trade-off between model accuracy and privacy risks. Using our benchmark attacks, we demonstrate that existing defense approaches are not as effective as previously reported. Next, we introduce a new approach for fine-grained privacy analysis by formulating and deriving a new metric called the privacy risk score. Our privacy risk score metric measures an individual sample's likelihood of being a training member, which allows an adversary to identify samples with high privacy risks and perform attacks with high confidence. We experimentally validate the effectiveness of the privacy risk score and demonstrate that the distribution of privacy risk score across individual samples is heterogeneous. Finally, we perform an in-depth investigation for understanding why certain samples have high privacy risks, including correlations with model sensitivity, generalization error, and feature embeddings. Our work emphasizes the importance of a systematic and rigorous evaluation of privacy risks of machine learning models.","container-title":"arXiv:2003.10595 [cs, stat]","note":"arXiv: 2003.10595","source":"arXiv.org","title":"Systematic Evaluation of Privacy Risks of Machine Learning Models","URL":"http://arxiv.org/abs/2003.10595","author":[{"family":"Song","given":"Liwei"},{"family":"Mittal","given":"Prateek"}],"accessed":{"date-parts":[["2022",3,2]]},"issued":{"date-parts":[["2020",12,9]]}},"label":"page"}],"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43</w:t>
            </w:r>
            <w:r>
              <w:rPr>
                <w:rFonts w:ascii="Calibri" w:eastAsia="Times New Roman" w:hAnsi="Calibri" w:cs="Calibri"/>
                <w:color w:val="000000"/>
              </w:rPr>
              <w:fldChar w:fldCharType="end"/>
            </w:r>
          </w:p>
        </w:tc>
        <w:tc>
          <w:tcPr>
            <w:tcW w:w="234" w:type="dxa"/>
          </w:tcPr>
          <w:p w14:paraId="2804989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535F7CA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Texas-100; Purchase-100</w:t>
            </w:r>
          </w:p>
        </w:tc>
        <w:tc>
          <w:tcPr>
            <w:tcW w:w="2702" w:type="dxa"/>
          </w:tcPr>
          <w:p w14:paraId="113CEBC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692F03F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4BB81B8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p w14:paraId="7105137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6AC874A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272FFBF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76E20FB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5981C94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631394EA"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39984277"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4392A564" w14:textId="77777777" w:rsidR="00375D17" w:rsidRPr="002407A3" w:rsidRDefault="00375D17" w:rsidP="00530265">
            <w:pPr>
              <w:rPr>
                <w:rFonts w:ascii="Calibri" w:eastAsia="Times New Roman" w:hAnsi="Calibri" w:cs="Calibri"/>
                <w:color w:val="000000"/>
              </w:rPr>
            </w:pPr>
            <w:proofErr w:type="spellStart"/>
            <w:r>
              <w:t>Rahimian</w:t>
            </w:r>
            <w:proofErr w:type="spellEnd"/>
            <w:r>
              <w:t xml:space="preserve"> </w:t>
            </w:r>
            <w:r>
              <w:rPr>
                <w:i/>
                <w:iCs/>
              </w:rPr>
              <w:t xml:space="preserve">et al </w:t>
            </w:r>
            <w:r>
              <w:rPr>
                <w:rFonts w:ascii="Calibri" w:eastAsia="Times New Roman" w:hAnsi="Calibri" w:cs="Calibri"/>
                <w:color w:val="000000"/>
              </w:rPr>
              <w:t xml:space="preserve"> </w:t>
            </w:r>
            <w:r w:rsidRPr="00433D95">
              <w:t>(202</w:t>
            </w:r>
            <w:r>
              <w:t>1</w:t>
            </w:r>
            <w:r w:rsidRPr="00433D95">
              <w:t>)</w:t>
            </w:r>
            <w:r>
              <w:t xml:space="preserve"> </w:t>
            </w:r>
            <w:r>
              <w:rPr>
                <w:i/>
                <w:iCs/>
              </w:rPr>
              <w:fldChar w:fldCharType="begin"/>
            </w:r>
            <w:r>
              <w:rPr>
                <w:i/>
                <w:iCs/>
              </w:rPr>
              <w:instrText xml:space="preserve"> ADDIN ZOTERO_ITEM CSL_CITATION {"citationID":"xxXrgVeO","properties":{"formattedCitation":"\\super 44\\nosupersub{}","plainCitation":"44","noteIndex":0},"citationItems":[{"id":826,"uris":["http://zotero.org/users/local/HJepGCSn/items/CB5CIA49"],"itemData":{"id":826,"type":"paper-conference","abstract":"Machine learning models are commonly trained on sensitive and personal data such as pictures, medical records, financial records, etc. A serious breach of the privacy of this training set occurs when an adversary is able to decide whether or not a specific data point in her possession was used to train a model. While all previous membership inference attacks rely on access to the posterior probabilities, we present the first attack which only relies on the predicted class label - yet shows high success rate.","collection-title":"AISec '21","container-title":"Proceedings of the 14th ACM Workshop on Artificial Intelligence and Security","DOI":"10.1145/3474369.3486876","event-place":"New York, NY, USA","ISBN":"978-1-4503-8657-9","page":"193–202","publisher":"Association for Computing Machinery","publisher-place":"New York, NY, USA","source":"ACM Digital Library","title":"Differential Privacy Defenses and Sampling Attacks for Membership Inference","URL":"https://doi.org/10.1145/3474369.3486876","author":[{"family":"Rahimian","given":"Shadi"},{"family":"Orekondy","given":"Tribhuvanesh"},{"family":"Fritz","given":"Mario"}],"accessed":{"date-parts":[["2023",2,16]]},"issued":{"date-parts":[["2021",11,15]]}}}],"schema":"https://github.com/citation-style-language/schema/raw/master/csl-citation.json"} </w:instrText>
            </w:r>
            <w:r>
              <w:rPr>
                <w:i/>
                <w:iCs/>
              </w:rPr>
              <w:fldChar w:fldCharType="separate"/>
            </w:r>
            <w:r w:rsidRPr="00F7322E">
              <w:rPr>
                <w:rFonts w:ascii="Calibri" w:hAnsi="Calibri" w:cs="Calibri"/>
                <w:szCs w:val="24"/>
                <w:vertAlign w:val="superscript"/>
              </w:rPr>
              <w:t>44</w:t>
            </w:r>
            <w:r>
              <w:rPr>
                <w:i/>
                <w:iCs/>
              </w:rPr>
              <w:fldChar w:fldCharType="end"/>
            </w:r>
          </w:p>
        </w:tc>
        <w:tc>
          <w:tcPr>
            <w:tcW w:w="234" w:type="dxa"/>
          </w:tcPr>
          <w:p w14:paraId="6BDFCA3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035E747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Texas-100; Purchase-100; Location</w:t>
            </w:r>
          </w:p>
        </w:tc>
        <w:tc>
          <w:tcPr>
            <w:tcW w:w="2702" w:type="dxa"/>
          </w:tcPr>
          <w:p w14:paraId="59A66E5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60E4D90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4666A2F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6A865A6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3F482E7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AUC</w:t>
            </w:r>
          </w:p>
        </w:tc>
        <w:tc>
          <w:tcPr>
            <w:tcW w:w="781" w:type="dxa"/>
            <w:tcBorders>
              <w:left w:val="single" w:sz="4" w:space="0" w:color="auto"/>
              <w:right w:val="single" w:sz="4" w:space="0" w:color="auto"/>
            </w:tcBorders>
            <w:vAlign w:val="center"/>
          </w:tcPr>
          <w:p w14:paraId="4F2B526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C05756A"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0876333C"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553D98F4"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213A9584" w14:textId="77777777" w:rsidR="00375D17" w:rsidRDefault="00375D17" w:rsidP="00530265">
            <w:r w:rsidRPr="002407A3">
              <w:rPr>
                <w:rFonts w:ascii="Calibri" w:eastAsia="Times New Roman" w:hAnsi="Calibri" w:cs="Calibri"/>
                <w:color w:val="000000"/>
              </w:rPr>
              <w:t>Shokri</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{"citationID":"OuykbMkv","properties":{"formattedCitation":"\\super 45\\nosupersub{}","plainCitation":"45","noteIndex":0},"citationItems":[{"id":449,"uris":["http://zotero.org/users/local/HJepGCSn/items/I3GNJSH5"],"itemData":{"id":449,"type":"paper-conference","abstract":"Privacy and transparency are two key foundations of trustworthy machine learning. Model explanations offer insights into a model's decisions on input data, whereas privacy is primarily concerned with protecting information about the training data. We analyze connections between model explanations and the leakage of sensitive information about the model's training set. We investigate the privacy risks of feature-based model explanations using membership inference attacks: quantifying how much model predictions plus their explanations leak information about the presence of a datapoint in the training set of a model. We extensively evaluate membership inference attacks based on feature-based model explanations, over a variety of datasets. We show that backpropagation-based explanations can leak a significant amount of information about individual training datapoints. This is because they reveal statistical information about the decision boundaries of the model about an input, which can reveal its membership. We also empirically investigate the trade-off between privacy and explanation quality, by studying the perturbation-based model explanations.","collection-title":"AIES '21","container-title":"Proceedings of the 2021 AAAI/ACM Conference on AI, Ethics, and Society","DOI":"10.1145/3461702.3462533","event-place":"New York, NY, USA","ISBN":"978-1-4503-8473-5","page":"231–241","publisher":"Association for Computing Machinery","publisher-place":"New York, NY, USA","source":"ACM Digital Library","title":"On the Privacy Risks of Model Explanations","URL":"https://doi.org/10.1145/3461702.3462533","author":[{"family":"Shokri","given":"Reza"},{"family":"Strobel","given":"Martin"},{"family":"Zick","given":"Yair"}],"accessed":{"date-parts":[["2022",8,4]]},"issued":{"date-parts":[["2021",7,21]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45</w:t>
            </w:r>
            <w:r>
              <w:rPr>
                <w:rFonts w:ascii="Calibri" w:eastAsia="Times New Roman" w:hAnsi="Calibri" w:cs="Calibri"/>
                <w:i/>
                <w:iCs/>
                <w:color w:val="000000"/>
              </w:rPr>
              <w:fldChar w:fldCharType="end"/>
            </w:r>
          </w:p>
        </w:tc>
        <w:tc>
          <w:tcPr>
            <w:tcW w:w="234" w:type="dxa"/>
          </w:tcPr>
          <w:p w14:paraId="5F86AAF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4C59A08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Texas-100; Purchase-100</w:t>
            </w:r>
          </w:p>
        </w:tc>
        <w:tc>
          <w:tcPr>
            <w:tcW w:w="2702" w:type="dxa"/>
          </w:tcPr>
          <w:p w14:paraId="2570D40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7483011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60CD7C1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p w14:paraId="461E42C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11F42CD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5F68696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43A06A9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7C25D1F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51F5940D"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0CDDE139"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3721A780"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Graves</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{"citationID":"LINZK1Hc","properties":{"formattedCitation":"\\super 46\\nosupersub{}","plainCitation":"46","noteIndex":0},"citationItems":[{"id":420,"uris":["http://zotero.org/users/local/HJepGCSn/items/B334WTY2"],"itemData":{"id":420,"type":"paper-conference","abstract":"The Right to be Forgotten is part of the recently enacted General Data Protection Regulation (GDPR) law that affects any data holder that has data on European Union residents. It gives EU residents the ability to request deletion of their personal data, including training records used to train machine learning models. Unfortunately, Deep Neural Network models are vulnerable to information leaking attacks such as model inversion attacks which extract class information from a trained model and membership inference attacks which determine the presence of an example in a model's training data. If a malicious party can mount an attack and learn private information that was meant to be removed, then it implies that the model owner has not properly protected their user's rights and their models may not be compliant with the GDPR law. In this paper, we present two efficient methods that address this question of how a model owner or data holder may delete personal data from models in such a way that they may not be vulnerable to model inversion and membership inference attacks while maintaining model efficacy. We start by presenting a real-world threat model that shows that simply removing training data is insufficient to protect users. We follow that up with two data removal methods, namely Unlearning and Amnesiac Unlearning, that enable model owners to protect themselves against such attacks while being compliant with regulations. We provide extensive empirical analysis that show that these methods are indeed efficient, safe to apply, effectively remove learned information about sensitive data from trained models while maintaining model efficacy.","container-title":"Thirty-Fifth Aaai Conference on Artificial Intelligence, Thirty-Third Conference on Innovative Applications of Artificial Intelligence and the Eleventh Symposium on Educational Advances in Artificial Intelligence","event-place":"Palo Alto","ISBN":"978-1-57735-866-4","language":"English","note":"ISSN: 2159-5399\nWOS:000681269803023","page":"11516-11524","publisher":"Assoc Advancement Artificial Intelligence","publisher-place":"Palo Alto","source":"Web of Science Nextgen","title":"Amnesiac Machine Learning","URL":"http://www.webofscience.com/wos/woscc/full-record/WOS:000681269803023","volume":"35","author":[{"family":"Graves","given":"Laura"},{"family":"Nagisetty","given":"Vineel"},{"family":"Ganesh","given":"Vijay"}],"accessed":{"date-parts":[["2022",8,4]]},"issued":{"date-parts":[["2021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46</w:t>
            </w:r>
            <w:r>
              <w:rPr>
                <w:rFonts w:ascii="Calibri" w:eastAsia="Times New Roman" w:hAnsi="Calibri" w:cs="Calibri"/>
                <w:i/>
                <w:iCs/>
                <w:color w:val="000000"/>
              </w:rPr>
              <w:fldChar w:fldCharType="end"/>
            </w:r>
          </w:p>
        </w:tc>
        <w:tc>
          <w:tcPr>
            <w:tcW w:w="234" w:type="dxa"/>
          </w:tcPr>
          <w:p w14:paraId="2123B1B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7164A51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MNIST; CIFAR-100</w:t>
            </w:r>
          </w:p>
        </w:tc>
        <w:tc>
          <w:tcPr>
            <w:tcW w:w="2702" w:type="dxa"/>
          </w:tcPr>
          <w:p w14:paraId="3D1F7D9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w:t>
            </w:r>
          </w:p>
          <w:p w14:paraId="7C21CFE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p w14:paraId="3832177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p w14:paraId="74BB8AA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808" w:type="dxa"/>
          </w:tcPr>
          <w:p w14:paraId="59C2C84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208A8B8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tc>
        <w:tc>
          <w:tcPr>
            <w:tcW w:w="233" w:type="dxa"/>
          </w:tcPr>
          <w:p w14:paraId="7E17D9A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74053E5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08369B9B"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1FC3BBD"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348C7E8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rsidRPr="00443DC9" w14:paraId="6C54263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val="restart"/>
            <w:tcBorders>
              <w:top w:val="single" w:sz="24" w:space="0" w:color="auto"/>
            </w:tcBorders>
            <w:shd w:val="clear" w:color="auto" w:fill="FFFFFF" w:themeFill="background1"/>
          </w:tcPr>
          <w:p w14:paraId="371610B0" w14:textId="77777777" w:rsidR="00375D17" w:rsidRPr="00443DC9" w:rsidRDefault="00375D17" w:rsidP="00530265">
            <w:pPr>
              <w:rPr>
                <w:b w:val="0"/>
                <w:bCs w:val="0"/>
                <w:sz w:val="24"/>
                <w:szCs w:val="24"/>
              </w:rPr>
            </w:pPr>
          </w:p>
          <w:p w14:paraId="648B06A1" w14:textId="77777777" w:rsidR="00375D17" w:rsidRPr="00443DC9" w:rsidRDefault="00375D17" w:rsidP="00530265">
            <w:pPr>
              <w:rPr>
                <w:b w:val="0"/>
                <w:bCs w:val="0"/>
                <w:sz w:val="24"/>
                <w:szCs w:val="24"/>
              </w:rPr>
            </w:pPr>
          </w:p>
          <w:p w14:paraId="448A2E66" w14:textId="77777777" w:rsidR="00375D17" w:rsidRPr="00443DC9" w:rsidRDefault="00375D17" w:rsidP="00530265">
            <w:pPr>
              <w:rPr>
                <w:sz w:val="24"/>
                <w:szCs w:val="24"/>
              </w:rPr>
            </w:pPr>
            <w:r w:rsidRPr="00443DC9">
              <w:rPr>
                <w:sz w:val="24"/>
                <w:szCs w:val="24"/>
              </w:rPr>
              <w:t>Authors (Year)</w:t>
            </w:r>
          </w:p>
        </w:tc>
        <w:tc>
          <w:tcPr>
            <w:tcW w:w="234" w:type="dxa"/>
            <w:tcBorders>
              <w:top w:val="single" w:sz="24" w:space="0" w:color="auto"/>
            </w:tcBorders>
            <w:shd w:val="clear" w:color="auto" w:fill="FFFFFF" w:themeFill="background1"/>
          </w:tcPr>
          <w:p w14:paraId="0422C5B7"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sz w:val="24"/>
                <w:szCs w:val="24"/>
              </w:rPr>
            </w:pPr>
          </w:p>
        </w:tc>
        <w:tc>
          <w:tcPr>
            <w:tcW w:w="8050" w:type="dxa"/>
            <w:gridSpan w:val="4"/>
            <w:tcBorders>
              <w:top w:val="single" w:sz="24" w:space="0" w:color="auto"/>
            </w:tcBorders>
            <w:shd w:val="clear" w:color="auto" w:fill="FFFFFF" w:themeFill="background1"/>
          </w:tcPr>
          <w:p w14:paraId="4507BBF8"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Setting</w:t>
            </w:r>
          </w:p>
        </w:tc>
        <w:tc>
          <w:tcPr>
            <w:tcW w:w="233" w:type="dxa"/>
            <w:tcBorders>
              <w:top w:val="single" w:sz="24" w:space="0" w:color="auto"/>
              <w:bottom w:val="nil"/>
            </w:tcBorders>
            <w:shd w:val="clear" w:color="auto" w:fill="FFFFFF" w:themeFill="background1"/>
          </w:tcPr>
          <w:p w14:paraId="54C305AA"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p>
        </w:tc>
        <w:tc>
          <w:tcPr>
            <w:tcW w:w="4083" w:type="dxa"/>
            <w:gridSpan w:val="4"/>
            <w:tcBorders>
              <w:top w:val="single" w:sz="24" w:space="0" w:color="auto"/>
              <w:bottom w:val="single" w:sz="12" w:space="0" w:color="auto"/>
            </w:tcBorders>
            <w:shd w:val="clear" w:color="auto" w:fill="FFFFFF" w:themeFill="background1"/>
            <w:vAlign w:val="center"/>
          </w:tcPr>
          <w:p w14:paraId="58BD2C2A"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Performance</w:t>
            </w:r>
          </w:p>
        </w:tc>
      </w:tr>
      <w:tr w:rsidR="00375D17" w:rsidRPr="00443DC9" w14:paraId="131769D4" w14:textId="77777777" w:rsidTr="00530265">
        <w:tc>
          <w:tcPr>
            <w:cnfStyle w:val="001000000000" w:firstRow="0" w:lastRow="0" w:firstColumn="1" w:lastColumn="0" w:oddVBand="0" w:evenVBand="0" w:oddHBand="0" w:evenHBand="0" w:firstRowFirstColumn="0" w:firstRowLastColumn="0" w:lastRowFirstColumn="0" w:lastRowLastColumn="0"/>
            <w:tcW w:w="2329" w:type="dxa"/>
            <w:vMerge/>
            <w:tcBorders>
              <w:bottom w:val="single" w:sz="24" w:space="0" w:color="auto"/>
            </w:tcBorders>
          </w:tcPr>
          <w:p w14:paraId="734A04F5" w14:textId="77777777" w:rsidR="00375D17" w:rsidRPr="00443DC9" w:rsidRDefault="00375D17" w:rsidP="00530265">
            <w:pPr>
              <w:rPr>
                <w:b w:val="0"/>
                <w:bCs w:val="0"/>
                <w:sz w:val="24"/>
                <w:szCs w:val="24"/>
              </w:rPr>
            </w:pPr>
          </w:p>
        </w:tc>
        <w:tc>
          <w:tcPr>
            <w:tcW w:w="234" w:type="dxa"/>
            <w:tcBorders>
              <w:bottom w:val="single" w:sz="24" w:space="0" w:color="auto"/>
            </w:tcBorders>
            <w:shd w:val="clear" w:color="auto" w:fill="FFFFFF" w:themeFill="background1"/>
          </w:tcPr>
          <w:p w14:paraId="79AD1F37"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p>
        </w:tc>
        <w:tc>
          <w:tcPr>
            <w:tcW w:w="2133" w:type="dxa"/>
            <w:tcBorders>
              <w:top w:val="single" w:sz="12" w:space="0" w:color="auto"/>
              <w:bottom w:val="single" w:sz="24" w:space="0" w:color="auto"/>
            </w:tcBorders>
            <w:shd w:val="clear" w:color="auto" w:fill="FFFFFF" w:themeFill="background1"/>
            <w:vAlign w:val="bottom"/>
          </w:tcPr>
          <w:p w14:paraId="019376B2"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Training Dataset(s)</w:t>
            </w:r>
          </w:p>
        </w:tc>
        <w:tc>
          <w:tcPr>
            <w:tcW w:w="2702" w:type="dxa"/>
            <w:tcBorders>
              <w:top w:val="single" w:sz="12" w:space="0" w:color="auto"/>
              <w:bottom w:val="single" w:sz="24" w:space="0" w:color="auto"/>
            </w:tcBorders>
            <w:shd w:val="clear" w:color="auto" w:fill="FFFFFF" w:themeFill="background1"/>
            <w:vAlign w:val="bottom"/>
          </w:tcPr>
          <w:p w14:paraId="113D4BEE"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Target Model Architecture(s)</w:t>
            </w:r>
          </w:p>
        </w:tc>
        <w:tc>
          <w:tcPr>
            <w:tcW w:w="1808" w:type="dxa"/>
            <w:tcBorders>
              <w:top w:val="single" w:sz="12" w:space="0" w:color="auto"/>
              <w:bottom w:val="single" w:sz="24" w:space="0" w:color="auto"/>
            </w:tcBorders>
            <w:shd w:val="clear" w:color="auto" w:fill="FFFFFF" w:themeFill="background1"/>
            <w:vAlign w:val="bottom"/>
          </w:tcPr>
          <w:p w14:paraId="7796A4F4"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 xml:space="preserve">Target Model Task </w:t>
            </w:r>
          </w:p>
        </w:tc>
        <w:tc>
          <w:tcPr>
            <w:tcW w:w="1407" w:type="dxa"/>
            <w:tcBorders>
              <w:top w:val="single" w:sz="12" w:space="0" w:color="auto"/>
              <w:bottom w:val="single" w:sz="24" w:space="0" w:color="auto"/>
            </w:tcBorders>
            <w:shd w:val="clear" w:color="auto" w:fill="FFFFFF" w:themeFill="background1"/>
            <w:vAlign w:val="bottom"/>
          </w:tcPr>
          <w:p w14:paraId="69431285"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Knowledge</w:t>
            </w:r>
          </w:p>
        </w:tc>
        <w:tc>
          <w:tcPr>
            <w:tcW w:w="233" w:type="dxa"/>
            <w:tcBorders>
              <w:top w:val="nil"/>
              <w:bottom w:val="single" w:sz="24" w:space="0" w:color="auto"/>
            </w:tcBorders>
            <w:shd w:val="clear" w:color="auto" w:fill="FFFFFF" w:themeFill="background1"/>
            <w:vAlign w:val="bottom"/>
          </w:tcPr>
          <w:p w14:paraId="4D2A73DF"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p>
        </w:tc>
        <w:tc>
          <w:tcPr>
            <w:tcW w:w="1794" w:type="dxa"/>
            <w:tcBorders>
              <w:top w:val="single" w:sz="12" w:space="0" w:color="auto"/>
              <w:bottom w:val="single" w:sz="24" w:space="0" w:color="auto"/>
              <w:right w:val="single" w:sz="4" w:space="0" w:color="auto"/>
            </w:tcBorders>
            <w:shd w:val="clear" w:color="auto" w:fill="FFFFFF" w:themeFill="background1"/>
            <w:vAlign w:val="center"/>
          </w:tcPr>
          <w:p w14:paraId="70AC2001"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Performance Metric(s)</w:t>
            </w:r>
          </w:p>
        </w:tc>
        <w:tc>
          <w:tcPr>
            <w:tcW w:w="781" w:type="dxa"/>
            <w:tcBorders>
              <w:left w:val="single" w:sz="4" w:space="0" w:color="auto"/>
              <w:bottom w:val="single" w:sz="24" w:space="0" w:color="auto"/>
              <w:right w:val="single" w:sz="4" w:space="0" w:color="auto"/>
            </w:tcBorders>
            <w:shd w:val="clear" w:color="auto" w:fill="FFFFFF" w:themeFill="background1"/>
            <w:vAlign w:val="center"/>
          </w:tcPr>
          <w:p w14:paraId="1654B915"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&gt;50%</w:t>
            </w:r>
          </w:p>
        </w:tc>
        <w:tc>
          <w:tcPr>
            <w:tcW w:w="754" w:type="dxa"/>
            <w:tcBorders>
              <w:left w:val="single" w:sz="4" w:space="0" w:color="auto"/>
              <w:bottom w:val="single" w:sz="24" w:space="0" w:color="auto"/>
              <w:right w:val="single" w:sz="4" w:space="0" w:color="auto"/>
            </w:tcBorders>
            <w:shd w:val="clear" w:color="auto" w:fill="FFFFFF" w:themeFill="background1"/>
            <w:vAlign w:val="center"/>
          </w:tcPr>
          <w:p w14:paraId="4B4D11B3"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rFonts w:cstheme="minorHAnsi"/>
                <w:b/>
                <w:bCs/>
                <w:sz w:val="24"/>
                <w:szCs w:val="24"/>
              </w:rPr>
              <w:t>≥</w:t>
            </w:r>
            <w:r w:rsidRPr="00443DC9">
              <w:rPr>
                <w:b/>
                <w:bCs/>
                <w:sz w:val="24"/>
                <w:szCs w:val="24"/>
              </w:rPr>
              <w:t>75%</w:t>
            </w:r>
          </w:p>
        </w:tc>
        <w:tc>
          <w:tcPr>
            <w:tcW w:w="754" w:type="dxa"/>
            <w:tcBorders>
              <w:left w:val="single" w:sz="4" w:space="0" w:color="auto"/>
              <w:bottom w:val="single" w:sz="24" w:space="0" w:color="auto"/>
            </w:tcBorders>
            <w:shd w:val="clear" w:color="auto" w:fill="FFFFFF" w:themeFill="background1"/>
            <w:vAlign w:val="center"/>
          </w:tcPr>
          <w:p w14:paraId="66ACED45"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rFonts w:cstheme="minorHAnsi"/>
                <w:b/>
                <w:bCs/>
                <w:sz w:val="24"/>
                <w:szCs w:val="24"/>
              </w:rPr>
              <w:t>≥90</w:t>
            </w:r>
            <w:r w:rsidRPr="00443DC9">
              <w:rPr>
                <w:b/>
                <w:bCs/>
                <w:sz w:val="24"/>
                <w:szCs w:val="24"/>
              </w:rPr>
              <w:t>%</w:t>
            </w:r>
          </w:p>
        </w:tc>
      </w:tr>
      <w:tr w:rsidR="00375D17" w14:paraId="7346508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0443A3DD"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Bernau</w:t>
            </w:r>
            <w:proofErr w:type="spellEnd"/>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{"citationID":"7IdvBMSx","properties":{"formattedCitation":"\\super 47\\nosupersub{}","plainCitation":"47","noteIndex":0},"citationItems":[{"id":489,"uris":["http://zotero.org/users/local/HJepGCSn/items/H4QZQUIK"],"itemData":{"id":489,"type":"paper-conference","abstract":"Attacks that aim to identify the training data of neural networks represent a severe threat to the privacy of individuals in the training dataset. A possible protection is offered by anonymization of the training data or training function with differential privacy. However, data scientists can choose between local and central differential privacy, and need to select meaningful privacy parameters ϵ. A comparison of local and central differential privacy based on the privacy parameters furthermore potentially leads data scientists to incorrect conclusions, since the privacy parameters are reflecting different types of mechanisms. Instead, we empirically compare the relative privacy-accuracy trade-off of one central and two local differential privacy mechanisms under a white-box membership inference attack. While membership inference only reflects a lower bound on inference risk and differential privacy formulates an upper bound, our experiments with several datasets show that the privacy-accuracy trade-off is similar for both types of mechanisms despite the large difference in their upper bound. This suggests that the upper bound is far from the practical susceptibility to membership inference. Thus, small ϵ in central differential privacy and large ϵ in local differential privacy result in similar membership inference risks, and local differential privacy can be a meaningful alternative to central differential privacy for differentially private deep learning besides the comparatively higher privacy parameters.","container-title":"Data and Applications Security and Privacy XXXV: 35th Annual IFIP WG 11.3 Conference, DBSec 2021, Calgary, Canada, July 19–20, 2021, Proceedings","DOI":"10.1007/978-3-030-81242-3_2","event-place":"Berlin, Heidelberg","ISBN":"978-3-030-81241-6","page":"22–42","publisher":"Springer-Verlag","publisher-place":"Berlin, Heidelberg","source":"ACM Digital Library","title":"Comparing Local and Central Differential Privacy Using Membership Inference Attacks","URL":"https://doi.org/10.1007/978-3-030-81242-3_2","author":[{"family":"Bernau","given":"Daniel"},{"family":"Robl","given":"Jonas"},{"family":"Grassal","given":"Philip W."},{"family":"Schneider","given":"Steffen"},{"family":"Kerschbaum","given":"Florian"}],"accessed":{"date-parts":[["2022",8,4]]},"issued":{"date-parts":[["2021",7,19]]}}}],"schema":"https://github.com/citation-style-language/schema/raw/master/csl-citation.json"}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47</w:t>
            </w:r>
            <w:r>
              <w:rPr>
                <w:rFonts w:ascii="Calibri" w:eastAsia="Times New Roman" w:hAnsi="Calibri" w:cs="Calibri"/>
                <w:i/>
                <w:iCs/>
                <w:color w:val="000000"/>
              </w:rPr>
              <w:fldChar w:fldCharType="end"/>
            </w:r>
          </w:p>
        </w:tc>
        <w:tc>
          <w:tcPr>
            <w:tcW w:w="234" w:type="dxa"/>
          </w:tcPr>
          <w:p w14:paraId="31F2117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2E94638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Texas-(100/150/200/ 300); Purchase-(10/ 20/50/100); Labeled Faces in the Wild</w:t>
            </w:r>
          </w:p>
        </w:tc>
        <w:tc>
          <w:tcPr>
            <w:tcW w:w="2702" w:type="dxa"/>
          </w:tcPr>
          <w:p w14:paraId="0DBA604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420D16E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0B3581B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tc>
        <w:tc>
          <w:tcPr>
            <w:tcW w:w="233" w:type="dxa"/>
          </w:tcPr>
          <w:p w14:paraId="1EBD96A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6A4A653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Precision</w:t>
            </w:r>
          </w:p>
        </w:tc>
        <w:tc>
          <w:tcPr>
            <w:tcW w:w="781" w:type="dxa"/>
            <w:tcBorders>
              <w:left w:val="single" w:sz="4" w:space="0" w:color="auto"/>
              <w:right w:val="single" w:sz="4" w:space="0" w:color="auto"/>
            </w:tcBorders>
            <w:vAlign w:val="center"/>
          </w:tcPr>
          <w:p w14:paraId="43196D7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189EF9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63BA0B09"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283AA6F3"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6B8C3956"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Qiang</w:t>
            </w:r>
            <w:proofErr w:type="spellEnd"/>
            <w:r>
              <w:rPr>
                <w:rFonts w:ascii="Calibri" w:eastAsia="Times New Roman" w:hAnsi="Calibri" w:cs="Calibri"/>
                <w:color w:val="000000"/>
              </w:rPr>
              <w:t xml:space="preserve"> </w:t>
            </w:r>
            <w:r>
              <w:rPr>
                <w:rFonts w:ascii="Calibri" w:eastAsia="Times New Roman" w:hAnsi="Calibri" w:cs="Calibri"/>
                <w:i/>
                <w:iCs/>
                <w:color w:val="000000"/>
              </w:rPr>
              <w:t xml:space="preserve">et al </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{"citationID":"6qwZAB9I","properties":{"formattedCitation":"\\super 48\\nosupersub{}","plainCitation":"48","noteIndex":0},"citationItems":[{"id":367,"uris":["http://zotero.org/users/local/HJepGCSn/items/I2QVD4SC"],"itemData":{"id":367,"type":"article-journal","abstract":"As the IoT has developed, edge computing has played an increasingly important role in the IoT ecosystem. The edge computing paradigm offers low latency and high computing performance, which is conducive to machine learning tasks such as object detection in autonomous driving. However, data privacy risks in edge computing still exist and the existing privacy-preserving methods are not satisfactory due to the large computational overhead and unbearable accuracy loss. We have designed a privacy-preserving machine learning framework for both user and cloud data. Users and the cloud provide data for inference and training respectively, and the privacy protection of these two aspects is both considered in this paper. Users provide test data and want to access the data-processing models in cloud for inference, and the cloud provides the training data used for training an eligible model. For user data, in order to maintain the overall performance of the machine learning framework while using homomorphic encryption, instead of providing encrypted data to all machine learning tasks, we divide the neural network into two parts, with one part kept on the trusted edge and provided with plaintext, and the other deployed on the untrusted cloud and provided with encrypted input. For cloud data, we apply the binary neural network, a network with the binarized value of weights. This method is practical for narrowing the confidence score gap (between the training and test sets) predicted by the model, which accounts most for a successful exploratory attack on training data. Experiments demonstrate that the results of the adversary’s membership inference attack are close to random guessing, and the accuracy is only slightly affected. Compared with the unencrypted network on VGG19, when the network is split from conv4_1 to fc8, the efficiency of using HE is only 100 to 30 times slower.","container-title":"Future Generation Computer Systems","DOI":"10.1016/j.future.2021.06.037","ISSN":"0167-739X","journalAbbreviation":"Future Generation Computer Systems","language":"en","page":"460-470","source":"ScienceDirect","title":"Defending CNN against privacy leakage in edge computing via binary neural networks","volume":"125","author":[{"family":"Qiang","given":"Weizhong"},{"family":"Liu","given":"Renwan"},{"family":"Jin","given":"Hai"}],"issued":{"date-parts":[["2021",12,1]]}}}],"schema":"https://github.com/citation-style-language/schema/raw/master/csl-citation.json"}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48</w:t>
            </w:r>
            <w:r>
              <w:rPr>
                <w:rFonts w:ascii="Calibri" w:eastAsia="Times New Roman" w:hAnsi="Calibri" w:cs="Calibri"/>
                <w:i/>
                <w:iCs/>
                <w:color w:val="000000"/>
              </w:rPr>
              <w:fldChar w:fldCharType="end"/>
            </w:r>
          </w:p>
        </w:tc>
        <w:tc>
          <w:tcPr>
            <w:tcW w:w="234" w:type="dxa"/>
          </w:tcPr>
          <w:p w14:paraId="7D80807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45CD488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CIFAR-100</w:t>
            </w:r>
          </w:p>
        </w:tc>
        <w:tc>
          <w:tcPr>
            <w:tcW w:w="2702" w:type="dxa"/>
          </w:tcPr>
          <w:p w14:paraId="6F64EB5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w:t>
            </w:r>
          </w:p>
        </w:tc>
        <w:tc>
          <w:tcPr>
            <w:tcW w:w="1808" w:type="dxa"/>
          </w:tcPr>
          <w:p w14:paraId="0DA44EB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736C25E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16F813C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461C482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46091892"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6600846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3CE49526"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25996B3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6D239171"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Lee</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{"citationID":"5mjLHEUc","properties":{"formattedCitation":"\\super 49\\nosupersub{}","plainCitation":"49","noteIndex":0},"citationItems":[{"id":397,"uris":["http://zotero.org/users/local/HJepGCSn/items/B4IN2FKU"],"itemData":{"id":397,"type":"article-journal","abstract":"Federated Learning (FL) is an efficient and secure machine learning technique designed for decentralized computing systems such as fog and edge computing. Its learning process employs frequent communications as the participating local devices send updates, either gradients or parameters of their models, to a central server that aggregates them and redistributes new weights to the devices. In FL, private data does not leave the individual local devices, and thus, rendered as a robust solution in terms of privacy preservation. However, the recently introduced membership inference attacks pose a critical threat to the impeccability of FL mechanisms. By eavesdropping only on the updates transferring to the center server, these attacks can recover the private data of a local device. A prevalent solution against such attacks is the differential privacy scheme that augments a sufficient amount of noise to each update to hinder the recovering process. However, it suffers from a significant sacrifice in the classification accuracy of the FL. To effectively alleviate the problem, this paper proposes a Digestive Neural Network (DNN), an independent neural network attached to the FL. The private data owned by each device will pass through the DNN and then train the FL. The DNN modifies the input data, which results in distorting updates, in a way to maximize the classification accuracy of FL while the accuracy of inference attacks is minimized. Our simulation result shows that the proposed DNN shows significant performance on both gradient sharing- and weight sharing-based FL mechanisms. For the gradient sharing, the DNN achieved higher classification accuracy by 16.17% while 9% lower attack accuracy than the existing differential privacy schemes. For the weight sharing FL scheme, the DNN achieved at most 46.68% lower attack success rate with 3% higher classification accuracy.","container-title":"Computers &amp; Security","DOI":"10.1016/j.cose.2021.102378","ISSN":"0167-4048","journalAbbreviation":"Computers &amp; Security","language":"en","page":"102378","source":"ScienceDirect","title":"Digestive neural networks: A novel defense strategy against inference attacks in federated learning","title-short":"Digestive neural networks","volume":"109","author":[{"family":"Lee","given":"Hongkyu"},{"family":"Kim","given":"Jeehyeong"},{"family":"Ahn","given":"Seyoung"},{"family":"Hussain","given":"Rasheed"},{"family":"Cho","given":"Sunghyun"},{"family":"Son","given":"Junggab"}],"issued":{"date-parts":[["2021",10,1]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49</w:t>
            </w:r>
            <w:r>
              <w:rPr>
                <w:rFonts w:ascii="Calibri" w:eastAsia="Times New Roman" w:hAnsi="Calibri" w:cs="Calibri"/>
                <w:i/>
                <w:iCs/>
                <w:color w:val="000000"/>
              </w:rPr>
              <w:fldChar w:fldCharType="end"/>
            </w:r>
          </w:p>
        </w:tc>
        <w:tc>
          <w:tcPr>
            <w:tcW w:w="234" w:type="dxa"/>
          </w:tcPr>
          <w:p w14:paraId="088F7BB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038AB37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CIFAR-10; SVHN</w:t>
            </w:r>
          </w:p>
        </w:tc>
        <w:tc>
          <w:tcPr>
            <w:tcW w:w="2702" w:type="dxa"/>
          </w:tcPr>
          <w:p w14:paraId="7B14943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5F8782C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6CB038E5" w14:textId="77777777" w:rsidR="00375D17" w:rsidRDefault="00375D17" w:rsidP="00530265">
            <w:pPr>
              <w:jc w:val="center"/>
              <w:cnfStyle w:val="000000100000" w:firstRow="0" w:lastRow="0" w:firstColumn="0" w:lastColumn="0" w:oddVBand="0" w:evenVBand="0" w:oddHBand="1" w:evenHBand="0" w:firstRowFirstColumn="0" w:firstRowLastColumn="0" w:lastRowFirstColumn="0" w:lastRowLastColumn="0"/>
            </w:pPr>
            <w:r>
              <w:t>-</w:t>
            </w:r>
          </w:p>
        </w:tc>
        <w:tc>
          <w:tcPr>
            <w:tcW w:w="233" w:type="dxa"/>
          </w:tcPr>
          <w:p w14:paraId="3F83A30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3812048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2643B53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E8BA51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1E4A5B33"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665F3FE7"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09B25BCC"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Park</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{"citationID":"VAcsoonW","properties":{"formattedCitation":"\\super 50\\nosupersub{}","plainCitation":"50","noteIndex":0},"citationItems":[{"id":478,"uris":["http://zotero.org/users/local/HJepGCSn/items/Z88I6MAH"],"itemData":{"id":478,"type":"article-journal","abstract":"As communication technology advances with 5G, the amount of data accumulated online is explosively increasing. From these data, valuable results are being created through data analysis technologies. Among them, artificial intelligence (AI) has shown remarkable performances in various fields and is emerging as an innovative technology. In particular, machine learning and deep learning models are evolving rapidly and are being widely deployed in practical applications. Meanwhile, behind the widespread use of these models, privacy concerns have been continuously raised. In addition, as substantial privacy invasion attacks against machine learning and deep learning models have been proposed, the importance of research on privacy-preserving AI is being emphasized. Accordingly, in the field of differential privacy, which has become a de facto standard for preserving privacy, various mechanisms have been proposed to preserve the privacy of AI models. However, it is unclear how to calibrate appropriate privacy parameters, taking into account the trade-off between a model’s utility and data privacy. Moreover, there is a lack of research that analyzes the relationship between the degree of differential privacy guarantee and privacy invasion attacks. In this paper, we investigate the resistance of differentially private AI models to substantial privacy invasion attacks according to the degree of privacy guarantee, and analyze how privacy parameters should be set to prevent the attacks while preserving the utility of the models. Specifically, we focus on generative adversarial networks (GAN), which is one of the most sophisticated AI models, and on the membership inference attack, which is the most fundamental privacy invasion attack. In the experimental evaluation, by quantifying the effectiveness of the attack based on the degree of privacy guarantee, we show that differential privacy can simultaneously preserve data privacy and the utility of models with moderate privacy budgets.","container-title":"IEEE Access","DOI":"10.1109/ACCESS.2021.3137278","ISSN":"2169-3536","note":"event-title: IEEE Access","page":"167412-167425","source":"IEEE Xplore","title":"Evaluating Differentially Private Generative Adversarial Networks Over Membership Inference Attack","volume":"9","author":[{"family":"Park","given":"Cheolhee"},{"family":"Kim","given":"Youngsoo"},{"family":"Park","given":"Jong-Geun"},{"family":"Hong","given":"Dowon"},{"family":"Seo","given":"Changho"}],"issued":{"date-parts":[["2021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50</w:t>
            </w:r>
            <w:r>
              <w:rPr>
                <w:rFonts w:ascii="Calibri" w:eastAsia="Times New Roman" w:hAnsi="Calibri" w:cs="Calibri"/>
                <w:i/>
                <w:iCs/>
                <w:color w:val="000000"/>
              </w:rPr>
              <w:fldChar w:fldCharType="end"/>
            </w:r>
          </w:p>
        </w:tc>
        <w:tc>
          <w:tcPr>
            <w:tcW w:w="234" w:type="dxa"/>
          </w:tcPr>
          <w:p w14:paraId="1A78538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152991F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MNIST; Labeled Faces in the Wild</w:t>
            </w:r>
          </w:p>
        </w:tc>
        <w:tc>
          <w:tcPr>
            <w:tcW w:w="2702" w:type="dxa"/>
          </w:tcPr>
          <w:p w14:paraId="76D1EA2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Deep Convolutional Generative Adversarial Network; Generative Adversarial Network; Boundary Equilibrium Generative Adversarial Network</w:t>
            </w:r>
          </w:p>
        </w:tc>
        <w:tc>
          <w:tcPr>
            <w:tcW w:w="1808" w:type="dxa"/>
          </w:tcPr>
          <w:p w14:paraId="6E11AFB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378DF02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5B4282F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p w14:paraId="21A85C6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p w14:paraId="52ECFD15" w14:textId="77777777" w:rsidR="00375D17" w:rsidRPr="00CD3085" w:rsidRDefault="00375D17" w:rsidP="00530265">
            <w:pPr>
              <w:jc w:val="center"/>
              <w:cnfStyle w:val="000000000000" w:firstRow="0" w:lastRow="0" w:firstColumn="0" w:lastColumn="0" w:oddVBand="0" w:evenVBand="0" w:oddHBand="0" w:evenHBand="0" w:firstRowFirstColumn="0" w:firstRowLastColumn="0" w:lastRowFirstColumn="0" w:lastRowLastColumn="0"/>
            </w:pPr>
          </w:p>
        </w:tc>
        <w:tc>
          <w:tcPr>
            <w:tcW w:w="233" w:type="dxa"/>
          </w:tcPr>
          <w:p w14:paraId="68B5F48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2772E07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7D19437C"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D3EF69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0386D32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647379F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6F237EB8"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Su</w:t>
            </w:r>
            <w:proofErr w:type="spellEnd"/>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{"citationID":"laFSkYKd","properties":{"formattedCitation":"\\super 51\\nosupersub{}","plainCitation":"51","noteIndex":0},"citationItems":[{"id":376,"uris":["http://zotero.org/users/local/HJepGCSn/items/TAWNSZ7A"],"itemData":{"id":376,"type":"paper-conference","abstract":"Distributed machine learning (ML) and other related techniques such as federated learning are facing a high risk of information leakage. Differential privacy (DP) is commonly used to protect privacy. However, it suffers from low accuracy due to the unbalanced data distribution in federated learning and additional noise brought by DP itself. In this paper, we propose a novel federated learning model that can protect data privacy from the gradient leakage attack and black-box membership inference attack (MIA). The proposed protection scheme makes the data hard to be reproduced and be distinguished from predictions. A small simulated attacker network is embedded as a regularization punishment to defend the malicious attacks. We further introduce a gradient modification method to secure the weight information and remedy the additional accuracy loss. The proposed privacy protection scheme is evaluated on MNIST and CIFAR-10, and compared with state-of-the-art DP-based federated learning models. Experimental results demonstrate that our model can successfully defend diverse external attacks to user-level privacy with negligible accuracy loss.","container-title":"2021 IEEE 3rd International Conference on Artificial Intelligence Circuits and Systems (AICAS)","DOI":"10.1109/AICAS51828.2021.9458510","event-title":"2021 IEEE 3rd International Conference on Artificial Intelligence Circuits and Systems (AICAS)","page":"1-4","source":"IEEE Xplore","title":"Federated Regularization Learning: an Accurate and Safe Method for Federated Learning","title-short":"Federated Regularization Learning","author":[{"family":"Su","given":"Tianqi"},{"family":"Wang","given":"Meiqi"},{"family":"Wang","given":"Zhongfeng"}],"issued":{"date-parts":[["2021",6]]}}}],"schema":"https://github.com/citation-style-language/schema/raw/master/csl-citation.json"}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51</w:t>
            </w:r>
            <w:r>
              <w:rPr>
                <w:rFonts w:ascii="Calibri" w:eastAsia="Times New Roman" w:hAnsi="Calibri" w:cs="Calibri"/>
                <w:i/>
                <w:iCs/>
                <w:color w:val="000000"/>
              </w:rPr>
              <w:fldChar w:fldCharType="end"/>
            </w:r>
          </w:p>
        </w:tc>
        <w:tc>
          <w:tcPr>
            <w:tcW w:w="234" w:type="dxa"/>
          </w:tcPr>
          <w:p w14:paraId="3FC1581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775C94D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MNIST; CIFAR-10</w:t>
            </w:r>
          </w:p>
        </w:tc>
        <w:tc>
          <w:tcPr>
            <w:tcW w:w="2702" w:type="dxa"/>
          </w:tcPr>
          <w:p w14:paraId="35C7B27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49161A2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6FF545D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2F8551D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28A1DEB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64E9764E"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6B6C832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3CF0297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26AB8B10"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3D1BF538"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Weng</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{"citationID":"gYo0Q6mV","properties":{"formattedCitation":"\\super 52\\nosupersub{}","plainCitation":"52","noteIndex":0},"citationItems":[{"id":382,"uris":["http://zotero.org/users/local/HJepGCSn/items/IHV7AP2I"],"itemData":{"id":382,"type":"paper-conference","abstract":"Data holders, such as mobile apps, hospitals and banks, are capable of training machine learning (ML) models and enjoy many intelligence services. To benefit more individuals lacking data and models, a convenient approach is needed which enables the trained models from various sources for prediction serving, but it has yet to truly take off considering three issues: (i) incentivizing prediction truthfulness; (ii) boosting prediction accuracy; (iii) protecting model privacy.We design FedServing, a federated prediction serving framework, achieving the three issues. First, we customize an incentive mechanism based on Bayesian game theory which ensures that joining providers at a Bayesian Nash Equilibrium will provide truthful (not meaningless) predictions. Second, working jointly with the incentive mechanism, we employ truth discovery algorithms to aggregate truthful but possibly inaccurate predictions for boosting prediction accuracy. Third, providers can locally deploy their models and their predictions are securely aggregated inside TEEs. Attractively, our design supports popular prediction formats, including top-1 label, ranked labels and posterior probability. Besides, blockchain is employed as a complementary component to enforce exchange fairness. By conducting extensive experiments, we validate the expected properties of our design. We also empirically demonstrate that FedServing reduces the risk of certain membership inference attack.","container-title":"IEEE INFOCOM 2021 - IEEE Conference on Computer Communications","DOI":"10.1109/INFOCOM42981.2021.9488807","event-title":"IEEE INFOCOM 2021 - IEEE Conference on Computer Communications","note":"ISSN: 2641-9874","page":"1-10","source":"IEEE Xplore","title":"FedServing: A Federated Prediction Serving Framework Based on Incentive Mechanism","title-short":"FedServing","author":[{"family":"Weng","given":"Jiasi"},{"family":"Weng","given":"Jian"},{"family":"Huang","given":"Hongwei"},{"family":"Cai","given":"Chengjun"},{"family":"Wang","given":"Cong"}],"issued":{"date-parts":[["2021",5]]}}}],"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52</w:t>
            </w:r>
            <w:r>
              <w:rPr>
                <w:rFonts w:ascii="Calibri" w:eastAsia="Times New Roman" w:hAnsi="Calibri" w:cs="Calibri"/>
                <w:i/>
                <w:iCs/>
                <w:color w:val="000000"/>
              </w:rPr>
              <w:fldChar w:fldCharType="end"/>
            </w:r>
          </w:p>
        </w:tc>
        <w:tc>
          <w:tcPr>
            <w:tcW w:w="234" w:type="dxa"/>
          </w:tcPr>
          <w:p w14:paraId="749B270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7F36296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MNIST; 20 Newsgroups; ImageNet</w:t>
            </w:r>
          </w:p>
        </w:tc>
        <w:tc>
          <w:tcPr>
            <w:tcW w:w="2702" w:type="dxa"/>
          </w:tcPr>
          <w:p w14:paraId="5BDEAAF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 Recurrent Neural Network; Multilayer Perceptron</w:t>
            </w:r>
          </w:p>
        </w:tc>
        <w:tc>
          <w:tcPr>
            <w:tcW w:w="1808" w:type="dxa"/>
          </w:tcPr>
          <w:p w14:paraId="08524E4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892C81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1214398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2CF0024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0E95336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CE160FE"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3D52A5B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5AE00AF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1E029FC9" w14:textId="77777777" w:rsidR="00375D17" w:rsidRPr="002407A3" w:rsidRDefault="00375D17" w:rsidP="00530265">
            <w:pPr>
              <w:rPr>
                <w:rFonts w:ascii="Calibri" w:eastAsia="Times New Roman" w:hAnsi="Calibri" w:cs="Calibri"/>
                <w:color w:val="000000"/>
              </w:rPr>
            </w:pPr>
            <w:r>
              <w:rPr>
                <w:rFonts w:ascii="Calibri" w:eastAsia="Times New Roman" w:hAnsi="Calibri" w:cs="Calibri"/>
                <w:color w:val="000000"/>
              </w:rPr>
              <w:t>Miao</w:t>
            </w:r>
            <w:r w:rsidRPr="002407A3">
              <w:rPr>
                <w:rFonts w:ascii="Calibri" w:eastAsia="Times New Roman" w:hAnsi="Calibri" w:cs="Calibri"/>
                <w:color w:val="000000"/>
              </w:rPr>
              <w:t xml:space="preserve">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{"citationID":"56WLyO0P","properties":{"formattedCitation":"\\super 53\\nosupersub{}","plainCitation":"53","noteIndex":0},"citationItems":[{"id":517,"uris":["http://zotero.org/users/local/HJepGCSn/items/ZZ8M625R"],"itemData":{"id":517,"type":"article-journal","abstract":"With the rapid development of deep learning techniques, the popularity of voice services implemented on various Internet of Things (IoT) devices is ever increasing. In this paper, we examine user-level membership inference in the problem space of voice services, by designing an audio auditor to verify whether a specific user had unwillingly contributed audio used to train an automatic speech recognition (ASR) model under strict black-box access. With user representation of the input audio data and their corresponding translated text, our trained auditor is effective in user-level audit. We also observe that the auditor trained on specific data can be generalized well regardless of the ASR model architecture. We validate the auditor on ASR models trained with LSTM, RNNs, and GRU algorithms on two state-of-the-art pipelines, the hybrid ASR system and the end-to-end ASR system. Finally, we conduct a real-world trial of our auditor on iPhone Siri, achieving an overall accuracy exceeding 80%. We hope the methodology developed in this paper and findings can inform privacy advocates to overhaul IoT privacy.","container-title":"Proceedings on Privacy Enhancing Technologies","DOI":"10.2478/popets-2021-0012","ISSN":"2299-0984","license":"open","note":"number-of-pages: 20\npublisher: Sciendo","page":"209-228","source":"researchonline.jcu.edu.au","title":"The audio auditor: user-level membership inference in Internet of Things voice services","title-short":"The audio auditor","volume":"2021","author":[{"family":"Miao","given":"Yuantian"},{"family":"Minhui","given":"Xue"},{"family":"Chen","given":"Chao"},{"family":"Pan","given":"Lei"},{"family":"Zhang","given":"Jun"},{"family":"Zhao","given":"Benjamin Zi Hao"},{"family":"Kaafar","given":"Dali"},{"family":"Xiang","given":"Yang"}],"issued":{"date-parts":[["2021"]]}}}],"schema":"https://github.com/citation-style-language/schema/raw/master/csl-citation.json"}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53</w:t>
            </w:r>
            <w:r>
              <w:rPr>
                <w:rFonts w:ascii="Calibri" w:eastAsia="Times New Roman" w:hAnsi="Calibri" w:cs="Calibri"/>
                <w:i/>
                <w:iCs/>
                <w:color w:val="000000"/>
              </w:rPr>
              <w:fldChar w:fldCharType="end"/>
            </w:r>
          </w:p>
        </w:tc>
        <w:tc>
          <w:tcPr>
            <w:tcW w:w="234" w:type="dxa"/>
          </w:tcPr>
          <w:p w14:paraId="65B8939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75041E0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Auxiliary Reference Dataset</w:t>
            </w:r>
          </w:p>
        </w:tc>
        <w:tc>
          <w:tcPr>
            <w:tcW w:w="2702" w:type="dxa"/>
          </w:tcPr>
          <w:p w14:paraId="3A01595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Recurrent Neural Network; Long Short-Term Memory; Gated Recurrent Units</w:t>
            </w:r>
          </w:p>
        </w:tc>
        <w:tc>
          <w:tcPr>
            <w:tcW w:w="1808" w:type="dxa"/>
          </w:tcPr>
          <w:p w14:paraId="60CC8A03" w14:textId="77777777" w:rsidR="00375D17" w:rsidRDefault="00375D17" w:rsidP="00530265">
            <w:pPr>
              <w:tabs>
                <w:tab w:val="left" w:pos="1118"/>
              </w:tabs>
              <w:jc w:val="both"/>
              <w:cnfStyle w:val="000000100000" w:firstRow="0" w:lastRow="0" w:firstColumn="0" w:lastColumn="0" w:oddVBand="0" w:evenVBand="0" w:oddHBand="1" w:evenHBand="0" w:firstRowFirstColumn="0" w:firstRowLastColumn="0" w:lastRowFirstColumn="0" w:lastRowLastColumn="0"/>
            </w:pPr>
            <w:r>
              <w:t>Generative</w:t>
            </w:r>
          </w:p>
        </w:tc>
        <w:tc>
          <w:tcPr>
            <w:tcW w:w="1407" w:type="dxa"/>
          </w:tcPr>
          <w:p w14:paraId="21D76C2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605D16E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6E450DC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 Precision; Recall; F1-Score</w:t>
            </w:r>
          </w:p>
          <w:p w14:paraId="6A2EBEBE" w14:textId="77777777" w:rsidR="00375D17" w:rsidRPr="000E0BFA" w:rsidRDefault="00375D17" w:rsidP="00530265">
            <w:pPr>
              <w:cnfStyle w:val="000000100000" w:firstRow="0" w:lastRow="0" w:firstColumn="0" w:lastColumn="0" w:oddVBand="0" w:evenVBand="0" w:oddHBand="1" w:evenHBand="0" w:firstRowFirstColumn="0" w:firstRowLastColumn="0" w:lastRowFirstColumn="0" w:lastRowLastColumn="0"/>
            </w:pPr>
          </w:p>
        </w:tc>
        <w:tc>
          <w:tcPr>
            <w:tcW w:w="781" w:type="dxa"/>
            <w:tcBorders>
              <w:left w:val="single" w:sz="4" w:space="0" w:color="auto"/>
              <w:right w:val="single" w:sz="4" w:space="0" w:color="auto"/>
            </w:tcBorders>
            <w:vAlign w:val="center"/>
          </w:tcPr>
          <w:p w14:paraId="1E58806D"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443A3A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71EAE1A9"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1254AEBD"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6011F8F4" w14:textId="77777777" w:rsidR="00375D17"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Gupta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{"citationID":"g4EqyjuP","properties":{"formattedCitation":"\\super 54\\nosupersub{}","plainCitation":"54","noteIndex":0},"citationItems":[{"id":543,"uris":["http://zotero.org/users/local/HJepGCSn/items/9BS4BDY5"],"itemData":{"id":543,"type":"article","abstract":"Ensuring the privacy of research participants is vital, even more so in healthcare environments. Deep learning approaches to neuroimaging require large datasets, and this often necessitates sharing data between multiple sites, which is antithetical to the privacy objectives. Federated learning is a commonly proposed solution to this problem. It circumvents the need for data sharing by sharing parameters during the training process. However, we demonstrate that allowing access to parameters may leak private information even if data is never directly shared. In particular, we show that it is possible to infer if a sample was used to train the model given only access to the model prediction (black-box) or access to the model itself (white-box) and some leaked samples from the training data distribution. Such attacks are commonly referred to as Membership Inference attacks. We show realistic Membership Inference attacks on deep learning models trained for 3D neuroimaging tasks in a centralized as well as decentralized setup. We demonstrate feasible attacks on brain age prediction models (deep learning models that predict a person's age from their brain MRI scan). We correctly identified whether an MRI scan was used in model training with a 60% to over 80% success rate depending on model complexity and security assumptions.","DOI":"10.48550/arXiv.2105.02866","note":"arXiv:2105.02866 [cs, eess, q-bio]","number":"arXiv:2105.02866","publisher":"arXiv","source":"arXiv.org","title":"Membership Inference Attacks on Deep Regression Models for Neuroimaging","URL":"http://arxiv.org/abs/2105.02866","author":[{"family":"Gupta","given":"Umang"},{"family":"Stripelis","given":"Dimitris"},{"family":"Lam","given":"Pradeep K."},{"family":"Thompson","given":"Paul M."},{"family":"Ambite","given":"José Luis"},{"family":"Steeg","given":"Greg Ver"}],"accessed":{"date-parts":[["2022",8,4]]},"issued":{"date-parts":[["2021",6,3]]}}}],"schema":"https://github.com/citation-style-language/schema/raw/master/csl-citation.json"}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54</w:t>
            </w:r>
            <w:r>
              <w:rPr>
                <w:rFonts w:ascii="Calibri" w:eastAsia="Times New Roman" w:hAnsi="Calibri" w:cs="Calibri"/>
                <w:i/>
                <w:iCs/>
                <w:color w:val="000000"/>
              </w:rPr>
              <w:fldChar w:fldCharType="end"/>
            </w:r>
          </w:p>
        </w:tc>
        <w:tc>
          <w:tcPr>
            <w:tcW w:w="234" w:type="dxa"/>
          </w:tcPr>
          <w:p w14:paraId="2C88843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0C44976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Neuroimaging Data</w:t>
            </w:r>
          </w:p>
        </w:tc>
        <w:tc>
          <w:tcPr>
            <w:tcW w:w="2702" w:type="dxa"/>
          </w:tcPr>
          <w:p w14:paraId="3E7051E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760414A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Prediction</w:t>
            </w:r>
          </w:p>
        </w:tc>
        <w:tc>
          <w:tcPr>
            <w:tcW w:w="1407" w:type="dxa"/>
          </w:tcPr>
          <w:p w14:paraId="1599AB9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435917E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4BF5B98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2CDC338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16B0E18A"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1AC9206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30ED153E"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7D69523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5C03983"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Bagmar</w:t>
            </w:r>
            <w:proofErr w:type="spellEnd"/>
            <w:r w:rsidRPr="002407A3">
              <w:rPr>
                <w:rFonts w:ascii="Calibri" w:eastAsia="Times New Roman" w:hAnsi="Calibri" w:cs="Calibri"/>
                <w:color w:val="000000"/>
              </w:rPr>
              <w:t xml:space="preserve">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{"citationID":"OKxHi9B4","properties":{"formattedCitation":"\\super 55\\nosupersub{}","plainCitation":"55","noteIndex":0},"citationItems":[{"id":546,"uris":["http://zotero.org/users/local/HJepGCSn/items/6EU3FJKQ"],"itemData":{"id":546,"type":"paper-conference","abstract":"We show empirical results for Membership Inference Attacks on Lottery-ticketed Networks.","event-title":"ICML 2021 Workshop on Adversarial Machine Learning","language":"en","source":"openreview.net","title":"Membership Inference Attacks on Lottery Ticket Networks","URL":"https://openreview.net/forum?id=4lyXal2ZWB3","author":[{"family":"Bagmar","given":"Aadesh Mahavir"},{"family":"Maiya","given":"Shishira"},{"family":"Bidwalkar","given":"Shruti"},{"family":"Deshpande","given":"Amol"}],"accessed":{"date-parts":[["2022",8,4]]},"issued":{"date-parts":[["2021",6,30]]}}}],"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55</w:t>
            </w:r>
            <w:r>
              <w:rPr>
                <w:rFonts w:ascii="Calibri" w:eastAsia="Times New Roman" w:hAnsi="Calibri" w:cs="Calibri"/>
                <w:i/>
                <w:iCs/>
                <w:color w:val="000000"/>
              </w:rPr>
              <w:fldChar w:fldCharType="end"/>
            </w:r>
          </w:p>
        </w:tc>
        <w:tc>
          <w:tcPr>
            <w:tcW w:w="234" w:type="dxa"/>
          </w:tcPr>
          <w:p w14:paraId="4A6B40E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0FA6212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CIFAR-(10/100); ImageNet</w:t>
            </w:r>
          </w:p>
        </w:tc>
        <w:tc>
          <w:tcPr>
            <w:tcW w:w="2702" w:type="dxa"/>
          </w:tcPr>
          <w:p w14:paraId="7353C92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705A0A5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494C2FA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0ACE125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1EA224D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 Precision</w:t>
            </w:r>
          </w:p>
        </w:tc>
        <w:tc>
          <w:tcPr>
            <w:tcW w:w="781" w:type="dxa"/>
            <w:tcBorders>
              <w:left w:val="single" w:sz="4" w:space="0" w:color="auto"/>
              <w:right w:val="single" w:sz="4" w:space="0" w:color="auto"/>
            </w:tcBorders>
            <w:vAlign w:val="center"/>
          </w:tcPr>
          <w:p w14:paraId="4D6C1D6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7B0D554"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65F4DA5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6BB6DC01"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4C83BF34"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Liu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{"citationID":"8D6PZDIw","properties":{"formattedCitation":"\\super 56\\nosupersub{}","plainCitation":"56","noteIndex":0},"citationItems":[{"id":483,"uris":["http://zotero.org/users/local/HJepGCSn/items/HKNAHXC9"],"itemData":{"id":483,"type":"paper-conference","abstract":"Given a set of unlabeled images or (image, text) pairs, contrastive learning aims to pre-train an image encoder that can be used as a feature extractor for many downstream tasks. In this work, we propose EncoderMI, the first membership inference method against image encoders pre-trained by contrastive learning. In particular, given an input and a black-box access to an image encoder, EncoderMI aims to infer whether the input is in the training dataset of the image encoder. EncoderMI can be used 1) by a data owner to audit whether its (public) data was used to pre-train an image encoder without its authorization or 2) by an attacker to compromise privacy of the training data when it is private/sensitive. Our EncoderMI exploits the overfitting of the image encoder towards its training data. In particular, an overfitted image encoder is more likely to output more (or less) similar feature vectors for two augmented versions of an input in (or not in) its training dataset. We evaluate EncoderMI on image encoders pre-trained on multiple datasets by ourselves as well as the Contrastive Language-Image Pre-training (CLIP) image encoder, which is pre-trained on 400 million (image, text) pairs collected from the Internet and released by OpenAI. Our results show that EncoderMI can achieve high accuracy, precision, and recall. We also explore a countermeasure against EncoderMI via preventing overfitting through early stopping. Our results show that it achieves trade-offs between accuracy of EncoderMI and utility of the image encoder, i.e., it can reduce the accuracy of EncoderMI, but it also incurs classification accuracy loss of the downstream classifiers built based on the image encoder.","collection-title":"CCS '21","container-title":"Proceedings of the 2021 ACM SIGSAC Conference on Computer and Communications Security","DOI":"10.1145/3460120.3484749","event-place":"New York, NY, USA","ISBN":"978-1-4503-8454-4","page":"2081–2095","publisher":"Association for Computing Machinery","publisher-place":"New York, NY, USA","source":"ACM Digital Library","title":"EncoderMI: Membership Inference against Pre-trained Encoders in Contrastive Learning","title-short":"EncoderMI","URL":"https://doi.org/10.1145/3460120.3484749","author":[{"family":"Liu","given":"Hongbin"},{"family":"Jia","given":"Jinyuan"},{"family":"Qu","given":"Wenjie"},{"family":"Gong","given":"Neil Zhenqiang"}],"accessed":{"date-parts":[["2022",8,4]]},"issued":{"date-parts":[["2021",11,12]]}}}],"schema":"https://github.com/citation-style-language/schema/raw/master/csl-citation.json"}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56</w:t>
            </w:r>
            <w:r>
              <w:rPr>
                <w:rFonts w:ascii="Calibri" w:eastAsia="Times New Roman" w:hAnsi="Calibri" w:cs="Calibri"/>
                <w:i/>
                <w:iCs/>
                <w:color w:val="000000"/>
              </w:rPr>
              <w:fldChar w:fldCharType="end"/>
            </w:r>
          </w:p>
        </w:tc>
        <w:tc>
          <w:tcPr>
            <w:tcW w:w="234" w:type="dxa"/>
          </w:tcPr>
          <w:p w14:paraId="754B02C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59B6AB2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CIFAR-10; STL10; Tiny-ImageNet</w:t>
            </w:r>
          </w:p>
        </w:tc>
        <w:tc>
          <w:tcPr>
            <w:tcW w:w="2702" w:type="dxa"/>
          </w:tcPr>
          <w:p w14:paraId="4FD060E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w:t>
            </w:r>
          </w:p>
          <w:p w14:paraId="0822CCE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p w14:paraId="3A1A550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808" w:type="dxa"/>
          </w:tcPr>
          <w:p w14:paraId="1F3C314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Image Encoder</w:t>
            </w:r>
          </w:p>
        </w:tc>
        <w:tc>
          <w:tcPr>
            <w:tcW w:w="1407" w:type="dxa"/>
          </w:tcPr>
          <w:p w14:paraId="633C2F5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16EFEFD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0DD02A6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05F66B9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Precision; Recall</w:t>
            </w:r>
          </w:p>
        </w:tc>
        <w:tc>
          <w:tcPr>
            <w:tcW w:w="781" w:type="dxa"/>
            <w:tcBorders>
              <w:left w:val="single" w:sz="4" w:space="0" w:color="auto"/>
              <w:right w:val="single" w:sz="4" w:space="0" w:color="auto"/>
            </w:tcBorders>
            <w:vAlign w:val="center"/>
          </w:tcPr>
          <w:p w14:paraId="598B052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550AB7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42CDC978"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rsidRPr="00443DC9" w14:paraId="50A5460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val="restart"/>
            <w:tcBorders>
              <w:top w:val="single" w:sz="24" w:space="0" w:color="auto"/>
            </w:tcBorders>
            <w:shd w:val="clear" w:color="auto" w:fill="FFFFFF" w:themeFill="background1"/>
          </w:tcPr>
          <w:p w14:paraId="61230347" w14:textId="77777777" w:rsidR="00375D17" w:rsidRPr="00443DC9" w:rsidRDefault="00375D17" w:rsidP="00530265">
            <w:pPr>
              <w:rPr>
                <w:b w:val="0"/>
                <w:bCs w:val="0"/>
                <w:sz w:val="24"/>
                <w:szCs w:val="24"/>
              </w:rPr>
            </w:pPr>
          </w:p>
          <w:p w14:paraId="1741B0CF" w14:textId="77777777" w:rsidR="00375D17" w:rsidRPr="00443DC9" w:rsidRDefault="00375D17" w:rsidP="00530265">
            <w:pPr>
              <w:rPr>
                <w:b w:val="0"/>
                <w:bCs w:val="0"/>
                <w:sz w:val="24"/>
                <w:szCs w:val="24"/>
              </w:rPr>
            </w:pPr>
          </w:p>
          <w:p w14:paraId="4E28ABE5" w14:textId="77777777" w:rsidR="00375D17" w:rsidRPr="00443DC9" w:rsidRDefault="00375D17" w:rsidP="00530265">
            <w:pPr>
              <w:rPr>
                <w:sz w:val="24"/>
                <w:szCs w:val="24"/>
              </w:rPr>
            </w:pPr>
            <w:r w:rsidRPr="00443DC9">
              <w:rPr>
                <w:sz w:val="24"/>
                <w:szCs w:val="24"/>
              </w:rPr>
              <w:t>Authors (Year)</w:t>
            </w:r>
          </w:p>
        </w:tc>
        <w:tc>
          <w:tcPr>
            <w:tcW w:w="234" w:type="dxa"/>
            <w:tcBorders>
              <w:top w:val="single" w:sz="24" w:space="0" w:color="auto"/>
            </w:tcBorders>
            <w:shd w:val="clear" w:color="auto" w:fill="FFFFFF" w:themeFill="background1"/>
          </w:tcPr>
          <w:p w14:paraId="095760F6"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sz w:val="24"/>
                <w:szCs w:val="24"/>
              </w:rPr>
            </w:pPr>
          </w:p>
        </w:tc>
        <w:tc>
          <w:tcPr>
            <w:tcW w:w="8050" w:type="dxa"/>
            <w:gridSpan w:val="4"/>
            <w:tcBorders>
              <w:top w:val="single" w:sz="24" w:space="0" w:color="auto"/>
            </w:tcBorders>
            <w:shd w:val="clear" w:color="auto" w:fill="FFFFFF" w:themeFill="background1"/>
          </w:tcPr>
          <w:p w14:paraId="782F7F00"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Setting</w:t>
            </w:r>
          </w:p>
        </w:tc>
        <w:tc>
          <w:tcPr>
            <w:tcW w:w="233" w:type="dxa"/>
            <w:tcBorders>
              <w:top w:val="single" w:sz="24" w:space="0" w:color="auto"/>
              <w:bottom w:val="nil"/>
            </w:tcBorders>
            <w:shd w:val="clear" w:color="auto" w:fill="FFFFFF" w:themeFill="background1"/>
          </w:tcPr>
          <w:p w14:paraId="512827B3"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p>
        </w:tc>
        <w:tc>
          <w:tcPr>
            <w:tcW w:w="4083" w:type="dxa"/>
            <w:gridSpan w:val="4"/>
            <w:tcBorders>
              <w:top w:val="single" w:sz="24" w:space="0" w:color="auto"/>
              <w:bottom w:val="single" w:sz="12" w:space="0" w:color="auto"/>
            </w:tcBorders>
            <w:shd w:val="clear" w:color="auto" w:fill="FFFFFF" w:themeFill="background1"/>
            <w:vAlign w:val="center"/>
          </w:tcPr>
          <w:p w14:paraId="0C87CBE2"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Performance</w:t>
            </w:r>
          </w:p>
        </w:tc>
      </w:tr>
      <w:tr w:rsidR="00375D17" w:rsidRPr="00443DC9" w14:paraId="1B4B9E1B" w14:textId="77777777" w:rsidTr="00530265">
        <w:tc>
          <w:tcPr>
            <w:cnfStyle w:val="001000000000" w:firstRow="0" w:lastRow="0" w:firstColumn="1" w:lastColumn="0" w:oddVBand="0" w:evenVBand="0" w:oddHBand="0" w:evenHBand="0" w:firstRowFirstColumn="0" w:firstRowLastColumn="0" w:lastRowFirstColumn="0" w:lastRowLastColumn="0"/>
            <w:tcW w:w="2329" w:type="dxa"/>
            <w:vMerge/>
            <w:tcBorders>
              <w:bottom w:val="single" w:sz="24" w:space="0" w:color="auto"/>
            </w:tcBorders>
          </w:tcPr>
          <w:p w14:paraId="6F7BC1AB" w14:textId="77777777" w:rsidR="00375D17" w:rsidRPr="00443DC9" w:rsidRDefault="00375D17" w:rsidP="00530265">
            <w:pPr>
              <w:rPr>
                <w:b w:val="0"/>
                <w:bCs w:val="0"/>
                <w:sz w:val="24"/>
                <w:szCs w:val="24"/>
              </w:rPr>
            </w:pPr>
          </w:p>
        </w:tc>
        <w:tc>
          <w:tcPr>
            <w:tcW w:w="234" w:type="dxa"/>
            <w:tcBorders>
              <w:bottom w:val="single" w:sz="24" w:space="0" w:color="auto"/>
            </w:tcBorders>
            <w:shd w:val="clear" w:color="auto" w:fill="FFFFFF" w:themeFill="background1"/>
          </w:tcPr>
          <w:p w14:paraId="79C1C27E"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p>
        </w:tc>
        <w:tc>
          <w:tcPr>
            <w:tcW w:w="2133" w:type="dxa"/>
            <w:tcBorders>
              <w:top w:val="single" w:sz="12" w:space="0" w:color="auto"/>
              <w:bottom w:val="single" w:sz="24" w:space="0" w:color="auto"/>
            </w:tcBorders>
            <w:shd w:val="clear" w:color="auto" w:fill="FFFFFF" w:themeFill="background1"/>
            <w:vAlign w:val="bottom"/>
          </w:tcPr>
          <w:p w14:paraId="194F41E7"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Training Dataset(s)</w:t>
            </w:r>
          </w:p>
        </w:tc>
        <w:tc>
          <w:tcPr>
            <w:tcW w:w="2702" w:type="dxa"/>
            <w:tcBorders>
              <w:top w:val="single" w:sz="12" w:space="0" w:color="auto"/>
              <w:bottom w:val="single" w:sz="24" w:space="0" w:color="auto"/>
            </w:tcBorders>
            <w:shd w:val="clear" w:color="auto" w:fill="FFFFFF" w:themeFill="background1"/>
            <w:vAlign w:val="bottom"/>
          </w:tcPr>
          <w:p w14:paraId="10A00493"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Target Model Architecture(s)</w:t>
            </w:r>
          </w:p>
        </w:tc>
        <w:tc>
          <w:tcPr>
            <w:tcW w:w="1808" w:type="dxa"/>
            <w:tcBorders>
              <w:top w:val="single" w:sz="12" w:space="0" w:color="auto"/>
              <w:bottom w:val="single" w:sz="24" w:space="0" w:color="auto"/>
            </w:tcBorders>
            <w:shd w:val="clear" w:color="auto" w:fill="FFFFFF" w:themeFill="background1"/>
            <w:vAlign w:val="bottom"/>
          </w:tcPr>
          <w:p w14:paraId="65DC4415"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 xml:space="preserve">Target Model Task </w:t>
            </w:r>
          </w:p>
        </w:tc>
        <w:tc>
          <w:tcPr>
            <w:tcW w:w="1407" w:type="dxa"/>
            <w:tcBorders>
              <w:top w:val="single" w:sz="12" w:space="0" w:color="auto"/>
              <w:bottom w:val="single" w:sz="24" w:space="0" w:color="auto"/>
            </w:tcBorders>
            <w:shd w:val="clear" w:color="auto" w:fill="FFFFFF" w:themeFill="background1"/>
            <w:vAlign w:val="bottom"/>
          </w:tcPr>
          <w:p w14:paraId="4E2CBACF"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Knowledge</w:t>
            </w:r>
          </w:p>
        </w:tc>
        <w:tc>
          <w:tcPr>
            <w:tcW w:w="233" w:type="dxa"/>
            <w:tcBorders>
              <w:top w:val="nil"/>
              <w:bottom w:val="single" w:sz="24" w:space="0" w:color="auto"/>
            </w:tcBorders>
            <w:shd w:val="clear" w:color="auto" w:fill="FFFFFF" w:themeFill="background1"/>
            <w:vAlign w:val="bottom"/>
          </w:tcPr>
          <w:p w14:paraId="25078798"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p>
        </w:tc>
        <w:tc>
          <w:tcPr>
            <w:tcW w:w="1794" w:type="dxa"/>
            <w:tcBorders>
              <w:top w:val="single" w:sz="12" w:space="0" w:color="auto"/>
              <w:bottom w:val="single" w:sz="24" w:space="0" w:color="auto"/>
              <w:right w:val="single" w:sz="4" w:space="0" w:color="auto"/>
            </w:tcBorders>
            <w:shd w:val="clear" w:color="auto" w:fill="FFFFFF" w:themeFill="background1"/>
            <w:vAlign w:val="center"/>
          </w:tcPr>
          <w:p w14:paraId="2CE99761"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Performance Metric(s)</w:t>
            </w:r>
          </w:p>
        </w:tc>
        <w:tc>
          <w:tcPr>
            <w:tcW w:w="781" w:type="dxa"/>
            <w:tcBorders>
              <w:left w:val="single" w:sz="4" w:space="0" w:color="auto"/>
              <w:bottom w:val="single" w:sz="24" w:space="0" w:color="auto"/>
              <w:right w:val="single" w:sz="4" w:space="0" w:color="auto"/>
            </w:tcBorders>
            <w:shd w:val="clear" w:color="auto" w:fill="FFFFFF" w:themeFill="background1"/>
            <w:vAlign w:val="center"/>
          </w:tcPr>
          <w:p w14:paraId="186130D1"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&gt;50%</w:t>
            </w:r>
          </w:p>
        </w:tc>
        <w:tc>
          <w:tcPr>
            <w:tcW w:w="754" w:type="dxa"/>
            <w:tcBorders>
              <w:left w:val="single" w:sz="4" w:space="0" w:color="auto"/>
              <w:bottom w:val="single" w:sz="24" w:space="0" w:color="auto"/>
              <w:right w:val="single" w:sz="4" w:space="0" w:color="auto"/>
            </w:tcBorders>
            <w:shd w:val="clear" w:color="auto" w:fill="FFFFFF" w:themeFill="background1"/>
            <w:vAlign w:val="center"/>
          </w:tcPr>
          <w:p w14:paraId="639A8DD4"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rFonts w:cstheme="minorHAnsi"/>
                <w:b/>
                <w:bCs/>
                <w:sz w:val="24"/>
                <w:szCs w:val="24"/>
              </w:rPr>
              <w:t>≥</w:t>
            </w:r>
            <w:r w:rsidRPr="00443DC9">
              <w:rPr>
                <w:b/>
                <w:bCs/>
                <w:sz w:val="24"/>
                <w:szCs w:val="24"/>
              </w:rPr>
              <w:t>75%</w:t>
            </w:r>
          </w:p>
        </w:tc>
        <w:tc>
          <w:tcPr>
            <w:tcW w:w="754" w:type="dxa"/>
            <w:tcBorders>
              <w:left w:val="single" w:sz="4" w:space="0" w:color="auto"/>
              <w:bottom w:val="single" w:sz="24" w:space="0" w:color="auto"/>
            </w:tcBorders>
            <w:shd w:val="clear" w:color="auto" w:fill="FFFFFF" w:themeFill="background1"/>
            <w:vAlign w:val="center"/>
          </w:tcPr>
          <w:p w14:paraId="3B3FD7EE"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rFonts w:cstheme="minorHAnsi"/>
                <w:b/>
                <w:bCs/>
                <w:sz w:val="24"/>
                <w:szCs w:val="24"/>
              </w:rPr>
              <w:t>≥90</w:t>
            </w:r>
            <w:r w:rsidRPr="00443DC9">
              <w:rPr>
                <w:b/>
                <w:bCs/>
                <w:sz w:val="24"/>
                <w:szCs w:val="24"/>
              </w:rPr>
              <w:t>%</w:t>
            </w:r>
          </w:p>
        </w:tc>
      </w:tr>
      <w:tr w:rsidR="00375D17" w14:paraId="4360ADC4"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3EFD20B7"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Hidano</w:t>
            </w:r>
            <w:proofErr w:type="spellEnd"/>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{"citationID":"xQJKRFed","properties":{"formattedCitation":"\\super 57\\nosupersub{}","plainCitation":"57","noteIndex":0},"citationItems":[{"id":252,"uris":["http://zotero.org/users/local/HJepGCSn/items/RWCRXXMX"],"itemData":{"id":252,"type":"paper-conference","abstract":"Transfer learning has been widely studied and gained increasing popularity to improve the accuracy of machine learning models by transferring some knowledge acquired in different training. However, no prior work has pointed out that transfer learning can strengthen privacy attacks on machine learning models. In this paper, we propose TransMIA (Transfer learning-based Membership Inference Attacks), which use transfer learning to perform membership inference attacks on the source model when the adversary is able to access the parameters of the transferred model. In particular, we propose a transfer shadow training technique, where an adversary employs the parameters of the transferred model to construct shadow models, to significantly improve the performance of membership inference when a limited amount of shadow training data is available to the adversary. We evaluate our attacks using two real datasets, and show that our attacks outperform the state-of-the-art that does not use our transfer shadow training technique. We also compare four combinations of the learning-based/entropy-based approach and the fine-tuning/freezing approach, all of which employ our transfer shadow training technique. Then we examine the performance of these four approaches based on the distributions of confidence values, and discuss possible countermeasures against our attacks.","container-title":"2021 International Joint Conference on Neural Networks (IJCNN)","DOI":"10.1109/IJCNN52387.2021.9534207","event-title":"2021 International Joint Conference on Neural Networks (IJCNN)","note":"ISSN: 2161-4407","page":"1-10","source":"IEEE Xplore","title":"TransMIA: Membership Inference Attacks Using Transfer Shadow Training","title-short":"TransMIA","author":[{"family":"Hidano","given":"Seira"},{"family":"Murakami","given":"Takao"},{"family":"Kawamoto","given":"Yusuke"}],"issued":{"date-parts":[["2021",7]]}}}],"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57</w:t>
            </w:r>
            <w:r>
              <w:rPr>
                <w:rFonts w:ascii="Calibri" w:eastAsia="Times New Roman" w:hAnsi="Calibri" w:cs="Calibri"/>
                <w:i/>
                <w:iCs/>
                <w:color w:val="000000"/>
              </w:rPr>
              <w:fldChar w:fldCharType="end"/>
            </w:r>
          </w:p>
        </w:tc>
        <w:tc>
          <w:tcPr>
            <w:tcW w:w="234" w:type="dxa"/>
          </w:tcPr>
          <w:p w14:paraId="0FDCDB1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26CD7CD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ImageNet; VGGFace2</w:t>
            </w:r>
          </w:p>
        </w:tc>
        <w:tc>
          <w:tcPr>
            <w:tcW w:w="2702" w:type="dxa"/>
          </w:tcPr>
          <w:p w14:paraId="343BE1A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Deep Neural Network</w:t>
            </w:r>
          </w:p>
        </w:tc>
        <w:tc>
          <w:tcPr>
            <w:tcW w:w="1808" w:type="dxa"/>
          </w:tcPr>
          <w:p w14:paraId="784CCCC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3559244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p w14:paraId="37D2330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15FC6EF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1039779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Precision; Recall</w:t>
            </w:r>
          </w:p>
        </w:tc>
        <w:tc>
          <w:tcPr>
            <w:tcW w:w="781" w:type="dxa"/>
            <w:tcBorders>
              <w:left w:val="single" w:sz="4" w:space="0" w:color="auto"/>
              <w:right w:val="single" w:sz="4" w:space="0" w:color="auto"/>
            </w:tcBorders>
            <w:vAlign w:val="center"/>
          </w:tcPr>
          <w:p w14:paraId="07AC788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7E9882C5"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3BDDB475"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5089D91B"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6EF71A0F"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Zhao</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{"citationID":"ekVaGBEf","properties":{"formattedCitation":"\\super 58\\nosupersub{}","plainCitation":"58","noteIndex":0},"citationItems":[{"id":411,"uris":["http://zotero.org/users/local/HJepGCSn/items/A2XK4YPW"],"itemData":{"id":411,"type":"article-journal","abstract":"With the rise of privacy concerns in traditional centralized machine learning services, federated learning, which incorporates multiple participants to train a global model across their localized training data, has lately received significant attention in both industry and academia. Bringing federated learning into a wireless network scenario is a great move. The combination of them inspires tremendous power and spawns a number of promising applications. Recent researches reveal the inherent vulnerabilities of the various learning modes for the membership inference attacks that the adversary could infer whether a given data record belongs to the model's training set. Although the state-of-the-art techniques could successfully deduce the membership information from the centralized machine learning models, it is still challenging to infer the member data at a more confined level, the user level. It is exciting that the common wireless monitor technique in the wireless network environment just provides a good ground for fine-grained membership inference. In this paper, we novelly propose and define a concept of user-level inference attack in federated learning. Specifically, we first give a comprehensive analysis of active and targeted membership inference attacks in the context of federated learning. Then, by considering a more complicated scenario that the adversary can only passively observe the updating models from different iterations, we incorporate the generative adversarial networks into our method, which can enrich the training set for the final membership inference model. In the end, we comprehensively research and implement inferences launched by adversaries of different roles, which makes the attack scenario complete and realistic. The extensive experimental results demonstrate the effectiveness of our proposed attacking approach in the case of single label and multilabel.&lt;/p&gt;","container-title":"Wireless Communications &amp; Mobile Computing","DOI":"10.1155/2021/5534270","ISSN":"1530-8669","journalAbbreviation":"Wirel. Commun. Mob. Comput.","language":"English","note":"publisher-place: London\npublisher: Wiley-Hindawi\nWOS:000715790100002","page":"5534270","source":"Web of Science Nextgen","title":"User-Level Membership Inference for Federated Learning in Wireless Network Environment","volume":"2021","author":[{"family":"Zhao","given":"Yanchao"},{"family":"Chen","given":"Jiale"},{"family":"Zhang","given":"Jiale"},{"family":"Yang","given":"Zilu"},{"family":"Tu","given":"Huawei"},{"family":"Han","given":"Hao"},{"family":"Zhu","given":"Kun"},{"family":"Chen","given":"Bing"}],"issued":{"date-parts":[["2021",10,20]]}}}],"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58</w:t>
            </w:r>
            <w:r>
              <w:rPr>
                <w:rFonts w:ascii="Calibri" w:eastAsia="Times New Roman" w:hAnsi="Calibri" w:cs="Calibri"/>
                <w:i/>
                <w:iCs/>
                <w:color w:val="000000"/>
              </w:rPr>
              <w:fldChar w:fldCharType="end"/>
            </w:r>
          </w:p>
        </w:tc>
        <w:tc>
          <w:tcPr>
            <w:tcW w:w="234" w:type="dxa"/>
          </w:tcPr>
          <w:p w14:paraId="18AF93D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22C718E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MNIST; CIFAR-10; AT&amp;T</w:t>
            </w:r>
          </w:p>
        </w:tc>
        <w:tc>
          <w:tcPr>
            <w:tcW w:w="2702" w:type="dxa"/>
          </w:tcPr>
          <w:p w14:paraId="4B12936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22ACE50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DDC046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tc>
        <w:tc>
          <w:tcPr>
            <w:tcW w:w="233" w:type="dxa"/>
          </w:tcPr>
          <w:p w14:paraId="5CA0E33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233996FD" w14:textId="77777777" w:rsidR="00375D17" w:rsidRDefault="00375D17" w:rsidP="00530265">
            <w:pPr>
              <w:tabs>
                <w:tab w:val="left" w:pos="1409"/>
              </w:tabs>
              <w:cnfStyle w:val="000000000000" w:firstRow="0" w:lastRow="0" w:firstColumn="0" w:lastColumn="0" w:oddVBand="0" w:evenVBand="0" w:oddHBand="0" w:evenHBand="0" w:firstRowFirstColumn="0" w:firstRowLastColumn="0" w:lastRowFirstColumn="0" w:lastRowLastColumn="0"/>
            </w:pPr>
            <w:r>
              <w:t>Accuracy; ROC</w:t>
            </w:r>
          </w:p>
        </w:tc>
        <w:tc>
          <w:tcPr>
            <w:tcW w:w="781" w:type="dxa"/>
            <w:tcBorders>
              <w:left w:val="single" w:sz="4" w:space="0" w:color="auto"/>
              <w:right w:val="single" w:sz="4" w:space="0" w:color="auto"/>
            </w:tcBorders>
            <w:vAlign w:val="center"/>
          </w:tcPr>
          <w:p w14:paraId="736231DD"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191FCFD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74753BF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44FEEC7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35AB627"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Kaya</w:t>
            </w:r>
            <w:r>
              <w:rPr>
                <w:rFonts w:ascii="Calibri" w:eastAsia="Times New Roman" w:hAnsi="Calibri" w:cs="Calibri"/>
                <w:color w:val="000000"/>
              </w:rPr>
              <w:t xml:space="preserve"> </w:t>
            </w:r>
            <w:r w:rsidRPr="002407A3">
              <w:rPr>
                <w:rFonts w:ascii="Calibri" w:eastAsia="Times New Roman" w:hAnsi="Calibri" w:cs="Calibri"/>
                <w:color w:val="000000"/>
              </w:rPr>
              <w:t xml:space="preserve">&amp; </w:t>
            </w:r>
            <w:proofErr w:type="spellStart"/>
            <w:r w:rsidRPr="002407A3">
              <w:rPr>
                <w:rFonts w:ascii="Calibri" w:eastAsia="Times New Roman" w:hAnsi="Calibri" w:cs="Calibri"/>
                <w:color w:val="000000"/>
              </w:rPr>
              <w:t>Dumitras</w:t>
            </w:r>
            <w:proofErr w:type="spellEnd"/>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{"citationID":"xPcKpKiW","properties":{"formattedCitation":"\\super 59\\nosupersub{}","plainCitation":"59","noteIndex":0},"citationItems":[{"id":658,"uris":["http://zotero.org/users/local/HJepGCSn/items/U3266YTJ"],"itemData":{"id":658,"type":"paper-conference","abstract":"Deep learning models often raise privacy concerns as they leak information about their training data. This leakage enables membership inference attacks (MIA) that can identify whether a data point was in a model’s training set. Research shows that some ’data augmentation’ mechanisms may reduce the risk by combatting a key factor increasing the leakage, overfitting. While many mechanisms exist, their effectiveness against MIAs and privacy properties have not been studied systematically. Employing two recent MIAs, we explore the lower bound on the risk in the absence of formal upper bounds. First, we evaluate 7 mechanisms and differential privacy, on three image classification tasks. We find that applying augmentation to increase the model’s utility does not mitigate the risk and protection comes with a utility penalty. Further, we also investigate why popular label smoothing mechanism consistently amplifies the risk. Finally, we propose ’loss-rank-correlation’ (LRC) metric to assess how similar the effects of different mechanisms are. This, for example, reveals the similarity of applying high-intensity augmentation against MIAs to simply reducing the training time. Our findings emphasize the utility-privacy trade-off and provide practical guidelines on using augmentation to manage the trade-off.","container-title":"Proceedings of the 38th International Conference on Machine Learning","event-title":"International Conference on Machine Learning","language":"en","note":"ISSN: 2640-3498","page":"5345-5355","publisher":"PMLR","source":"proceedings.mlr.press","title":"When Does Data Augmentation Help With Membership Inference Attacks?","URL":"https://proceedings.mlr.press/v139/kaya21a.html","author":[{"family":"Kaya","given":"Yigitcan"},{"family":"Dumitras","given":"Tudor"}],"accessed":{"date-parts":[["2022",9,26]]},"issued":{"date-parts":[["2021",7,1]]}}}],"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59</w:t>
            </w:r>
            <w:r>
              <w:rPr>
                <w:rFonts w:ascii="Calibri" w:eastAsia="Times New Roman" w:hAnsi="Calibri" w:cs="Calibri"/>
                <w:color w:val="000000"/>
              </w:rPr>
              <w:fldChar w:fldCharType="end"/>
            </w:r>
          </w:p>
        </w:tc>
        <w:tc>
          <w:tcPr>
            <w:tcW w:w="234" w:type="dxa"/>
          </w:tcPr>
          <w:p w14:paraId="5A0ACBB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6B36D5C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Fashion-MNIST; CIFAR-(10/100)</w:t>
            </w:r>
          </w:p>
        </w:tc>
        <w:tc>
          <w:tcPr>
            <w:tcW w:w="2702" w:type="dxa"/>
          </w:tcPr>
          <w:p w14:paraId="31B3C4A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588D001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3448FA4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6EB7193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014E2FA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2F865AF4"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05C1B35"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788C9A0D"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41B7B8DD"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02C37CB6"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Wang</w:t>
            </w:r>
            <w:r>
              <w:rPr>
                <w:rFonts w:ascii="Calibri" w:eastAsia="Times New Roman" w:hAnsi="Calibri" w:cs="Calibri"/>
                <w:color w:val="000000"/>
              </w:rPr>
              <w:t xml:space="preserve">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sidRPr="00433D95">
              <w:t>(202</w:t>
            </w:r>
            <w:r>
              <w:t>1</w:t>
            </w:r>
            <w:r w:rsidRPr="00433D95">
              <w:t>)</w:t>
            </w:r>
            <w: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{"citationID":"bNNdx9dK","properties":{"formattedCitation":"\\super 60\\nosupersub{}","plainCitation":"60","noteIndex":0},"citationItems":[{"id":660,"uris":["http://zotero.org/users/local/HJepGCSn/items/UBV6LJ9S"],"itemData":{"id":660,"type":"paper-conference","abstract":"The large model size, high computational operations, and vulnerability against membership inference attack (MIA) have impeded deep learning or deep neural networks (DNNs) popularity, especially on mobile devices. To address the challenge, we envision that the weight pruning technique will help DNNs against MIA while reducing model storage and computational operation. In this work, we propose a pruning algorithm, and we show that the proposed algorithm can ﬁnd a subnetwork that can prevent privacy leakage from MIA and achieves competitive accuracy with the original DNNs. We also verify our theoretical insights with experiments. Our experimental results illustrate that the attack accuracy using model compression is up to 13.6% and 10% lower than that of the baseline and Min-Max game, accordingly.","container-title":"Proceedings of the Thirtieth International Joint Conference on Artificial Intelligence","DOI":"10.24963/ijcai.2021/432","event-place":"Montreal, Canada","event-title":"Thirtieth International Joint Conference on Artificial Intelligence {IJCAI-21}","ISBN":"978-0-9992411-9-6","language":"en","page":"3141-3147","publisher":"International Joint Conferences on Artificial Intelligence Organization","publisher-place":"Montreal, Canada","source":"DOI.org (Crossref)","title":"Against Membership Inference Attack: Pruning is All You Need","title-short":"Against Membership Inference Attack","URL":"https://www.ijcai.org/proceedings/2021/432","author":[{"family":"Wang","given":"Yijue"},{"family":"Wang","given":"Chenghong"},{"family":"Wang","given":"Zigeng"},{"family":"Zhou","given":"Shanglin"},{"family":"Liu","given":"Hang"},{"family":"Bi","given":"Jinbo"},{"family":"Ding","given":"Caiwen"},{"family":"Rajasekaran","given":"Sanguthevar"}],"accessed":{"date-parts":[["2022",9,26]]},"issued":{"date-parts":[["2021",8]]}}}],"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60</w:t>
            </w:r>
            <w:r>
              <w:rPr>
                <w:rFonts w:ascii="Calibri" w:eastAsia="Times New Roman" w:hAnsi="Calibri" w:cs="Calibri"/>
                <w:i/>
                <w:iCs/>
                <w:color w:val="000000"/>
              </w:rPr>
              <w:fldChar w:fldCharType="end"/>
            </w:r>
          </w:p>
        </w:tc>
        <w:tc>
          <w:tcPr>
            <w:tcW w:w="234" w:type="dxa"/>
          </w:tcPr>
          <w:p w14:paraId="20940AE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6A7380B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MNIST; CIFAR-(10/100); ImageNet</w:t>
            </w:r>
          </w:p>
        </w:tc>
        <w:tc>
          <w:tcPr>
            <w:tcW w:w="2702" w:type="dxa"/>
          </w:tcPr>
          <w:p w14:paraId="6C1D9E7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Deep Neural Network</w:t>
            </w:r>
          </w:p>
        </w:tc>
        <w:tc>
          <w:tcPr>
            <w:tcW w:w="1808" w:type="dxa"/>
          </w:tcPr>
          <w:p w14:paraId="4754CE4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1B79BF9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28B73F1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18FB791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02625D1A"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129A62D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47CDEADB"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0526F54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403BBFF1"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Mukherjee</w:t>
            </w:r>
            <w:r>
              <w:rPr>
                <w:rFonts w:ascii="Calibri" w:eastAsia="Times New Roman" w:hAnsi="Calibri" w:cs="Calibri"/>
                <w:color w:val="000000"/>
              </w:rPr>
              <w:t xml:space="preserve">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{"citationID":"VWj2nquv","properties":{"formattedCitation":"\\super 61\\nosupersub{}","plainCitation":"61","noteIndex":0},"citationItems":[{"id":664,"uris":["http://zotero.org/users/local/HJepGCSn/items/GYVQ5V9R"],"itemData":{"id":664,"type":"article-journal","abstract":"Generative Adversarial Networks (GANs) have made releasing of synthetic images a viable approach to share data without releasing the original dataset. It has been shown that such synthetic data can be used for a variety of downstream tasks such as training classiﬁers that would otherwise require the original dataset to be shared. However, recent work has shown that the GAN models and their synthetically generated data can be used to infer the training set membership by an adversary who has access to the entire dataset and some auxiliary information. Current approaches to mitigate this problem (such as DPGAN [1]) lead to dramatically poorer generated sample quality than the original non–private GANs. Here we develop a new GAN architecture (privGAN), where the generator is trained not only to cheat the discriminator but also to defend membership inference attacks. The new mechanism is shown to empirically provide protection against this mode of attack while leading to negligible loss in downstream performances. In addition, our algorithm has been shown to explicitly prevent memorization of the training set, which explains why our protection is so eﬀective. The main contributions of this paper are: i) we propose a novel GAN architecture that can generate synthetic data in a privacy preserving manner with minimal hyperparameter tuning and architecture selection, ii) we provide a theoretical understanding of the optimal solution of the privGAN loss function, iii) we empirically demonstrate the eﬀectiveness of our model against several white and black–box attacks on several benchmark datasets, iv) we empirically demonstrate on three common benchmark datasets that synthetic images generated by privGAN lead to negligible loss in downstream performance when compared against non–private GANs. While we have focused on benchmarking privGAN exclusively on image datasets, the architecture of privGAN is not exclusive to image datasets and can be easily extended to other types of datasets. Repository link: https://github.com/microsoft/privGAN.","container-title":"Proceedings on Privacy Enhancing Technologies","DOI":"10.2478/popets-2021-0041","ISSN":"2299-0984","issue":"3","language":"en","page":"142-163","source":"DOI.org (Crossref)","title":"privGAN: Protecting GANs from membership inference attacks at low cost to utility","title-short":"privGAN","volume":"2021","author":[{"family":"Mukherjee","given":"Sumit"},{"family":"Xu","given":"Yixi"},{"family":"Trivedi","given":"Anusua"},{"family":"Patowary","given":"Nabajyoti"},{"family":"Ferres","given":"Juan L."}],"issued":{"date-parts":[["2021",7,1]]}}}],"schema":"https://github.com/citation-style-language/schema/raw/master/csl-citation.json"}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61</w:t>
            </w:r>
            <w:r>
              <w:rPr>
                <w:rFonts w:ascii="Calibri" w:eastAsia="Times New Roman" w:hAnsi="Calibri" w:cs="Calibri"/>
                <w:i/>
                <w:iCs/>
                <w:color w:val="000000"/>
              </w:rPr>
              <w:fldChar w:fldCharType="end"/>
            </w:r>
          </w:p>
        </w:tc>
        <w:tc>
          <w:tcPr>
            <w:tcW w:w="234" w:type="dxa"/>
          </w:tcPr>
          <w:p w14:paraId="4F3F493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49E93D9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MNIST; fashion-MNIST; CIFAR-10; Labeled Faces in the Wild</w:t>
            </w:r>
          </w:p>
        </w:tc>
        <w:tc>
          <w:tcPr>
            <w:tcW w:w="2702" w:type="dxa"/>
          </w:tcPr>
          <w:p w14:paraId="13EDA06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Generative Adversarial Network; Fully Connected Neural Network</w:t>
            </w:r>
          </w:p>
        </w:tc>
        <w:tc>
          <w:tcPr>
            <w:tcW w:w="1808" w:type="dxa"/>
          </w:tcPr>
          <w:p w14:paraId="1E30611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Generative; Classification</w:t>
            </w:r>
          </w:p>
        </w:tc>
        <w:tc>
          <w:tcPr>
            <w:tcW w:w="1407" w:type="dxa"/>
          </w:tcPr>
          <w:p w14:paraId="410AAED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tc>
        <w:tc>
          <w:tcPr>
            <w:tcW w:w="233" w:type="dxa"/>
          </w:tcPr>
          <w:p w14:paraId="51E23A0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6ED838A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7801C43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76D16DA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5B69CE94"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3F949659"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429CAC1D"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Webster</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{"citationID":"DrgLY2jF","properties":{"formattedCitation":"\\super 62\\nosupersub{}","plainCitation":"62","noteIndex":0},"citationItems":[{"id":665,"uris":["http://zotero.org/users/local/HJepGCSn/items/QAD8XKN5"],"itemData":{"id":665,"type":"paper-conference","abstract":"With the widespread application of deep networks in industry, membership inference attacks, i.e. the ability to discern training data from a model, become more and more problematic for data privacy. Recent work suggests that generative networks may be robust against membership attacks. In this work, we build on this observation, offering a general-purpose solution to the membership privacy problem. As the primary contribution, we demonstrate how to construct surrogate datasets, using images from GAN generators, labelled with a classifier trained on the private dataset. Next, we show this surrogate data can further be used for a variety of downstream tasks (here classification and regression), while being resistant to membership attacks. We study a variety of different GANs proposed in the literature, concluding that higher quality GANs result in better surrogate data with respect to the task at hand.","container-title":"2020 25th International Conference on Pattern Recognition (ICPR)","DOI":"10.1109/ICPR48806.2021.9413067","event-title":"2020 25th International Conference on Pattern Recognition (ICPR)","note":"ISSN: 1051-4651","page":"263-269","source":"IEEE Xplore","title":"Generating Private Data Surrogates for Vision Related Tasks","author":[{"family":"Webster","given":"Ryan"},{"family":"Rabin","given":"Julien"},{"family":"Simon","given":"Loïc"},{"family":"Jurie","given":"Frédéric"}],"issued":{"date-parts":[["2021",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62</w:t>
            </w:r>
            <w:r>
              <w:rPr>
                <w:rFonts w:ascii="Calibri" w:eastAsia="Times New Roman" w:hAnsi="Calibri" w:cs="Calibri"/>
                <w:i/>
                <w:iCs/>
                <w:color w:val="000000"/>
              </w:rPr>
              <w:fldChar w:fldCharType="end"/>
            </w:r>
          </w:p>
        </w:tc>
        <w:tc>
          <w:tcPr>
            <w:tcW w:w="234" w:type="dxa"/>
          </w:tcPr>
          <w:p w14:paraId="0F83B00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4A04A7B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roofErr w:type="spellStart"/>
            <w:r>
              <w:t>CelebA</w:t>
            </w:r>
            <w:proofErr w:type="spellEnd"/>
            <w:r>
              <w:t>-HQ; UTK-Face</w:t>
            </w:r>
          </w:p>
        </w:tc>
        <w:tc>
          <w:tcPr>
            <w:tcW w:w="2702" w:type="dxa"/>
          </w:tcPr>
          <w:p w14:paraId="2FA26FD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Generative Adversarial Network</w:t>
            </w:r>
          </w:p>
        </w:tc>
        <w:tc>
          <w:tcPr>
            <w:tcW w:w="1808" w:type="dxa"/>
          </w:tcPr>
          <w:p w14:paraId="05A987F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3D0CD31" w14:textId="77777777" w:rsidR="00375D17" w:rsidRDefault="00375D17" w:rsidP="00530265">
            <w:pPr>
              <w:jc w:val="center"/>
              <w:cnfStyle w:val="000000000000" w:firstRow="0" w:lastRow="0" w:firstColumn="0" w:lastColumn="0" w:oddVBand="0" w:evenVBand="0" w:oddHBand="0" w:evenHBand="0" w:firstRowFirstColumn="0" w:firstRowLastColumn="0" w:lastRowFirstColumn="0" w:lastRowLastColumn="0"/>
            </w:pPr>
            <w:r>
              <w:t>-</w:t>
            </w:r>
          </w:p>
        </w:tc>
        <w:tc>
          <w:tcPr>
            <w:tcW w:w="233" w:type="dxa"/>
          </w:tcPr>
          <w:p w14:paraId="0C5CA3D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5905930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45E5F79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22582E5B"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2BF70C0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7DA63BD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4258A435"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Paul</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{"citationID":"YgI7mVkp","properties":{"formattedCitation":"\\super 63\\nosupersub{}","plainCitation":"63","noteIndex":0},"citationItems":[{"id":671,"uris":["http://zotero.org/users/local/HJepGCSn/items/HPFXJ3LH"],"itemData":{"id":671,"type":"article","abstract":"Machine learning (ML) models used in medical imaging diagnostics can be vulnerable to a variety of privacy attacks, including membership inference attacks, that lead to violations of regulations governing the use of medical data and threaten to compromise their effective deployment in the clinic. In contrast to most recent work in privacy-aware ML that has been focused on model alteration and post-processing steps, we propose here a novel and complementary scheme that enhances the security of medical data by controlling the data sharing process. We develop and evaluate a privacy defense protocol based on using a generative adversarial network (GAN) that allows a medical data sourcer (e.g. a hospital) to provide an external agent (a modeler) a proxy dataset synthesized from the original images, so that the resulting diagnostic systems made available to model consumers is rendered resilient to privacy attackers. We validate the proposed method on retinal diagnostics AI used for diabetic retinopathy that bears the risk of possibly leaking private information. To incorporate concerns of both privacy advocates and modelers, we introduce a metric to evaluate privacy and utility performance in combination, and demonstrate, using these novel and classical metrics, that our approach, by itself or in conjunction with other defenses, provides state of the art (SOTA) performance for defending against privacy attacks.","note":"arXiv:2103.03078 [cs, eess]","number":"arXiv:2103.03078","publisher":"arXiv","source":"arXiv.org","title":"Defending Medical Image Diagnostics against Privacy Attacks using Generative Methods","URL":"http://arxiv.org/abs/2103.03078","author":[{"family":"Paul","given":"William"},{"family":"Cao","given":"Yinzhi"},{"family":"Zhang","given":"Miaomiao"},{"family":"Burlina","given":"Phil"}],"accessed":{"date-parts":[["2022",9,26]]},"issued":{"date-parts":[["2021",8,20]]}}}],"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63</w:t>
            </w:r>
            <w:r>
              <w:rPr>
                <w:rFonts w:ascii="Calibri" w:eastAsia="Times New Roman" w:hAnsi="Calibri" w:cs="Calibri"/>
                <w:i/>
                <w:iCs/>
                <w:color w:val="000000"/>
              </w:rPr>
              <w:fldChar w:fldCharType="end"/>
            </w:r>
          </w:p>
        </w:tc>
        <w:tc>
          <w:tcPr>
            <w:tcW w:w="234" w:type="dxa"/>
          </w:tcPr>
          <w:p w14:paraId="5DA050D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6A4AC5F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roofErr w:type="spellStart"/>
            <w:r>
              <w:t>EyePACs</w:t>
            </w:r>
            <w:proofErr w:type="spellEnd"/>
          </w:p>
        </w:tc>
        <w:tc>
          <w:tcPr>
            <w:tcW w:w="2702" w:type="dxa"/>
          </w:tcPr>
          <w:p w14:paraId="5199577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02BE508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5A24C12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Gray-Box</w:t>
            </w:r>
          </w:p>
          <w:p w14:paraId="4F13F60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4BD14B3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3740834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40F9415D"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54D6F51"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76B44AC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265E978C"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6D519452"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Bai</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{"citationID":"CKIU5wIm","properties":{"formattedCitation":"\\super 64\\nosupersub{}","plainCitation":"64","noteIndex":0},"citationItems":[{"id":334,"uris":["http://zotero.org/users/local/HJepGCSn/items/LXQGHTSS"],"itemData":{"id":334,"type":"paper-conference","abstract":"Membership inference attacks (MIAs) against machine learning systems have drawn tremendous attention from information security researchers. By MIA, an adversary can speculate whether an individual data record is a member of the training set or not. Existing black-box MIA assumes that much information about the training data is available. Specifically, the attacker assumes that (s)he has the ability to query the target model without limitations or can access a sufficient dataset whose distribution is the same as the training data set. However, in a realistic scenario, MIAs usually come up with the limited number and the imbalanced proportion of target training datasets which cause significant challenges for MIAs. To launch an MIA in the realistic scenario, in this paper, we present a novel method called GANMIA, which generates synthetic data to augment the training samples of the shadow model for the black-box MIA by a Generative Adversarial Network (GAN). GANMIA firstly augments synthesized samples and then uses the generated samples to train the given shadow model to increase the training efficiency, and additionally improve the MIA’s performance. The experimental results show that the accuracy of the black-box MIA increases by 23% with the help of our synthetic data.","container-title":"ICC 2021 - IEEE International Conference on Communications","DOI":"10.1109/ICC42927.2021.9500657","event-title":"ICC 2021 - IEEE International Conference on Communications","note":"ISSN: 1938-1883","page":"1-6","source":"IEEE Xplore","title":"GANMIA: GAN-based Black-box Membership Inference Attack","title-short":"GANMIA","author":[{"family":"Bai","given":"Yang"},{"family":"Chen","given":"Degang"},{"family":"Chen","given":"Ting"},{"family":"Fan","given":"Mingyu"}],"issued":{"date-parts":[["2021",6]]}}}],"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64</w:t>
            </w:r>
            <w:r>
              <w:rPr>
                <w:rFonts w:ascii="Calibri" w:eastAsia="Times New Roman" w:hAnsi="Calibri" w:cs="Calibri"/>
                <w:i/>
                <w:iCs/>
                <w:color w:val="000000"/>
              </w:rPr>
              <w:fldChar w:fldCharType="end"/>
            </w:r>
          </w:p>
        </w:tc>
        <w:tc>
          <w:tcPr>
            <w:tcW w:w="234" w:type="dxa"/>
          </w:tcPr>
          <w:p w14:paraId="6DB3EE1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2AC1121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CIFAR-10</w:t>
            </w:r>
          </w:p>
        </w:tc>
        <w:tc>
          <w:tcPr>
            <w:tcW w:w="2702" w:type="dxa"/>
          </w:tcPr>
          <w:p w14:paraId="4BE0B9D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w:t>
            </w:r>
          </w:p>
        </w:tc>
        <w:tc>
          <w:tcPr>
            <w:tcW w:w="1808" w:type="dxa"/>
          </w:tcPr>
          <w:p w14:paraId="0745C4F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1AA143F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37B9429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593C1E8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726BF70F"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2F1E85F"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056C49F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0783444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15E89148"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Yu</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{"citationID":"krK5TlVO","properties":{"formattedCitation":"\\super 65\\nosupersub{}","plainCitation":"65","noteIndex":0},"citationItems":[{"id":418,"uris":["http://zotero.org/users/local/HJepGCSn/items/2QI5HCJ8"],"itemData":{"id":418,"type":"paper-conference","abstract":"This work establishes the optimal membership inference when the model is trained with augmented data, which inspires them to formulate the MI attack as a set classification problem, i.e., classifying a set of augmented instances instead of a single data point, and design input permutation invariant features. It is observed in the literature that data augmentation can significantly mitigate membership inference (MI) attack. However, in this work, we challenge this observation by proposing new MI attacks to utilize the information of augmented data. MI attack is widely used to measure the model's information leakage of the training set. We establish the optimal membership inference when the model is trained with augmented data, which inspires us to formulate the MI attack as a set classification problem, i.e., classifying a set of augmented instances instead of a single data point, and design input permutation invariant features. Empirically, we demonstrate that the proposed approach universally outperforms original methods when the model is trained with data augmentation. Even further, we show that the proposed approach can achieve higher MI attack success rates on models trained with some data augmentation than the existing methods on models trained without data augmentation. Notably, we achieve a 70.1% MI attack success rate on CIFAR10 against a wide residual network while the previous best approach only attains 61.9%. This suggests the privacy risk of models trained with data augmentation could be largely underestimated.","container-title":"AAAI","source":"Semantic Scholar","title":"How Does Data Augmentation Affect Privacy in Machine Learning?","author":[{"family":"Yu","given":"Da"},{"family":"Zhang","given":"Huishuai"},{"family":"Chen","given":"Wei"},{"family":"Yin","given":"Jian"},{"family":"Liu","given":"Tie-Yan"}],"issued":{"date-parts":[["2021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65</w:t>
            </w:r>
            <w:r>
              <w:rPr>
                <w:rFonts w:ascii="Calibri" w:eastAsia="Times New Roman" w:hAnsi="Calibri" w:cs="Calibri"/>
                <w:i/>
                <w:iCs/>
                <w:color w:val="000000"/>
              </w:rPr>
              <w:fldChar w:fldCharType="end"/>
            </w:r>
          </w:p>
        </w:tc>
        <w:tc>
          <w:tcPr>
            <w:tcW w:w="234" w:type="dxa"/>
          </w:tcPr>
          <w:p w14:paraId="161A2C3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051EB7D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CIFAR-(10/100); ImageNet1000</w:t>
            </w:r>
          </w:p>
        </w:tc>
        <w:tc>
          <w:tcPr>
            <w:tcW w:w="2702" w:type="dxa"/>
          </w:tcPr>
          <w:p w14:paraId="067E4FC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36C7350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1349F5B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1763E20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6DE2954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2886DA15"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8691E23"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53B5FBA1"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66885C48"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51E01EA1"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Shin</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{"citationID":"iSAJFk53","properties":{"formattedCitation":"\\super 66\\nosupersub{}","plainCitation":"66","noteIndex":0},"citationItems":[{"id":361,"uris":["http://zotero.org/users/local/HJepGCSn/items/EWCK85DL"],"itemData":{"id":361,"type":"article-journal","abstract":"As the amount of data collected and analyzed by machine learning technology increases, data that can identify individuals is also being collected in large quantities. In particular, as deep learning technology—which requires a large amount of analysis data—is activated in various service fields, the possibility of exposing sensitive information of users increases, and the user privacy problem is growing more than ever. As a solution to this user’s data privacy problem, homomorphic encryption technology, which is an encryption technology that supports arithmetic operations using encrypted data, has been applied to various field including finance and health care in recent years. If so, is it possible to use the deep learning service while preserving the data privacy of users by using the data to which homomorphic encryption is applied? In this paper, we propose three attack methods to infringe user’s data privacy by exploiting possible security vulnerabilities in the process of using homomorphic encryption-based deep learning services for the first time. To specify and verify the feasibility of exploiting possible security vulnerabilities, we propose three attacks: (1) an adversarial attack exploiting communication link between client and trusted party; (2) a reconstruction attack using the paired input and output data; and (3) a membership inference attack by malicious insider. In addition, we describe real-world exploit scenarios for financial and medical services. From the experimental evaluation results, we show that the adversarial example and reconstruction attacks are a practical threat to homomorphic encryption-based deep learning models. The adversarial attack decreased average classification accuracy from 0.927 to 0.043, and the reconstruction attack showed average reclassification accuracy of 0.888, respectively.","container-title":"Sensors","DOI":"10.3390/s21237806","ISSN":"1424-8220","issue":"23","language":"en","license":"http://creativecommons.org/licenses/by/3.0/","note":"number: 23\npublisher: Multidisciplinary Digital Publishing Institute","page":"7806","source":"www.mdpi.com","title":"Is Homomorphic Encryption-Based Deep Learning Secure Enough?","volume":"21","author":[{"family":"Shin","given":"Jinmyeong"},{"family":"Choi","given":"Seok-Hwan"},{"family":"Choi","given":"Yoon-Ho"}],"issued":{"date-parts":[["2021",1]]}}}],"schema":"https://github.com/citation-style-language/schema/raw/master/csl-citation.json"}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66</w:t>
            </w:r>
            <w:r>
              <w:rPr>
                <w:rFonts w:ascii="Calibri" w:eastAsia="Times New Roman" w:hAnsi="Calibri" w:cs="Calibri"/>
                <w:i/>
                <w:iCs/>
                <w:color w:val="000000"/>
              </w:rPr>
              <w:fldChar w:fldCharType="end"/>
            </w:r>
          </w:p>
        </w:tc>
        <w:tc>
          <w:tcPr>
            <w:tcW w:w="234" w:type="dxa"/>
          </w:tcPr>
          <w:p w14:paraId="1E03EC7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1793733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MNIST; Fashion-MNIST</w:t>
            </w:r>
          </w:p>
        </w:tc>
        <w:tc>
          <w:tcPr>
            <w:tcW w:w="2702" w:type="dxa"/>
          </w:tcPr>
          <w:p w14:paraId="0EB8B51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Transformer</w:t>
            </w:r>
          </w:p>
        </w:tc>
        <w:tc>
          <w:tcPr>
            <w:tcW w:w="1808" w:type="dxa"/>
          </w:tcPr>
          <w:p w14:paraId="5F08FE1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7708890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1D7EA99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1F3DC97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Precision; Recall</w:t>
            </w:r>
          </w:p>
        </w:tc>
        <w:tc>
          <w:tcPr>
            <w:tcW w:w="781" w:type="dxa"/>
            <w:tcBorders>
              <w:left w:val="single" w:sz="4" w:space="0" w:color="auto"/>
              <w:right w:val="single" w:sz="4" w:space="0" w:color="auto"/>
            </w:tcBorders>
            <w:vAlign w:val="center"/>
          </w:tcPr>
          <w:p w14:paraId="2066EDD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27BF248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6AE822B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3359E3C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184930F7"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Liu</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{"citationID":"LvObemSB","properties":{"formattedCitation":"\\super 67\\nosupersub{}","plainCitation":"67","noteIndex":0},"citationItems":[{"id":391,"uris":["http://zotero.org/users/local/HJepGCSn/items/32QQQGUR"],"itemData":{"id":391,"type":"article-journal","abstract":"Recently, edge computing has attracted significant interest due to its ability to extend cloud computing utilities and services to the network edge with low response times and communication costs. In general, edge computing requires mobile users to upload their raw data to a centralized data server for further processing. However, these data usually contain sensitive information about mobile users that the users do not want to reveal, such as sexual orientation, political stance, health status, and service access history. The transmission of user data increases the leakage risk of data privacy since many extra devices can get access to these data. In this article, we attempt to keep the data of edge devices and end users on their local storage to resist the leakage of user privacy. To this end, we integrate federated learning and edge computing to propose P2FEC, a privacy-preserving framework that can construct a unified deep learning model across multiple users or devices without uploading their data to a centralized server. Furthermore, we use membership inference attacks as a case study for the privacy analysis of edge computing. The experiments show that the model constructed by our framework can achieve similar prediction performance and stricter protection of data privacy, compared to the model trained by standard edge computing.","container-title":"IEEE Network","DOI":"10.1109/MNET.011.2000215","ISSN":"1558-156X","issue":"2","note":"event-title: IEEE Network","page":"60-66","source":"IEEE Xplore","title":"Keep Your Data Locally: Federated-Learning-Based Data Privacy Preservation in Edge Computing","title-short":"Keep Your Data Locally","volume":"35","author":[{"family":"Liu","given":"Gaoyang"},{"family":"Wang","given":"Chen"},{"family":"Ma","given":"Xiaoqiang"},{"family":"Yang","given":"Yang"}],"issued":{"date-parts":[["2021",3]]}}}],"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67</w:t>
            </w:r>
            <w:r>
              <w:rPr>
                <w:rFonts w:ascii="Calibri" w:eastAsia="Times New Roman" w:hAnsi="Calibri" w:cs="Calibri"/>
                <w:i/>
                <w:iCs/>
                <w:color w:val="000000"/>
              </w:rPr>
              <w:fldChar w:fldCharType="end"/>
            </w:r>
          </w:p>
        </w:tc>
        <w:tc>
          <w:tcPr>
            <w:tcW w:w="234" w:type="dxa"/>
          </w:tcPr>
          <w:p w14:paraId="4AE8426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4B485EF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Adult; MNIST; Purchase-(2/10/20) </w:t>
            </w:r>
          </w:p>
        </w:tc>
        <w:tc>
          <w:tcPr>
            <w:tcW w:w="2702" w:type="dxa"/>
          </w:tcPr>
          <w:p w14:paraId="32709CC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Deep Neural Network</w:t>
            </w:r>
          </w:p>
        </w:tc>
        <w:tc>
          <w:tcPr>
            <w:tcW w:w="1808" w:type="dxa"/>
          </w:tcPr>
          <w:p w14:paraId="253C213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0ED406EB" w14:textId="77777777" w:rsidR="00375D17" w:rsidRDefault="00375D17" w:rsidP="00530265">
            <w:pPr>
              <w:jc w:val="center"/>
              <w:cnfStyle w:val="000000100000" w:firstRow="0" w:lastRow="0" w:firstColumn="0" w:lastColumn="0" w:oddVBand="0" w:evenVBand="0" w:oddHBand="1" w:evenHBand="0" w:firstRowFirstColumn="0" w:firstRowLastColumn="0" w:lastRowFirstColumn="0" w:lastRowLastColumn="0"/>
            </w:pPr>
            <w:r>
              <w:t>-</w:t>
            </w:r>
          </w:p>
        </w:tc>
        <w:tc>
          <w:tcPr>
            <w:tcW w:w="233" w:type="dxa"/>
          </w:tcPr>
          <w:p w14:paraId="771A0C1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3D4F647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 Precision</w:t>
            </w:r>
          </w:p>
        </w:tc>
        <w:tc>
          <w:tcPr>
            <w:tcW w:w="781" w:type="dxa"/>
            <w:tcBorders>
              <w:left w:val="single" w:sz="4" w:space="0" w:color="auto"/>
              <w:right w:val="single" w:sz="4" w:space="0" w:color="auto"/>
            </w:tcBorders>
            <w:vAlign w:val="center"/>
          </w:tcPr>
          <w:p w14:paraId="29CEF2D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0346FD5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5572E221"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08847408"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1A85422F"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Grosse</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{"citationID":"0tzuWYV5","properties":{"formattedCitation":"\\super 68\\nosupersub{}","plainCitation":"68","noteIndex":0},"citationItems":[{"id":469,"uris":["http://zotero.org/users/local/HJepGCSn/items/ECXSFZI7"],"itemData":{"id":469,"type":"paper-conference","abstract":"In machine learning (ML) security, attacks like evasion, model stealing or membership inference are generally studied in individually. Previous work has also shown a relationship between some attacks and decision function curvature of the targeted model. Consequently, we study an ML model allowing direct control over the decision surface curvature: Gaussian Process Classifiers (GPCs). For evasion, we find that changing GPC's curvature to be robust against one attack algorithm boils down to enabling a different norm or attack algorithm to succeed. This is backed up by our formal analysis showing that static security guarantees are opposed to learning. Concerning intellectual property, we show formally that lazy learning does not necessarily leak all information when applied. In practice, often a seemingly secure curvature can be found. For example, we are able to secure GPC against empirical membership inference by proper configuration. In this configuration, however, the GPC's hyper-parameters are leaked, e.g. model reverse engineering succeeds. We conclude that attacks on classification should not be studied in isolation, but in relation to each other.","container-title":"2020 25th International Conference on Pattern Recognition (ICPR)","DOI":"10.1109/ICPR48806.2021.9413290","event-title":"2020 25th International Conference on Pattern Recognition (ICPR)","note":"ISSN: 1051-4651","page":"4696-4703","source":"IEEE Xplore","title":"Killing Four Birds with one Gaussian Process: The Relation between different Test-Time Attacks","title-short":"Killing Four Birds with one Gaussian Process","author":[{"family":"Grosse","given":"Kathrin"},{"family":"Smith","given":"Michael T."},{"family":"Backes","given":"Michael"}],"issued":{"date-parts":[["2021",1]]}}}],"schema":"https://github.com/citation-style-language/schema/raw/master/csl-citation.json"}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68</w:t>
            </w:r>
            <w:r>
              <w:rPr>
                <w:rFonts w:ascii="Calibri" w:eastAsia="Times New Roman" w:hAnsi="Calibri" w:cs="Calibri"/>
                <w:i/>
                <w:iCs/>
                <w:color w:val="000000"/>
              </w:rPr>
              <w:fldChar w:fldCharType="end"/>
            </w:r>
          </w:p>
        </w:tc>
        <w:tc>
          <w:tcPr>
            <w:tcW w:w="234" w:type="dxa"/>
          </w:tcPr>
          <w:p w14:paraId="0548D19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559CDFB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roofErr w:type="spellStart"/>
            <w:r>
              <w:t>Hidost</w:t>
            </w:r>
            <w:proofErr w:type="spellEnd"/>
            <w:r>
              <w:t>; Drebin; Spam; Bank; MNIST-91; MNIST-38; SVHN-91; SVHN-10</w:t>
            </w:r>
          </w:p>
        </w:tc>
        <w:tc>
          <w:tcPr>
            <w:tcW w:w="2702" w:type="dxa"/>
          </w:tcPr>
          <w:p w14:paraId="7E3EB40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Deep Neural Network; Decision Tree; Random Forest; AdaBoost</w:t>
            </w:r>
          </w:p>
        </w:tc>
        <w:tc>
          <w:tcPr>
            <w:tcW w:w="1808" w:type="dxa"/>
          </w:tcPr>
          <w:p w14:paraId="468EA21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68ECB23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5B7D660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74C0256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0A6710B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2EF84C5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0694762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59C7C27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C64188B"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Zhang</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{"citationID":"dUIgQ5V6","properties":{"formattedCitation":"\\super 69\\nosupersub{}","plainCitation":"69","noteIndex":0},"citationItems":[{"id":465,"uris":["http://zotero.org/users/local/HJepGCSn/items/IGRV7Q6J"],"itemData":{"id":465,"type":"paper-conference","abstract":"Recently, recommender systems have achieved promising performances and become one of the most widely used web applications. However, recommender systems are often trained on highly sensitive user data, thus potential data leakage from recommender systems may lead to severe privacy problems. In this paper, we make the first attempt on quantifying the privacy leakage of recommender systems through the lens of membership inference. In contrast with traditional membership inference against machine learning classifiers, our attack faces two main differences. First, our attack is on the user-level but not on the data sample-level. Second, the adversary can only observe the ordered recommended items from a recommender system instead of prediction results in the form of posterior probabilities. To address the above challenges, we propose a novel method by representing users from relevant items. Moreover, a shadow recommender is established to derive the labeled training data for training the attack model. Extensive experimental results show that our attack framework achieves a strong performance. In addition, we design a defense mechanism to effectively mitigate the membership inference threat of recommender systems.","collection-title":"CCS '21","container-title":"Proceedings of the 2021 ACM SIGSAC Conference on Computer and Communications Security","DOI":"10.1145/3460120.3484770","event-place":"New York, NY, USA","ISBN":"978-1-4503-8454-4","page":"864–879","publisher":"Association for Computing Machinery","publisher-place":"New York, NY, USA","source":"ACM Digital Library","title":"Membership Inference Attacks Against Recommender Systems","URL":"https://doi.org/10.1145/3460120.3484770","author":[{"family":"Zhang","given":"Minxing"},{"family":"Ren","given":"Zhaochun"},{"family":"Wang","given":"Zihan"},{"family":"Ren","given":"Pengjie"},{"family":"Chen","given":"Zhunmin"},{"family":"Hu","given":"Pengfei"},{"family":"Zhang","given":"Yang"}],"accessed":{"date-parts":[["2022",8,4]]},"issued":{"date-parts":[["2021",11,12]]}}}],"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69</w:t>
            </w:r>
            <w:r>
              <w:rPr>
                <w:rFonts w:ascii="Calibri" w:eastAsia="Times New Roman" w:hAnsi="Calibri" w:cs="Calibri"/>
                <w:i/>
                <w:iCs/>
                <w:color w:val="000000"/>
              </w:rPr>
              <w:fldChar w:fldCharType="end"/>
            </w:r>
          </w:p>
        </w:tc>
        <w:tc>
          <w:tcPr>
            <w:tcW w:w="234" w:type="dxa"/>
          </w:tcPr>
          <w:p w14:paraId="070E6AD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4F253B2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Amazon Digital Music; Lastfm-2k; Movielens-1m</w:t>
            </w:r>
          </w:p>
        </w:tc>
        <w:tc>
          <w:tcPr>
            <w:tcW w:w="2702" w:type="dxa"/>
          </w:tcPr>
          <w:p w14:paraId="625B35D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Item-Based Collaborative Filtering; Latent Factor Model; Neural Collaborative Filtering</w:t>
            </w:r>
          </w:p>
        </w:tc>
        <w:tc>
          <w:tcPr>
            <w:tcW w:w="1808" w:type="dxa"/>
          </w:tcPr>
          <w:p w14:paraId="602D377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Recommendation</w:t>
            </w:r>
          </w:p>
        </w:tc>
        <w:tc>
          <w:tcPr>
            <w:tcW w:w="1407" w:type="dxa"/>
          </w:tcPr>
          <w:p w14:paraId="41B4EF0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5543890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1AEBEFE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AUC</w:t>
            </w:r>
          </w:p>
        </w:tc>
        <w:tc>
          <w:tcPr>
            <w:tcW w:w="781" w:type="dxa"/>
            <w:tcBorders>
              <w:left w:val="single" w:sz="4" w:space="0" w:color="auto"/>
              <w:right w:val="single" w:sz="4" w:space="0" w:color="auto"/>
            </w:tcBorders>
            <w:vAlign w:val="center"/>
          </w:tcPr>
          <w:p w14:paraId="685FA3D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81D8C61"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609F4931"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rsidRPr="00443DC9" w14:paraId="4B18D59F" w14:textId="77777777" w:rsidTr="00530265">
        <w:tc>
          <w:tcPr>
            <w:cnfStyle w:val="001000000000" w:firstRow="0" w:lastRow="0" w:firstColumn="1" w:lastColumn="0" w:oddVBand="0" w:evenVBand="0" w:oddHBand="0" w:evenHBand="0" w:firstRowFirstColumn="0" w:firstRowLastColumn="0" w:lastRowFirstColumn="0" w:lastRowLastColumn="0"/>
            <w:tcW w:w="2329" w:type="dxa"/>
            <w:vMerge w:val="restart"/>
            <w:tcBorders>
              <w:top w:val="single" w:sz="24" w:space="0" w:color="auto"/>
            </w:tcBorders>
          </w:tcPr>
          <w:p w14:paraId="5F7CAED1" w14:textId="77777777" w:rsidR="00375D17" w:rsidRPr="00443DC9" w:rsidRDefault="00375D17" w:rsidP="00530265">
            <w:pPr>
              <w:rPr>
                <w:b w:val="0"/>
                <w:bCs w:val="0"/>
                <w:sz w:val="24"/>
                <w:szCs w:val="24"/>
              </w:rPr>
            </w:pPr>
          </w:p>
          <w:p w14:paraId="4D4B625D" w14:textId="77777777" w:rsidR="00375D17" w:rsidRPr="00443DC9" w:rsidRDefault="00375D17" w:rsidP="00530265">
            <w:pPr>
              <w:rPr>
                <w:b w:val="0"/>
                <w:bCs w:val="0"/>
                <w:sz w:val="24"/>
                <w:szCs w:val="24"/>
              </w:rPr>
            </w:pPr>
          </w:p>
          <w:p w14:paraId="60096CD7" w14:textId="77777777" w:rsidR="00375D17" w:rsidRPr="00443DC9" w:rsidRDefault="00375D17" w:rsidP="00530265">
            <w:pPr>
              <w:rPr>
                <w:sz w:val="24"/>
                <w:szCs w:val="24"/>
              </w:rPr>
            </w:pPr>
            <w:r w:rsidRPr="00443DC9">
              <w:rPr>
                <w:sz w:val="24"/>
                <w:szCs w:val="24"/>
              </w:rPr>
              <w:t>Authors (Year)</w:t>
            </w:r>
          </w:p>
        </w:tc>
        <w:tc>
          <w:tcPr>
            <w:tcW w:w="234" w:type="dxa"/>
            <w:tcBorders>
              <w:top w:val="single" w:sz="24" w:space="0" w:color="auto"/>
            </w:tcBorders>
          </w:tcPr>
          <w:p w14:paraId="64A152E3"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sz w:val="24"/>
                <w:szCs w:val="24"/>
              </w:rPr>
            </w:pPr>
          </w:p>
        </w:tc>
        <w:tc>
          <w:tcPr>
            <w:tcW w:w="8050" w:type="dxa"/>
            <w:gridSpan w:val="4"/>
            <w:tcBorders>
              <w:top w:val="single" w:sz="24" w:space="0" w:color="auto"/>
            </w:tcBorders>
          </w:tcPr>
          <w:p w14:paraId="1BF5C60E"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Setting</w:t>
            </w:r>
          </w:p>
        </w:tc>
        <w:tc>
          <w:tcPr>
            <w:tcW w:w="233" w:type="dxa"/>
            <w:tcBorders>
              <w:top w:val="single" w:sz="24" w:space="0" w:color="auto"/>
              <w:bottom w:val="nil"/>
            </w:tcBorders>
          </w:tcPr>
          <w:p w14:paraId="3EBBB6AA"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p>
        </w:tc>
        <w:tc>
          <w:tcPr>
            <w:tcW w:w="4083" w:type="dxa"/>
            <w:gridSpan w:val="4"/>
            <w:tcBorders>
              <w:top w:val="single" w:sz="24" w:space="0" w:color="auto"/>
              <w:bottom w:val="single" w:sz="12" w:space="0" w:color="auto"/>
            </w:tcBorders>
            <w:vAlign w:val="center"/>
          </w:tcPr>
          <w:p w14:paraId="425B7EB6"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Performance</w:t>
            </w:r>
          </w:p>
        </w:tc>
      </w:tr>
      <w:tr w:rsidR="00375D17" w:rsidRPr="00443DC9" w14:paraId="56147334"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tcBorders>
              <w:bottom w:val="single" w:sz="24" w:space="0" w:color="auto"/>
            </w:tcBorders>
          </w:tcPr>
          <w:p w14:paraId="12C815DF" w14:textId="77777777" w:rsidR="00375D17" w:rsidRPr="00443DC9" w:rsidRDefault="00375D17" w:rsidP="00530265">
            <w:pPr>
              <w:rPr>
                <w:b w:val="0"/>
                <w:bCs w:val="0"/>
                <w:sz w:val="24"/>
                <w:szCs w:val="24"/>
              </w:rPr>
            </w:pPr>
          </w:p>
        </w:tc>
        <w:tc>
          <w:tcPr>
            <w:tcW w:w="234" w:type="dxa"/>
            <w:tcBorders>
              <w:bottom w:val="single" w:sz="24" w:space="0" w:color="auto"/>
            </w:tcBorders>
            <w:shd w:val="clear" w:color="auto" w:fill="FFFFFF" w:themeFill="background1"/>
          </w:tcPr>
          <w:p w14:paraId="20FBCF13"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2133" w:type="dxa"/>
            <w:tcBorders>
              <w:top w:val="single" w:sz="12" w:space="0" w:color="auto"/>
              <w:bottom w:val="single" w:sz="24" w:space="0" w:color="auto"/>
            </w:tcBorders>
            <w:shd w:val="clear" w:color="auto" w:fill="FFFFFF" w:themeFill="background1"/>
            <w:vAlign w:val="bottom"/>
          </w:tcPr>
          <w:p w14:paraId="7743D52E"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Training Dataset(s)</w:t>
            </w:r>
          </w:p>
        </w:tc>
        <w:tc>
          <w:tcPr>
            <w:tcW w:w="2702" w:type="dxa"/>
            <w:tcBorders>
              <w:top w:val="single" w:sz="12" w:space="0" w:color="auto"/>
              <w:bottom w:val="single" w:sz="24" w:space="0" w:color="auto"/>
            </w:tcBorders>
            <w:shd w:val="clear" w:color="auto" w:fill="FFFFFF" w:themeFill="background1"/>
            <w:vAlign w:val="bottom"/>
          </w:tcPr>
          <w:p w14:paraId="00563848"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Target Model Architecture(s)</w:t>
            </w:r>
          </w:p>
        </w:tc>
        <w:tc>
          <w:tcPr>
            <w:tcW w:w="1808" w:type="dxa"/>
            <w:tcBorders>
              <w:top w:val="single" w:sz="12" w:space="0" w:color="auto"/>
              <w:bottom w:val="single" w:sz="24" w:space="0" w:color="auto"/>
            </w:tcBorders>
            <w:shd w:val="clear" w:color="auto" w:fill="FFFFFF" w:themeFill="background1"/>
            <w:vAlign w:val="bottom"/>
          </w:tcPr>
          <w:p w14:paraId="06B9CB4C"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 xml:space="preserve">Target Model Task </w:t>
            </w:r>
          </w:p>
        </w:tc>
        <w:tc>
          <w:tcPr>
            <w:tcW w:w="1407" w:type="dxa"/>
            <w:tcBorders>
              <w:top w:val="single" w:sz="12" w:space="0" w:color="auto"/>
              <w:bottom w:val="single" w:sz="24" w:space="0" w:color="auto"/>
            </w:tcBorders>
            <w:shd w:val="clear" w:color="auto" w:fill="FFFFFF" w:themeFill="background1"/>
            <w:vAlign w:val="bottom"/>
          </w:tcPr>
          <w:p w14:paraId="20B8CB60"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Knowledge</w:t>
            </w:r>
          </w:p>
        </w:tc>
        <w:tc>
          <w:tcPr>
            <w:tcW w:w="233" w:type="dxa"/>
            <w:tcBorders>
              <w:top w:val="nil"/>
              <w:bottom w:val="single" w:sz="24" w:space="0" w:color="auto"/>
            </w:tcBorders>
            <w:shd w:val="clear" w:color="auto" w:fill="FFFFFF" w:themeFill="background1"/>
            <w:vAlign w:val="bottom"/>
          </w:tcPr>
          <w:p w14:paraId="6C5EDC88"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1794" w:type="dxa"/>
            <w:tcBorders>
              <w:top w:val="single" w:sz="12" w:space="0" w:color="auto"/>
              <w:bottom w:val="single" w:sz="24" w:space="0" w:color="auto"/>
              <w:right w:val="single" w:sz="4" w:space="0" w:color="auto"/>
            </w:tcBorders>
            <w:shd w:val="clear" w:color="auto" w:fill="FFFFFF" w:themeFill="background1"/>
            <w:vAlign w:val="center"/>
          </w:tcPr>
          <w:p w14:paraId="0E3F46FB"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Performance Metric(s)</w:t>
            </w:r>
          </w:p>
        </w:tc>
        <w:tc>
          <w:tcPr>
            <w:tcW w:w="781" w:type="dxa"/>
            <w:tcBorders>
              <w:left w:val="single" w:sz="4" w:space="0" w:color="auto"/>
              <w:bottom w:val="single" w:sz="24" w:space="0" w:color="auto"/>
              <w:right w:val="single" w:sz="4" w:space="0" w:color="auto"/>
            </w:tcBorders>
            <w:shd w:val="clear" w:color="auto" w:fill="FFFFFF" w:themeFill="background1"/>
            <w:vAlign w:val="center"/>
          </w:tcPr>
          <w:p w14:paraId="2C92C6E7"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&gt;50%</w:t>
            </w:r>
          </w:p>
        </w:tc>
        <w:tc>
          <w:tcPr>
            <w:tcW w:w="754" w:type="dxa"/>
            <w:tcBorders>
              <w:left w:val="single" w:sz="4" w:space="0" w:color="auto"/>
              <w:bottom w:val="single" w:sz="24" w:space="0" w:color="auto"/>
              <w:right w:val="single" w:sz="4" w:space="0" w:color="auto"/>
            </w:tcBorders>
            <w:shd w:val="clear" w:color="auto" w:fill="FFFFFF" w:themeFill="background1"/>
            <w:vAlign w:val="center"/>
          </w:tcPr>
          <w:p w14:paraId="15E55CD8"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w:t>
            </w:r>
            <w:r w:rsidRPr="00443DC9">
              <w:rPr>
                <w:b/>
                <w:bCs/>
                <w:sz w:val="24"/>
                <w:szCs w:val="24"/>
              </w:rPr>
              <w:t>75%</w:t>
            </w:r>
          </w:p>
        </w:tc>
        <w:tc>
          <w:tcPr>
            <w:tcW w:w="754" w:type="dxa"/>
            <w:tcBorders>
              <w:left w:val="single" w:sz="4" w:space="0" w:color="auto"/>
              <w:bottom w:val="single" w:sz="24" w:space="0" w:color="auto"/>
            </w:tcBorders>
            <w:shd w:val="clear" w:color="auto" w:fill="FFFFFF" w:themeFill="background1"/>
            <w:vAlign w:val="center"/>
          </w:tcPr>
          <w:p w14:paraId="1B27848A"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≥90</w:t>
            </w:r>
            <w:r w:rsidRPr="00443DC9">
              <w:rPr>
                <w:b/>
                <w:bCs/>
                <w:sz w:val="24"/>
                <w:szCs w:val="24"/>
              </w:rPr>
              <w:t>%</w:t>
            </w:r>
          </w:p>
        </w:tc>
      </w:tr>
      <w:tr w:rsidR="00375D17" w14:paraId="694B3BC2"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69948042"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Li</w:t>
            </w:r>
            <w:r>
              <w:rPr>
                <w:rFonts w:ascii="Calibri" w:eastAsia="Times New Roman" w:hAnsi="Calibri" w:cs="Calibri"/>
                <w:color w:val="000000"/>
              </w:rPr>
              <w:t xml:space="preserve"> &amp; </w:t>
            </w:r>
            <w:r w:rsidRPr="002407A3">
              <w:rPr>
                <w:rFonts w:ascii="Calibri" w:eastAsia="Times New Roman" w:hAnsi="Calibri" w:cs="Calibri"/>
                <w:color w:val="000000"/>
              </w:rPr>
              <w:t>Zhang</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{"citationID":"ep8xQggJ","properties":{"formattedCitation":"\\super 70\\nosupersub{}","plainCitation":"70","noteIndex":0},"citationItems":[{"id":461,"uris":["http://zotero.org/users/local/HJepGCSn/items/BLG3X5ZA"],"itemData":{"id":461,"type":"paper-conference","abstract":"Machine learning (ML) has been widely adopted in various privacy-critical applications, e.g., face recognition and medical image analysis. However, recent research has shown that ML models are vulnerable to attacks against their training data. Membership inference is one major attack in this domain: Given a data sample and model, an adversary aims to determine whether the sample is part of the model's training set. Existing membership inference attacks leverage the confidence scores returned by the model as their inputs (score-based attacks). However, these attacks can be easily mitigated if the model only exposes the predicted label, i.e., the final model decision. In this paper, we propose decision-based membership inference attacks and demonstrate that label-only exposures are also vulnerable to membership leakage. In particular, we develop two types of decision-based attacks, namely transfer attack and boundary attack. Empirical evaluation shows that our decision-based attacks can achieve remarkable performance, and even outperform the previous score-based attacks in some cases. We further present new insights on the success of membership inference based on quantitative and qualitative analysis, i.e., member samples of a model are more distant to the model's decision boundary than non-member samples. Finally, we evaluate multiple defense mechanisms against our decision-based attacks and show that our two types of attacks can bypass most of these defenses.","collection-title":"CCS '21","container-title":"Proceedings of the 2021 ACM SIGSAC Conference on Computer and Communications Security","DOI":"10.1145/3460120.3484575","event-place":"New York, NY, USA","ISBN":"978-1-4503-8454-4","page":"880–895","publisher":"Association for Computing Machinery","publisher-place":"New York, NY, USA","source":"ACM Digital Library","title":"Membership Leakage in Label-Only Exposures","URL":"https://doi.org/10.1145/3460120.3484575","author":[{"family":"Li","given":"Zheng"},{"family":"Zhang","given":"Yang"}],"accessed":{"date-parts":[["2022",8,4]]},"issued":{"date-parts":[["2021",11,12]]}}}],"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70</w:t>
            </w:r>
            <w:r>
              <w:rPr>
                <w:rFonts w:ascii="Calibri" w:eastAsia="Times New Roman" w:hAnsi="Calibri" w:cs="Calibri"/>
                <w:color w:val="000000"/>
              </w:rPr>
              <w:fldChar w:fldCharType="end"/>
            </w:r>
          </w:p>
        </w:tc>
        <w:tc>
          <w:tcPr>
            <w:tcW w:w="234" w:type="dxa"/>
          </w:tcPr>
          <w:p w14:paraId="0109532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5DC887B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CIFAR-10; CIFAR-100; GTSRB; Face</w:t>
            </w:r>
          </w:p>
        </w:tc>
        <w:tc>
          <w:tcPr>
            <w:tcW w:w="2702" w:type="dxa"/>
          </w:tcPr>
          <w:p w14:paraId="710C45C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w:t>
            </w:r>
          </w:p>
        </w:tc>
        <w:tc>
          <w:tcPr>
            <w:tcW w:w="1808" w:type="dxa"/>
          </w:tcPr>
          <w:p w14:paraId="7EDF0DE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4E266DD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335130E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4CCE705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AUC</w:t>
            </w:r>
          </w:p>
        </w:tc>
        <w:tc>
          <w:tcPr>
            <w:tcW w:w="781" w:type="dxa"/>
            <w:tcBorders>
              <w:left w:val="single" w:sz="4" w:space="0" w:color="auto"/>
              <w:right w:val="single" w:sz="4" w:space="0" w:color="auto"/>
            </w:tcBorders>
            <w:vAlign w:val="center"/>
          </w:tcPr>
          <w:p w14:paraId="26B90364"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22C3CCE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4C977408"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34E8C82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06406E0D"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Zhao</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{"citationID":"anFyyn9J","properties":{"formattedCitation":"\\super 71\\nosupersub{}","plainCitation":"71","noteIndex":0},"citationItems":[{"id":254,"uris":["http://zotero.org/users/local/HJepGCSn/items/B7CFKGDL"],"itemData":{"id":254,"type":"paper-conference","abstract":"With an increase in low-cost machine learning APIs, advanced machine learning models may be trained on private datasets and monetized by providing them as a service. However, privacy researchers have demonstrated that these models may leak information about records in the training dataset via membership inference attacks. In this paper, we take a closer look at another inference attack reported in literature, called attribute inference, whereby an attacker tries to infer missing attributes of a partially known record used in the training dataset by accessing the machine learning model as an API. We show that even if a classification model succumbs to membership inference attacks, it is unlikely to be susceptible to attribute inference attacks. We demonstrate that this is because membership inference attacks fail to distinguish a member from a nearby non-member. We call the ability of an attacker to distinguish the two (similar) vectors as strong membership inference. We show that membership inference attacks cannot infer membership in this strong setting, and hence inferring attributes is infeasible. However, under a relaxed notion of attribute inference, called approximate attribute inference, we show that it is possible to infer attributes close to the true attributes. We verify our results on three publicly available datasets, five membership, and three attribute inference attacks reported in literature.","container-title":"2021 IEEE European Symposium on Security and Privacy (EuroS&amp;P)","DOI":"10.1109/EuroSP51992.2021.00025","event-title":"2021 IEEE European Symposium on Security and Privacy (EuroS&amp;P)","page":"232-251","source":"IEEE Xplore","title":"On the (In)Feasibility of Attribute Inference Attacks on Machine Learning Models","author":[{"family":"Zhao","given":"Benjamin Zi Hao"},{"family":"Agrawal","given":"Aviral"},{"family":"Coburn","given":"Catisha"},{"family":"Asghar","given":"Hassan Jameel"},{"family":"Bhaskar","given":"Raghav"},{"family":"Kaafar","given":"Mohamed Ali"},{"family":"Webb","given":"Darren"},{"family":"Dickinson","given":"Peter"}],"issued":{"date-parts":[["2021",9]]}}}],"schema":"https://github.com/citation-style-language/schema/raw/master/csl-citation.json"}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71</w:t>
            </w:r>
            <w:r>
              <w:rPr>
                <w:rFonts w:ascii="Calibri" w:eastAsia="Times New Roman" w:hAnsi="Calibri" w:cs="Calibri"/>
                <w:i/>
                <w:iCs/>
                <w:color w:val="000000"/>
              </w:rPr>
              <w:fldChar w:fldCharType="end"/>
            </w:r>
          </w:p>
        </w:tc>
        <w:tc>
          <w:tcPr>
            <w:tcW w:w="234" w:type="dxa"/>
          </w:tcPr>
          <w:p w14:paraId="70CAA3C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28F9752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Location; Purchase-(2/10/20/50/100); CIFAR-(20/100)</w:t>
            </w:r>
          </w:p>
        </w:tc>
        <w:tc>
          <w:tcPr>
            <w:tcW w:w="2702" w:type="dxa"/>
          </w:tcPr>
          <w:p w14:paraId="050F9EF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 Logistic Regression; Support Vector Machine; Random Forest</w:t>
            </w:r>
          </w:p>
        </w:tc>
        <w:tc>
          <w:tcPr>
            <w:tcW w:w="1808" w:type="dxa"/>
          </w:tcPr>
          <w:p w14:paraId="4351A4F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2E31BB7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tc>
        <w:tc>
          <w:tcPr>
            <w:tcW w:w="233" w:type="dxa"/>
          </w:tcPr>
          <w:p w14:paraId="44F2B9F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2ED5603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AUC</w:t>
            </w:r>
          </w:p>
        </w:tc>
        <w:tc>
          <w:tcPr>
            <w:tcW w:w="781" w:type="dxa"/>
            <w:tcBorders>
              <w:left w:val="single" w:sz="4" w:space="0" w:color="auto"/>
              <w:right w:val="single" w:sz="4" w:space="0" w:color="auto"/>
            </w:tcBorders>
            <w:vAlign w:val="center"/>
          </w:tcPr>
          <w:p w14:paraId="4AD836B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63B8723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36033A85"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7D553A41"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6154213D"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Rezaei</w:t>
            </w:r>
            <w:r>
              <w:rPr>
                <w:rFonts w:ascii="Calibri" w:eastAsia="Times New Roman" w:hAnsi="Calibri" w:cs="Calibri"/>
                <w:color w:val="000000"/>
              </w:rPr>
              <w:t xml:space="preserve"> &amp; </w:t>
            </w:r>
            <w:r w:rsidRPr="002407A3">
              <w:rPr>
                <w:rFonts w:ascii="Calibri" w:eastAsia="Times New Roman" w:hAnsi="Calibri" w:cs="Calibri"/>
                <w:color w:val="000000"/>
              </w:rPr>
              <w:t>Liu</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{"citationID":"X7klD5mW","properties":{"formattedCitation":"\\super 72\\nosupersub{}","plainCitation":"72","noteIndex":0},"citationItems":[{"id":357,"uris":["http://zotero.org/users/local/HJepGCSn/items/M84Q8KTZ"],"itemData":{"id":357,"type":"article-journal","container-title":"International Conference on Computer Vision and Pattern Recognition (CVPR)","DOI":"10.1109/CVPR46437.2021.00780","language":"en","source":"par.nsf.gov","title":"On the Difficulty of Membership Inference Attacks","URL":"https://par.nsf.gov/biblio/10313516-difficulty-membership-inference-attacks","author":[{"family":"Rezaei","given":"Shahbaz"},{"family":"Liu","given":"Xin"}],"accessed":{"date-parts":[["2022",8,4]]},"issued":{"date-parts":[["2021",6]]}}}],"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72</w:t>
            </w:r>
            <w:r>
              <w:rPr>
                <w:rFonts w:ascii="Calibri" w:eastAsia="Times New Roman" w:hAnsi="Calibri" w:cs="Calibri"/>
                <w:color w:val="000000"/>
              </w:rPr>
              <w:fldChar w:fldCharType="end"/>
            </w:r>
          </w:p>
        </w:tc>
        <w:tc>
          <w:tcPr>
            <w:tcW w:w="234" w:type="dxa"/>
          </w:tcPr>
          <w:p w14:paraId="738C188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60958DB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MNIST; CIFAR-(10/100); ImageNet</w:t>
            </w:r>
          </w:p>
        </w:tc>
        <w:tc>
          <w:tcPr>
            <w:tcW w:w="2702" w:type="dxa"/>
          </w:tcPr>
          <w:p w14:paraId="646A98C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w:t>
            </w:r>
          </w:p>
        </w:tc>
        <w:tc>
          <w:tcPr>
            <w:tcW w:w="1808" w:type="dxa"/>
          </w:tcPr>
          <w:p w14:paraId="6874927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B24B11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tc>
        <w:tc>
          <w:tcPr>
            <w:tcW w:w="233" w:type="dxa"/>
          </w:tcPr>
          <w:p w14:paraId="29AA4D2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055E481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Precision; Recall; F1-Score</w:t>
            </w:r>
          </w:p>
        </w:tc>
        <w:tc>
          <w:tcPr>
            <w:tcW w:w="781" w:type="dxa"/>
            <w:tcBorders>
              <w:left w:val="single" w:sz="4" w:space="0" w:color="auto"/>
              <w:right w:val="single" w:sz="4" w:space="0" w:color="auto"/>
            </w:tcBorders>
            <w:vAlign w:val="center"/>
          </w:tcPr>
          <w:p w14:paraId="0D00E81D"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76D54BC4"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6FC896FC"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2419A81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49A8C16E"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Chen</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{"citationID":"NW1BbSXg","properties":{"formattedCitation":"\\super 73\\nosupersub{}","plainCitation":"73","noteIndex":0},"citationItems":[{"id":379,"uris":["http://zotero.org/users/local/HJepGCSn/items/C92DYHLB"],"itemData":{"id":379,"type":"article-journal","abstract":"Research showed that deep learning models are vulnerable to membership inference attacks, which aim to determine if an example is in the training set of the model. We propose a new framework to defend against this sort of attack. Our key insight is that if we retrain the original classifier with a new dataset that is independent of the original training set while their elements are sampled from the same distribution, the retrained classifier will leak no information that cannot be inferred from the distribution about the original training set. Our framework consists of three phases. First, we transferred the original classifier to a Joint Energy-based Model (JEM) to exploit the model’s implicit generative power. Then, we sampled from the JEM to create a new dataset. Finally, we used the new dataset to retrain or fine-tune the original classifier. We empirically studied different transfer learning schemes for the JEM and fine-tuning/retraining strategies for the classifier against shadow-model attacks. Our evaluation shows that our framework can suppress the attacker’s membership advantage to a negligible level while keeping the classifier’s accuracy acceptable. We compared it with other state-of-the-art defenses considering adaptive attackers and showed our defense is effective even under the worst-case scenario. Besides, we also found that combining other defenses with our framework often achieves better robustness. Our code will be made available at https://github.com/ChenJiyu/meminf-defense.git.","container-title":"Machine Learning","DOI":"10.1007/s10994-021-05951-6","ISSN":"1573-0565","issue":"4","journalAbbreviation":"Mach Learn","language":"en","page":"651-674","source":"Springer Link","title":"Protect privacy of deep classification networks by exploiting their generative power","volume":"110","author":[{"family":"Chen","given":"Jiyu"},{"family":"Guo","given":"Yiwen"},{"family":"Zheng","given":"Qianjun"},{"family":"Chen","given":"Hao"}],"issued":{"date-parts":[["2021",4,1]]}},"label":"page"}],"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73</w:t>
            </w:r>
            <w:r>
              <w:rPr>
                <w:rFonts w:ascii="Calibri" w:eastAsia="Times New Roman" w:hAnsi="Calibri" w:cs="Calibri"/>
                <w:i/>
                <w:iCs/>
                <w:color w:val="000000"/>
              </w:rPr>
              <w:fldChar w:fldCharType="end"/>
            </w:r>
          </w:p>
        </w:tc>
        <w:tc>
          <w:tcPr>
            <w:tcW w:w="234" w:type="dxa"/>
          </w:tcPr>
          <w:p w14:paraId="6A116F8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39EF79D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CIFAR-10; SVHN</w:t>
            </w:r>
          </w:p>
        </w:tc>
        <w:tc>
          <w:tcPr>
            <w:tcW w:w="2702" w:type="dxa"/>
          </w:tcPr>
          <w:p w14:paraId="3321D5A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Deep Neural Network</w:t>
            </w:r>
          </w:p>
        </w:tc>
        <w:tc>
          <w:tcPr>
            <w:tcW w:w="1808" w:type="dxa"/>
          </w:tcPr>
          <w:p w14:paraId="340DD8A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123E7ED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Gray-Box</w:t>
            </w:r>
          </w:p>
        </w:tc>
        <w:tc>
          <w:tcPr>
            <w:tcW w:w="233" w:type="dxa"/>
          </w:tcPr>
          <w:p w14:paraId="029448E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0DBDC77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 Precision</w:t>
            </w:r>
          </w:p>
        </w:tc>
        <w:tc>
          <w:tcPr>
            <w:tcW w:w="781" w:type="dxa"/>
            <w:tcBorders>
              <w:left w:val="single" w:sz="4" w:space="0" w:color="auto"/>
              <w:right w:val="single" w:sz="4" w:space="0" w:color="auto"/>
            </w:tcBorders>
            <w:vAlign w:val="center"/>
          </w:tcPr>
          <w:p w14:paraId="449A229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682E873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5C076E2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12C86F02"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07520646"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He</w:t>
            </w:r>
            <w:r>
              <w:rPr>
                <w:rFonts w:ascii="Calibri" w:eastAsia="Times New Roman" w:hAnsi="Calibri" w:cs="Calibri"/>
                <w:color w:val="000000"/>
              </w:rPr>
              <w:t xml:space="preserve"> &amp; </w:t>
            </w:r>
            <w:r w:rsidRPr="002407A3">
              <w:rPr>
                <w:rFonts w:ascii="Calibri" w:eastAsia="Times New Roman" w:hAnsi="Calibri" w:cs="Calibri"/>
                <w:color w:val="000000"/>
              </w:rPr>
              <w:t>Zhang</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{"citationID":"08N5ElN6","properties":{"formattedCitation":"\\super 74\\nosupersub{}","plainCitation":"74","noteIndex":0},"citationItems":[{"id":428,"uris":["http://zotero.org/users/local/HJepGCSn/items/U7PJXZKF"],"itemData":{"id":428,"type":"paper-conference","abstract":"Data is the key factor to drive the development of machine learning (ML) during the past decade. However, high-quality data, in particular labeled data, is often hard and expensive to collect. To leverage large-scale unlabeled data, self-supervised learning, represented by contrastive learning, is introduced. The objective of contrastive learning is to map different views derived from a training sample (e.g., through data augmentation) closer in their representation space, while different views derived from different samples more distant. In this way, a contrastive model learns to generate informative representations for data samples, which are then used to perform downstream ML tasks. Recent research has shown that machine learning models are vulnerable to various privacy attacks. However, most of the current efforts concentrate on models trained with supervised learning. Meanwhile, data samples' informative representations learned with contrastive learning may cause severe privacy risks as well. In this paper, we perform the first privacy analysis of contrastive learning through the lens of membership inference and attribute inference. Our experimental results show that contrastive models trained on image datasets are less vulnerable to membership inference attacks but more vulnerable to attribute inference attacks compared to supervised models. The former is due to the fact that contrastive models are less prone to overfitting, while the latter is caused by contrastive models' capability of representing data samples expressively. To remedy this situation, we propose the first privacy-preserving contrastive learning mechanism, Talos, relying on adversarial training. Empirical results show that Talos can successfully mitigate attribute inference risks for contrastive models while maintaining their membership privacy and model utility.","collection-title":"CCS '21","container-title":"Proceedings of the 2021 ACM SIGSAC Conference on Computer and Communications Security","DOI":"10.1145/3460120.3484571","event-place":"New York, NY, USA","ISBN":"978-1-4503-8454-4","page":"845–863","publisher":"Association for Computing Machinery","publisher-place":"New York, NY, USA","source":"ACM Digital Library","title":"Quantifying and Mitigating Privacy Risks of Contrastive Learning","URL":"https://doi.org/10.1145/3460120.3484571","author":[{"family":"He","given":"Xinlei"},{"family":"Zhang","given":"Yang"}],"accessed":{"date-parts":[["2022",8,4]]},"issued":{"date-parts":[["2021",11,12]]}}}],"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74</w:t>
            </w:r>
            <w:r>
              <w:rPr>
                <w:rFonts w:ascii="Calibri" w:eastAsia="Times New Roman" w:hAnsi="Calibri" w:cs="Calibri"/>
                <w:color w:val="000000"/>
              </w:rPr>
              <w:fldChar w:fldCharType="end"/>
            </w:r>
          </w:p>
        </w:tc>
        <w:tc>
          <w:tcPr>
            <w:tcW w:w="234" w:type="dxa"/>
          </w:tcPr>
          <w:p w14:paraId="70C75A5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2AE163D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CIFAR-(10/100); STL10; </w:t>
            </w:r>
            <w:proofErr w:type="spellStart"/>
            <w:r>
              <w:t>CelebA</w:t>
            </w:r>
            <w:proofErr w:type="spellEnd"/>
            <w:r>
              <w:t xml:space="preserve">; </w:t>
            </w:r>
            <w:proofErr w:type="spellStart"/>
            <w:r>
              <w:t>UTKFace</w:t>
            </w:r>
            <w:proofErr w:type="spellEnd"/>
            <w:r>
              <w:t>; Places365</w:t>
            </w:r>
          </w:p>
        </w:tc>
        <w:tc>
          <w:tcPr>
            <w:tcW w:w="2702" w:type="dxa"/>
          </w:tcPr>
          <w:p w14:paraId="23C01DC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w:t>
            </w:r>
          </w:p>
        </w:tc>
        <w:tc>
          <w:tcPr>
            <w:tcW w:w="1808" w:type="dxa"/>
          </w:tcPr>
          <w:p w14:paraId="1C4319A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53B3A7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5C3F90B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0D9EDAD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p w14:paraId="223E9D09" w14:textId="77777777" w:rsidR="00375D17" w:rsidRPr="00CF4626" w:rsidRDefault="00375D17" w:rsidP="00530265">
            <w:pPr>
              <w:cnfStyle w:val="000000000000" w:firstRow="0" w:lastRow="0" w:firstColumn="0" w:lastColumn="0" w:oddVBand="0" w:evenVBand="0" w:oddHBand="0" w:evenHBand="0" w:firstRowFirstColumn="0" w:firstRowLastColumn="0" w:lastRowFirstColumn="0" w:lastRowLastColumn="0"/>
            </w:pPr>
          </w:p>
        </w:tc>
        <w:tc>
          <w:tcPr>
            <w:tcW w:w="781" w:type="dxa"/>
            <w:tcBorders>
              <w:left w:val="single" w:sz="4" w:space="0" w:color="auto"/>
              <w:right w:val="single" w:sz="4" w:space="0" w:color="auto"/>
            </w:tcBorders>
            <w:vAlign w:val="center"/>
          </w:tcPr>
          <w:p w14:paraId="571B32D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9795FE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5060206A"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3128006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2E5753CE"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Chang</w:t>
            </w:r>
            <w:r>
              <w:rPr>
                <w:rFonts w:ascii="Calibri" w:eastAsia="Times New Roman" w:hAnsi="Calibri" w:cs="Calibri"/>
                <w:color w:val="000000"/>
              </w:rPr>
              <w:t xml:space="preserve"> &amp; </w:t>
            </w:r>
            <w:r w:rsidRPr="002407A3">
              <w:rPr>
                <w:rFonts w:ascii="Calibri" w:eastAsia="Times New Roman" w:hAnsi="Calibri" w:cs="Calibri"/>
                <w:color w:val="000000"/>
              </w:rPr>
              <w:t>Shokri</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{"citationID":"BQGc6ubS","properties":{"formattedCitation":"\\super 75\\nosupersub{}","plainCitation":"75","noteIndex":0},"citationItems":[{"id":296,"uris":["http://zotero.org/users/local/HJepGCSn/items/7IJST4ED"],"itemData":{"id":296,"type":"paper-conference","abstract":"Algorithmic fairness and privacy are essential pillars of trustworthy machine learning. Fair machine learning aims at minimizing discrimination against protected groups by, for example, imposing a constraint on models to equalize their behavior across different groups. This can subsequently change the influence of training data points on the fair model, in a disproportionate way. We study how this can change the information leakage of the model about its training data. We analyze the privacy risks of group fairness (e.g., equalized odds) through the lens of membership inference attacks: inferring whether a data point is used for training a model. We show that fairness comes at the cost of privacy, and this cost is not distributed equally: the information leakage of fair models increases significantly on the unprivileged subgroups, which are the ones for whom we need fair learning. We show that the more biased the training data is, the higher the privacy cost of achieving fairness for the unprivileged subgroups will be. We provide comprehensive empirical analysis for general machine learning algorithms.","container-title":"2021 IEEE European Symposium on Security and Privacy (EuroS&amp;P)","DOI":"10.1109/EuroSP51992.2021.00028","event-title":"2021 IEEE European Symposium on Security and Privacy (EuroS&amp;P)","page":"292-303","source":"IEEE Xplore","title":"On the Privacy Risks of Algorithmic Fairness","author":[{"family":"Chang","given":"Hongyan"},{"family":"Shokri","given":"Reza"}],"issued":{"date-parts":[["2021",9]]}}}],"schema":"https://github.com/citation-style-language/schema/raw/master/csl-citation.json"}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75</w:t>
            </w:r>
            <w:r>
              <w:rPr>
                <w:rFonts w:ascii="Calibri" w:eastAsia="Times New Roman" w:hAnsi="Calibri" w:cs="Calibri"/>
                <w:color w:val="000000"/>
              </w:rPr>
              <w:fldChar w:fldCharType="end"/>
            </w:r>
          </w:p>
        </w:tc>
        <w:tc>
          <w:tcPr>
            <w:tcW w:w="234" w:type="dxa"/>
          </w:tcPr>
          <w:p w14:paraId="6736C28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3AD193D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Law School; Bank Marketing; COMPAS; Synthetic</w:t>
            </w:r>
          </w:p>
        </w:tc>
        <w:tc>
          <w:tcPr>
            <w:tcW w:w="2702" w:type="dxa"/>
          </w:tcPr>
          <w:p w14:paraId="1520FD3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Decision Tree; Neural Network</w:t>
            </w:r>
          </w:p>
        </w:tc>
        <w:tc>
          <w:tcPr>
            <w:tcW w:w="1808" w:type="dxa"/>
          </w:tcPr>
          <w:p w14:paraId="2D9FE31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69D8436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289E699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6044740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3D252683"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54338DE"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0EE98F3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6CC4E55A"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66A45DEF"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Zheng</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{"citationID":"hMS9nndk","properties":{"formattedCitation":"\\super 76\\nosupersub{}","plainCitation":"76","noteIndex":0},"citationItems":[{"id":109,"uris":["http://zotero.org/users/local/HJepGCSn/items/XAG4KZWJ"],"itemData":{"id":109,"type":"article-journal","abstract":"Recently, membership inference attacks (MIAs) against machine learning models have been proposed. Using MIAs, adversaries can inference whether a data record is in the training set of the target model. Defense methods which use differential privacy mechanisms or adversarial training cannot handle the trade-off between privacy and utility well. Other methods based on knowledge transfer to improve model utility need public unlabeled data in the same distribution as private data, and this requirement may not be satisfied in some scenarios. To handle the trade-off between privacy and utility better, we propose two algorithms of deep learning, i.e., complementary knowledge distillation (CKD) and pseudo complementary knowledge distillation (PCKD). In CKD, the transfer data of knowledge distillation all come from the private training set, but their soft targets are generated from the teacher model which is trained using their complementary set. With similar idea, we propose PCKD which reduces the training set of each teacher model and uses model averaging to generate soft targets of transfer data. Because smaller training set leads to less utility, PCKD utilizes pre-training to improve the utility of teacher models. Experimental results on widely used datasets show that CKD and PCKD can both averagely decrease attack accuracy by nearly 25% with negligible utility loss. The training time of PCKD is nearly 40% lower than that of CKD. Compared with existing defense methods such as DMP, adversarial regularization, dropout, and DPSGD, CKD and PCKD have great advantages on handling the trade-off between privacy and utility. (c) 2021 Elsevier B.V. All rights reserved.","container-title":"Neurocomputing","DOI":"10.1016/j.neucom.2021.04.082","ISSN":"0925-2312","journalAbbreviation":"Neurocomputing","language":"English","note":"publisher-place: Amsterdam\npublisher: Elsevier\nWOS:000663092000010","page":"114-126","source":"Web of Science Nextgen","title":"Resisting membership inference attacks through knowledge distillation","volume":"452","author":[{"family":"Zheng","given":"Junxiang"},{"family":"Cao","given":"Yongzhi"},{"family":"Wang","given":"Hanpin"}],"issued":{"date-parts":[["2021",9,10]]}}}],"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76</w:t>
            </w:r>
            <w:r>
              <w:rPr>
                <w:rFonts w:ascii="Calibri" w:eastAsia="Times New Roman" w:hAnsi="Calibri" w:cs="Calibri"/>
                <w:i/>
                <w:iCs/>
                <w:color w:val="000000"/>
              </w:rPr>
              <w:fldChar w:fldCharType="end"/>
            </w:r>
          </w:p>
        </w:tc>
        <w:tc>
          <w:tcPr>
            <w:tcW w:w="234" w:type="dxa"/>
          </w:tcPr>
          <w:p w14:paraId="4AB496F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0D0FF58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Purchase-100</w:t>
            </w:r>
          </w:p>
        </w:tc>
        <w:tc>
          <w:tcPr>
            <w:tcW w:w="2702" w:type="dxa"/>
          </w:tcPr>
          <w:p w14:paraId="384AB1D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2495DD6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245C614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070CFA5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17EBFC9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5346472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Precision; Recall</w:t>
            </w:r>
          </w:p>
        </w:tc>
        <w:tc>
          <w:tcPr>
            <w:tcW w:w="781" w:type="dxa"/>
            <w:tcBorders>
              <w:left w:val="single" w:sz="4" w:space="0" w:color="auto"/>
              <w:right w:val="single" w:sz="4" w:space="0" w:color="auto"/>
            </w:tcBorders>
            <w:vAlign w:val="center"/>
          </w:tcPr>
          <w:p w14:paraId="4A23BD1E"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81AF29A"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1CD9DB7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0E11EBFB"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89FA355"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Fontana</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{"citationID":"CYRBJz13","properties":{"formattedCitation":"\\super 77\\nosupersub{}","plainCitation":"77","noteIndex":0},"citationItems":[{"id":355,"uris":["http://zotero.org/users/local/HJepGCSn/items/CV3BF4P2"],"itemData":{"id":355,"type":"paper-conference","abstract":"Federated Learning has witnessed an increasing popularity in the past few years for its ability to train Machine Learning models in critical contexts, using private data without moving them. Most of the approaches in the literature are focused on mobile environments, where mobile devices contain the data of single users, and typically deal with images or text data. In this paper, we define HOLDA, a novel federated learning approach tailored for training machine learning models on data distributed over federated organizations hierarchically organized. Our method focuses on the generalization capabilities of the neural network models, providing a new mechanism for selecting their best weights. In addition, it is tailored for tabular data. We empirically test the performance of our approach on two different tabular datasets, showing excellent results in terms of performance and generalization capabilities. Then, we also tackle the problem of assessing the privacy risk of users represented in the training data. In particular, we empirically show, by attacking the HOLDA models with the Membership Inference Attack, that the privacy of the users in the training data may have high risk.","container-title":"2021 18th International Conference on Privacy, Security and Trust (PST)","DOI":"10.1109/PST52912.2021.9647753","event-title":"2021 18th International Conference on Privacy, Security and Trust (PST)","page":"1-10","source":"IEEE Xplore","title":"A new approach for cross-silo federated learning and its privacy risks","author":[{"family":"Fontana","given":"Michele"},{"family":"Naretto","given":"Francesca"},{"family":"Monreale","given":"Anna"}],"issued":{"date-parts":[["2021",12]]}}}],"schema":"https://github.com/citation-style-language/schema/raw/master/csl-citation.json"}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77</w:t>
            </w:r>
            <w:r>
              <w:rPr>
                <w:rFonts w:ascii="Calibri" w:eastAsia="Times New Roman" w:hAnsi="Calibri" w:cs="Calibri"/>
                <w:i/>
                <w:iCs/>
                <w:color w:val="000000"/>
              </w:rPr>
              <w:fldChar w:fldCharType="end"/>
            </w:r>
          </w:p>
        </w:tc>
        <w:tc>
          <w:tcPr>
            <w:tcW w:w="234" w:type="dxa"/>
          </w:tcPr>
          <w:p w14:paraId="7F49D49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4E6E519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Texas-100; Mobility</w:t>
            </w:r>
          </w:p>
        </w:tc>
        <w:tc>
          <w:tcPr>
            <w:tcW w:w="2702" w:type="dxa"/>
          </w:tcPr>
          <w:p w14:paraId="793DF86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5970929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4EB483C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7E30F3E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37092FF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Precision; Recall</w:t>
            </w:r>
          </w:p>
        </w:tc>
        <w:tc>
          <w:tcPr>
            <w:tcW w:w="781" w:type="dxa"/>
            <w:tcBorders>
              <w:left w:val="single" w:sz="4" w:space="0" w:color="auto"/>
              <w:right w:val="single" w:sz="4" w:space="0" w:color="auto"/>
            </w:tcBorders>
            <w:vAlign w:val="center"/>
          </w:tcPr>
          <w:p w14:paraId="768120B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2D1097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3864CCC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0F5429BD"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6096BA4C"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Kuppa</w:t>
            </w:r>
            <w:r>
              <w:rPr>
                <w:rFonts w:ascii="Calibri" w:eastAsia="Times New Roman" w:hAnsi="Calibri" w:cs="Calibri"/>
                <w:color w:val="000000"/>
              </w:rPr>
              <w:t xml:space="preserve"> &amp; </w:t>
            </w:r>
            <w:r w:rsidRPr="00F6008C">
              <w:rPr>
                <w:rFonts w:ascii="Calibri" w:eastAsia="Times New Roman" w:hAnsi="Calibri" w:cs="Calibri"/>
                <w:color w:val="000000"/>
              </w:rPr>
              <w:t xml:space="preserve">Le-Khac </w:t>
            </w:r>
            <w:r w:rsidRPr="00433D95">
              <w:t>(202</w:t>
            </w:r>
            <w:r>
              <w:t>1</w:t>
            </w:r>
            <w:r w:rsidRPr="00433D95">
              <w:t>)</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{"citationID":"ehHrR2pv","properties":{"formattedCitation":"\\super 78\\nosupersub{}","plainCitation":"78","noteIndex":0},"citationItems":[{"id":493,"uris":["http://zotero.org/users/local/HJepGCSn/items/M29A5DYB"],"itemData":{"id":493,"type":"article-journal","abstract":"Machine Learning methods are playing a vital role in combating ever-evolving threats in the cybersecurity domain. Explanation methods that shed light on the decision process of black-box classifiers are one of the biggest drivers in the successful adoption of these models. Explaining predictions that address &amp;#x2018;Why?/Why Not?&amp;#x2019; questions help users/stakeholders/analysts understand and accept the predicted outputs with confidence and build trust. Counterfactual explanations are gaining popularity as an alternative method to help users to not only understand the decisions of black-box models (why?) but also to provide a mechanism to highlight mutually exclusive data instances that would change the outcomes (why not?). Recent Explainable Artificial Intelligence literature has focused on three main areas: (a) creating and improving explainability methods that help users better understand how the internal of ML models work as well as their outputs; (b) attacks on interpreters with a white-box setting; (c) defining the relevant properties, metrics of explanations generated by models. Nevertheless, there is no thorough study of how the model explanations can introduce new attack surfaces to the underlying systems. A motivated adversary can leverage the information provided by explanations to launch membership inference, and model extraction attacks to compromise the overall privacy of the system. Similarly, explanations can also facilitate powerful evasion attacks such as poisoning and back door attacks. In this paper, we cover this gap by tackling various cybersecurity properties and threat models related to counterfactual explanations. We propose a new black-box attack that leverages &lt;italic&gt;Explainable Artificial Intelligence&lt;/italic&gt; (XAI) methods to compromise the confidentiality and privacy properties of underlying classifiers. We validate our approach with datasets and models used in the cyber security domain to demonstrate that our method achieves the attacker&amp;#x2019;s goal under threat models which reflect the real-world settings.","container-title":"IEEE Transactions on Information Forensics and Security","DOI":"10.1109/TIFS.2021.3117075","ISSN":"1556-6013","journalAbbreviation":"Trans. Info. For. Sec.","page":"4924–4938","source":"2021","title":"Adversarial XAI Methods in Cybersecurity","volume":"16","author":[{"family":"Kuppa","given":"Aditya"},{"family":"Le-Khac","given":"Nhien-An"}],"issued":{"date-parts":[["2021",1,1]]}}}],"schema":"https://github.com/citation-style-language/schema/raw/master/csl-citation.json"}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78</w:t>
            </w:r>
            <w:r>
              <w:rPr>
                <w:rFonts w:ascii="Calibri" w:eastAsia="Times New Roman" w:hAnsi="Calibri" w:cs="Calibri"/>
                <w:color w:val="000000"/>
              </w:rPr>
              <w:fldChar w:fldCharType="end"/>
            </w:r>
          </w:p>
        </w:tc>
        <w:tc>
          <w:tcPr>
            <w:tcW w:w="234" w:type="dxa"/>
          </w:tcPr>
          <w:p w14:paraId="1175E5B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72F9FA0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Leaked Password</w:t>
            </w:r>
          </w:p>
        </w:tc>
        <w:tc>
          <w:tcPr>
            <w:tcW w:w="2702" w:type="dxa"/>
          </w:tcPr>
          <w:p w14:paraId="7AFA2EB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 Multilayer Perceptron</w:t>
            </w:r>
          </w:p>
        </w:tc>
        <w:tc>
          <w:tcPr>
            <w:tcW w:w="1808" w:type="dxa"/>
          </w:tcPr>
          <w:p w14:paraId="6ADE2D3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68798CF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1A22C96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4395928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5C22B5D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3AA68B1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2232BB9D"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42122FF4"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2AD1F7E0"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Truex</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{"citationID":"a7chc6796i","properties":{"formattedCitation":"\\super 2\\nosupersub{}","plainCitation":"2","noteIndex":0},"citationItems":[{"id":138,"uris":["http://zotero.org/users/local/HJepGCSn/items/G6MVZYH5"],"itemData":{"id":138,"type":"article-journal","abstract":"Membership inference attacks seek to infer membership of individual training instances of a model to which an adversary has black-box access through a machine learning-as-a-service API. In providing an in-depth characterization of membership privacy risks against machine learning models, this paper presents a comprehensive study towards demystifying membership inference attacks from two complimentary perspectives. First, we provide a generalized formulation of the development of a black-box membership inference attack model. Second, we characterize the importance of model choice on model vulnerability through a systematic evaluation of a variety of machine learning models and model combinations using multiple datasets. Through formal analysis and empirical evidence from extensive experimentation, we characterize under what conditions a model may be vulnerable to such black-box membership inference attacks. We show that membership inference vulnerability is data-driven and corresponding attack models are largely transferable. Though different model types display different vulnerabilities to membership inference, so do different datasets. Our empirical results additionally show that (1) using the type of target model under attack within the attack model may not increase attack effectiveness and (2) collaborative learning exposes vulnerabilities to membership inference risks when the adversary is a participant. We also discuss countermeasure and mitigation strategies.","container-title":"IEEE Transactions on Services Computing","DOI":"10.1109/TSC.2019.2897554","ISSN":"1939-1374","issue":"6","note":"event-title: IEEE Transactions on Services Computing","page":"2073-2089","source":"IEEE Xplore","title":"Demystifying Membership Inference Attacks in Machine Learning as a Service","volume":"14","author":[{"family":"Truex","given":"Stacey"},{"family":"Liu","given":"Ling"},{"family":"Gursoy","given":"Mehmet Emre"},{"family":"Yu","given":"Lei"},{"family":"Wei","given":"Wenqi"}],"issued":{"date-parts":[["2021",11]]}}}],"schema":"https://github.com/citation-style-language/schema/raw/master/csl-citation.json"} </w:instrText>
            </w:r>
            <w:r>
              <w:rPr>
                <w:rFonts w:ascii="Calibri" w:eastAsia="Times New Roman" w:hAnsi="Calibri" w:cs="Calibri"/>
                <w:i/>
                <w:iCs/>
                <w:color w:val="000000"/>
              </w:rPr>
              <w:fldChar w:fldCharType="separate"/>
            </w:r>
            <w:r w:rsidRPr="0013485C">
              <w:rPr>
                <w:rFonts w:ascii="Calibri" w:hAnsi="Calibri" w:cs="Calibri"/>
                <w:szCs w:val="24"/>
                <w:vertAlign w:val="superscript"/>
              </w:rPr>
              <w:t>2</w:t>
            </w:r>
            <w:r>
              <w:rPr>
                <w:rFonts w:ascii="Calibri" w:eastAsia="Times New Roman" w:hAnsi="Calibri" w:cs="Calibri"/>
                <w:i/>
                <w:iCs/>
                <w:color w:val="000000"/>
              </w:rPr>
              <w:fldChar w:fldCharType="end"/>
            </w:r>
          </w:p>
        </w:tc>
        <w:tc>
          <w:tcPr>
            <w:tcW w:w="234" w:type="dxa"/>
          </w:tcPr>
          <w:p w14:paraId="541F196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481E53C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Texas-100; Purchase-(10/20/50/100); Adult</w:t>
            </w:r>
          </w:p>
        </w:tc>
        <w:tc>
          <w:tcPr>
            <w:tcW w:w="2702" w:type="dxa"/>
          </w:tcPr>
          <w:p w14:paraId="4E806DC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Decision Tree; k-Nearest Neighbour; Logistic Regression; Naïve </w:t>
            </w:r>
            <w:proofErr w:type="gramStart"/>
            <w:r>
              <w:t>Bayes;</w:t>
            </w:r>
            <w:proofErr w:type="gramEnd"/>
          </w:p>
          <w:p w14:paraId="2FFF600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7312C68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325608E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29A1194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2453A6F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 Precision</w:t>
            </w:r>
          </w:p>
        </w:tc>
        <w:tc>
          <w:tcPr>
            <w:tcW w:w="781" w:type="dxa"/>
            <w:tcBorders>
              <w:left w:val="single" w:sz="4" w:space="0" w:color="auto"/>
              <w:right w:val="single" w:sz="4" w:space="0" w:color="auto"/>
            </w:tcBorders>
            <w:vAlign w:val="center"/>
          </w:tcPr>
          <w:p w14:paraId="38381F7A"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C1C6070"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47AC8FB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3A26F5B2"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4EC680A0"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Chen</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{"citationID":"Xhi8ZzZI","properties":{"formattedCitation":"\\super 79\\nosupersub{}","plainCitation":"79","noteIndex":0},"citationItems":[{"id":110,"uris":["http://zotero.org/users/local/HJepGCSn/items/L58FXYZ5"],"itemData":{"id":110,"type":"article-journal","abstract":"Machine learning is powerful to model massive genomic data while genome privacy is a growing concern. Studies have shown that not only the raw data but also the trained model can potentially infringe genome privacy. An example is the membership inference attack (MIA), by which the adversary can determine whether a specific record was included in the training dataset of the target model. Differential privacy (DP) has been used to defend against MIA with rigorous privacy guarantee by perturbing model weights. In this paper, we investigate the vulnerability of machine learning against MIA on genomic data, and evaluate the effectiveness of using DP as a defense mechanism. We consider two widely-used machine learning models, namely Lasso and convolutional neural network (CNN), as the target models. We study the trade-off between the defense power against MIA and the prediction accuracy of the target model under various privacy settings of DP. Our results show that the relationship between the privacy budget and target model accuracy can be modeled as a log-like curve, thus a smaller privacy budget provides stronger privacy guarantee with the cost of losing more model accuracy. We also investigate the effect of model sparsity on model vulnerability against MIA. Our results demonstrate that in addition to prevent overfitting, model sparsity can work together with DP to significantly mitigate the risk of MIA.","container-title":"Pacific Symposium on Biocomputing. Pacific Symposium on Biocomputing","ISSN":"2335-6936","journalAbbreviation":"Pac Symp Biocomput","language":"eng","note":"PMID: 33691001","page":"26-37","source":"PubMed","title":"Differential Privacy Protection Against Membership Inference Attack on Machine Learning for Genomic Data","volume":"26","author":[{"family":"Chen","given":"Junjie"},{"family":"Wang","given":"Wendy Hui"},{"family":"Shi","given":"Xinghua"}],"issued":{"date-parts":[["2021"]]}},"label":"page"}],"schema":"https://github.com/citation-style-language/schema/raw/master/csl-citation.json"}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79</w:t>
            </w:r>
            <w:r>
              <w:rPr>
                <w:rFonts w:ascii="Calibri" w:eastAsia="Times New Roman" w:hAnsi="Calibri" w:cs="Calibri"/>
                <w:i/>
                <w:iCs/>
                <w:color w:val="000000"/>
              </w:rPr>
              <w:fldChar w:fldCharType="end"/>
            </w:r>
          </w:p>
        </w:tc>
        <w:tc>
          <w:tcPr>
            <w:tcW w:w="234" w:type="dxa"/>
          </w:tcPr>
          <w:p w14:paraId="304163E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57A340D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Yeast Genomic</w:t>
            </w:r>
          </w:p>
        </w:tc>
        <w:tc>
          <w:tcPr>
            <w:tcW w:w="2702" w:type="dxa"/>
          </w:tcPr>
          <w:p w14:paraId="2CFBEF8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 Lasso Regression</w:t>
            </w:r>
          </w:p>
        </w:tc>
        <w:tc>
          <w:tcPr>
            <w:tcW w:w="1808" w:type="dxa"/>
          </w:tcPr>
          <w:p w14:paraId="5820929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74A56DF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tc>
        <w:tc>
          <w:tcPr>
            <w:tcW w:w="233" w:type="dxa"/>
          </w:tcPr>
          <w:p w14:paraId="0977BFC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5203CC5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76C30A28"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33699798"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74E96DD2"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066C6E80"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03AC706E"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Hu</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{"citationID":"a2fjelsuh9k","properties":{"formattedCitation":"\\super 80\\nosupersub{}","plainCitation":"80","noteIndex":0},"citationItems":[{"id":485,"uris":["http://zotero.org/users/local/HJepGCSn/items/3BQL23YB"],"itemData":{"id":485,"type":"paper-conference","abstract":"Membership inference attacks on a machine learning model aim to determine whether a given data record is a member of the training set. They pose severe privacy risks to individuals, e.g., identifying an individual's participation in a hospital's health analytic training set reveals that this individual was once a patient in that hospital. Adversarial regularization (AR) is one of the state-of-the-art defense methods that mitigate such attacks while preserving a model's prediction accuracy. AR adds membership inference attacks as a new regularization term to the target model during the training process. It is an adversarial training algorithm that is trained on a defended model which is essentially the same as training the generator of generative adversarial networks (GANs). We observe that many GAN variants are able to generate higher quality samples and offer more stability during the training phase than GANs. However, whether these GAN variants are available to improve the effectiveness of AR has not been investigated. In this paper, we propose an enhanced adversarial regularization (EAR) method based on Least Square GANs (LSGANs). The new EAR surpasses the existing AR in offering more powerful defensive ability while preserving the same prediction accuracy of the protected classifiers. We systematically evaluate EAR on five datasets with different target classifiers under four different attack methods and compare it with four other defense methods. We experimentally show that our new method performs the best among other defense methods.","container-title":"2021 International Joint Conference on Neural Networks (IJCNN)","DOI":"10.1109/IJCNN52387.2021.9534381","event-title":"2021 International Joint Conference on Neural Networks (IJCNN)","note":"ISSN: 2161-4407","page":"1-8","source":"IEEE Xplore","title":"EAR: An Enhanced Adversarial Regularization Approach against Membership Inference Attacks","title-short":"EAR","author":[{"family":"Hu","given":"Hongsheng"},{"family":"Salcic","given":"Zoran"},{"family":"Dobbie","given":"Gillian"},{"family":"Chen","given":"Yi"},{"family":"Zhang","given":"Xuyun"}],"issued":{"date-parts":[["2021",7]]}},"label":"page"}],"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80</w:t>
            </w:r>
            <w:r>
              <w:rPr>
                <w:rFonts w:ascii="Calibri" w:eastAsia="Times New Roman" w:hAnsi="Calibri" w:cs="Calibri"/>
                <w:i/>
                <w:iCs/>
                <w:color w:val="000000"/>
              </w:rPr>
              <w:fldChar w:fldCharType="end"/>
            </w:r>
          </w:p>
        </w:tc>
        <w:tc>
          <w:tcPr>
            <w:tcW w:w="234" w:type="dxa"/>
          </w:tcPr>
          <w:p w14:paraId="0961D95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09DCC7D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Texas-100; Purchase-100</w:t>
            </w:r>
          </w:p>
          <w:p w14:paraId="75EB2AA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p w14:paraId="59D0B85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702" w:type="dxa"/>
          </w:tcPr>
          <w:p w14:paraId="373DA45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52D5C42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6DD2778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3E41AB0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784AEB9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6D3D7EC2"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6B34D694"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6518E094"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rsidRPr="00443DC9" w14:paraId="7E349A94" w14:textId="77777777" w:rsidTr="00530265">
        <w:tc>
          <w:tcPr>
            <w:cnfStyle w:val="001000000000" w:firstRow="0" w:lastRow="0" w:firstColumn="1" w:lastColumn="0" w:oddVBand="0" w:evenVBand="0" w:oddHBand="0" w:evenHBand="0" w:firstRowFirstColumn="0" w:firstRowLastColumn="0" w:lastRowFirstColumn="0" w:lastRowLastColumn="0"/>
            <w:tcW w:w="2329" w:type="dxa"/>
            <w:vMerge w:val="restart"/>
            <w:tcBorders>
              <w:top w:val="single" w:sz="24" w:space="0" w:color="auto"/>
            </w:tcBorders>
          </w:tcPr>
          <w:p w14:paraId="08D7EB16" w14:textId="77777777" w:rsidR="00375D17" w:rsidRPr="00443DC9" w:rsidRDefault="00375D17" w:rsidP="00530265">
            <w:pPr>
              <w:rPr>
                <w:b w:val="0"/>
                <w:bCs w:val="0"/>
                <w:sz w:val="24"/>
                <w:szCs w:val="24"/>
              </w:rPr>
            </w:pPr>
          </w:p>
          <w:p w14:paraId="5E626283" w14:textId="77777777" w:rsidR="00375D17" w:rsidRPr="00443DC9" w:rsidRDefault="00375D17" w:rsidP="00530265">
            <w:pPr>
              <w:rPr>
                <w:b w:val="0"/>
                <w:bCs w:val="0"/>
                <w:sz w:val="24"/>
                <w:szCs w:val="24"/>
              </w:rPr>
            </w:pPr>
          </w:p>
          <w:p w14:paraId="7F6A2C47" w14:textId="77777777" w:rsidR="00375D17" w:rsidRPr="00443DC9" w:rsidRDefault="00375D17" w:rsidP="00530265">
            <w:pPr>
              <w:rPr>
                <w:sz w:val="24"/>
                <w:szCs w:val="24"/>
              </w:rPr>
            </w:pPr>
            <w:r w:rsidRPr="00443DC9">
              <w:rPr>
                <w:sz w:val="24"/>
                <w:szCs w:val="24"/>
              </w:rPr>
              <w:t>Authors (Year)</w:t>
            </w:r>
          </w:p>
        </w:tc>
        <w:tc>
          <w:tcPr>
            <w:tcW w:w="234" w:type="dxa"/>
            <w:tcBorders>
              <w:top w:val="single" w:sz="24" w:space="0" w:color="auto"/>
            </w:tcBorders>
          </w:tcPr>
          <w:p w14:paraId="2731A731"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sz w:val="24"/>
                <w:szCs w:val="24"/>
              </w:rPr>
            </w:pPr>
          </w:p>
        </w:tc>
        <w:tc>
          <w:tcPr>
            <w:tcW w:w="8050" w:type="dxa"/>
            <w:gridSpan w:val="4"/>
            <w:tcBorders>
              <w:top w:val="single" w:sz="24" w:space="0" w:color="auto"/>
            </w:tcBorders>
          </w:tcPr>
          <w:p w14:paraId="36E7BEF8"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Setting</w:t>
            </w:r>
          </w:p>
        </w:tc>
        <w:tc>
          <w:tcPr>
            <w:tcW w:w="233" w:type="dxa"/>
            <w:tcBorders>
              <w:top w:val="single" w:sz="24" w:space="0" w:color="auto"/>
              <w:bottom w:val="nil"/>
            </w:tcBorders>
          </w:tcPr>
          <w:p w14:paraId="73960476"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p>
        </w:tc>
        <w:tc>
          <w:tcPr>
            <w:tcW w:w="4083" w:type="dxa"/>
            <w:gridSpan w:val="4"/>
            <w:tcBorders>
              <w:top w:val="single" w:sz="24" w:space="0" w:color="auto"/>
              <w:bottom w:val="single" w:sz="12" w:space="0" w:color="auto"/>
            </w:tcBorders>
            <w:vAlign w:val="center"/>
          </w:tcPr>
          <w:p w14:paraId="5D3610EF"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Performance</w:t>
            </w:r>
          </w:p>
        </w:tc>
      </w:tr>
      <w:tr w:rsidR="00375D17" w:rsidRPr="00443DC9" w14:paraId="63C79A29"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tcBorders>
              <w:bottom w:val="single" w:sz="24" w:space="0" w:color="auto"/>
            </w:tcBorders>
          </w:tcPr>
          <w:p w14:paraId="431B2656" w14:textId="77777777" w:rsidR="00375D17" w:rsidRPr="00443DC9" w:rsidRDefault="00375D17" w:rsidP="00530265">
            <w:pPr>
              <w:rPr>
                <w:b w:val="0"/>
                <w:bCs w:val="0"/>
                <w:sz w:val="24"/>
                <w:szCs w:val="24"/>
              </w:rPr>
            </w:pPr>
          </w:p>
        </w:tc>
        <w:tc>
          <w:tcPr>
            <w:tcW w:w="234" w:type="dxa"/>
            <w:tcBorders>
              <w:bottom w:val="single" w:sz="24" w:space="0" w:color="auto"/>
            </w:tcBorders>
            <w:shd w:val="clear" w:color="auto" w:fill="FFFFFF" w:themeFill="background1"/>
          </w:tcPr>
          <w:p w14:paraId="039A93C7"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2133" w:type="dxa"/>
            <w:tcBorders>
              <w:top w:val="single" w:sz="12" w:space="0" w:color="auto"/>
              <w:bottom w:val="single" w:sz="24" w:space="0" w:color="auto"/>
            </w:tcBorders>
            <w:shd w:val="clear" w:color="auto" w:fill="FFFFFF" w:themeFill="background1"/>
            <w:vAlign w:val="bottom"/>
          </w:tcPr>
          <w:p w14:paraId="5C23E74C"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Training Dataset(s)</w:t>
            </w:r>
          </w:p>
        </w:tc>
        <w:tc>
          <w:tcPr>
            <w:tcW w:w="2702" w:type="dxa"/>
            <w:tcBorders>
              <w:top w:val="single" w:sz="12" w:space="0" w:color="auto"/>
              <w:bottom w:val="single" w:sz="24" w:space="0" w:color="auto"/>
            </w:tcBorders>
            <w:shd w:val="clear" w:color="auto" w:fill="FFFFFF" w:themeFill="background1"/>
            <w:vAlign w:val="bottom"/>
          </w:tcPr>
          <w:p w14:paraId="686D3CAD"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Target Model Architecture(s)</w:t>
            </w:r>
          </w:p>
        </w:tc>
        <w:tc>
          <w:tcPr>
            <w:tcW w:w="1808" w:type="dxa"/>
            <w:tcBorders>
              <w:top w:val="single" w:sz="12" w:space="0" w:color="auto"/>
              <w:bottom w:val="single" w:sz="24" w:space="0" w:color="auto"/>
            </w:tcBorders>
            <w:shd w:val="clear" w:color="auto" w:fill="FFFFFF" w:themeFill="background1"/>
            <w:vAlign w:val="bottom"/>
          </w:tcPr>
          <w:p w14:paraId="41BDB288"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 xml:space="preserve">Target Model Task </w:t>
            </w:r>
          </w:p>
        </w:tc>
        <w:tc>
          <w:tcPr>
            <w:tcW w:w="1407" w:type="dxa"/>
            <w:tcBorders>
              <w:top w:val="single" w:sz="12" w:space="0" w:color="auto"/>
              <w:bottom w:val="single" w:sz="24" w:space="0" w:color="auto"/>
            </w:tcBorders>
            <w:shd w:val="clear" w:color="auto" w:fill="FFFFFF" w:themeFill="background1"/>
            <w:vAlign w:val="bottom"/>
          </w:tcPr>
          <w:p w14:paraId="2576E4A6"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Knowledge</w:t>
            </w:r>
          </w:p>
        </w:tc>
        <w:tc>
          <w:tcPr>
            <w:tcW w:w="233" w:type="dxa"/>
            <w:tcBorders>
              <w:top w:val="nil"/>
              <w:bottom w:val="single" w:sz="24" w:space="0" w:color="auto"/>
            </w:tcBorders>
            <w:shd w:val="clear" w:color="auto" w:fill="FFFFFF" w:themeFill="background1"/>
            <w:vAlign w:val="bottom"/>
          </w:tcPr>
          <w:p w14:paraId="5D2E7497"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1794" w:type="dxa"/>
            <w:tcBorders>
              <w:top w:val="single" w:sz="12" w:space="0" w:color="auto"/>
              <w:bottom w:val="single" w:sz="24" w:space="0" w:color="auto"/>
              <w:right w:val="single" w:sz="4" w:space="0" w:color="auto"/>
            </w:tcBorders>
            <w:shd w:val="clear" w:color="auto" w:fill="FFFFFF" w:themeFill="background1"/>
            <w:vAlign w:val="center"/>
          </w:tcPr>
          <w:p w14:paraId="5A3BBF36"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Performance Metric(s)</w:t>
            </w:r>
          </w:p>
        </w:tc>
        <w:tc>
          <w:tcPr>
            <w:tcW w:w="781" w:type="dxa"/>
            <w:tcBorders>
              <w:left w:val="single" w:sz="4" w:space="0" w:color="auto"/>
              <w:bottom w:val="single" w:sz="24" w:space="0" w:color="auto"/>
              <w:right w:val="single" w:sz="4" w:space="0" w:color="auto"/>
            </w:tcBorders>
            <w:shd w:val="clear" w:color="auto" w:fill="FFFFFF" w:themeFill="background1"/>
            <w:vAlign w:val="center"/>
          </w:tcPr>
          <w:p w14:paraId="41236C35"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&gt;50%</w:t>
            </w:r>
          </w:p>
        </w:tc>
        <w:tc>
          <w:tcPr>
            <w:tcW w:w="754" w:type="dxa"/>
            <w:tcBorders>
              <w:left w:val="single" w:sz="4" w:space="0" w:color="auto"/>
              <w:bottom w:val="single" w:sz="24" w:space="0" w:color="auto"/>
              <w:right w:val="single" w:sz="4" w:space="0" w:color="auto"/>
            </w:tcBorders>
            <w:shd w:val="clear" w:color="auto" w:fill="FFFFFF" w:themeFill="background1"/>
            <w:vAlign w:val="center"/>
          </w:tcPr>
          <w:p w14:paraId="06FB152F"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w:t>
            </w:r>
            <w:r w:rsidRPr="00443DC9">
              <w:rPr>
                <w:b/>
                <w:bCs/>
                <w:sz w:val="24"/>
                <w:szCs w:val="24"/>
              </w:rPr>
              <w:t>75%</w:t>
            </w:r>
          </w:p>
        </w:tc>
        <w:tc>
          <w:tcPr>
            <w:tcW w:w="754" w:type="dxa"/>
            <w:tcBorders>
              <w:left w:val="single" w:sz="4" w:space="0" w:color="auto"/>
              <w:bottom w:val="single" w:sz="24" w:space="0" w:color="auto"/>
            </w:tcBorders>
            <w:shd w:val="clear" w:color="auto" w:fill="FFFFFF" w:themeFill="background1"/>
            <w:vAlign w:val="center"/>
          </w:tcPr>
          <w:p w14:paraId="69685D13"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≥90</w:t>
            </w:r>
            <w:r w:rsidRPr="00443DC9">
              <w:rPr>
                <w:b/>
                <w:bCs/>
                <w:sz w:val="24"/>
                <w:szCs w:val="24"/>
              </w:rPr>
              <w:t>%</w:t>
            </w:r>
          </w:p>
        </w:tc>
      </w:tr>
      <w:tr w:rsidR="00375D17" w14:paraId="67D58CFB"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7B720530"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Wu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{"citationID":"wXskNs0j","properties":{"formattedCitation":"\\super 81\\nosupersub{}","plainCitation":"81","noteIndex":0},"citationItems":[{"id":758,"uris":["http://zotero.org/users/local/HJepGCSn/items/D5LZDSHQ"],"itemData":{"id":758,"type":"article","abstract":"Graph Neural Networks (GNNs) are widely adopted to analyse non-Euclidean data, such as chemical networks, brain networks, and social networks, modelling complex relationships and interdependency between objects. Recently, Membership Inference Attack (MIA) against GNNs raises severe privacy concerns, where training data can be leaked from trained GNN models. However, prior studies focus on inferring the membership of only the components in a graph, e.g., an individual node or edge. How to infer the membership of an entire graph record is yet to be explored. In this paper, we take the first step in MIA against GNNs for graph-level classification. Our objective is to infer whether a graph sample has been used for training a GNN model. We present and implement two types of attacks, i.e., training-based attacks and threshold-based attacks from different adversarial capabilities. We perform comprehensive experiments to evaluate our attacks in seven real-world datasets using five representative GNN models. Both our attacks are shown effective and can achieve high performance, i.e., reaching over 0.7 attack F1 scores in most cases. Furthermore, we analyse the implications behind the MIA against GNNs. Our findings confirm that GNNs can be even more vulnerable to MIA than the models with non-graph structures. And unlike the node-level classifier, MIAs on graph-level classification tasks are more co-related with the overfitting level of GNNs rather than the statistic property of their training graphs.","note":"arXiv:2110.08760 [cs]","number":"arXiv:2110.08760","publisher":"arXiv","source":"arXiv.org","title":"Adapting Membership Inference Attacks to GNN for Graph Classification: Approaches and Implications","title-short":"Adapting Membership Inference Attacks to GNN for Graph Classification","URL":"http://arxiv.org/abs/2110.08760","author":[{"family":"Wu","given":"Bang"},{"family":"Yang","given":"Xiangwen"},{"family":"Pan","given":"Shirui"},{"family":"Yuan","given":"Xingliang"}],"accessed":{"date-parts":[["2022",9,26]]},"issued":{"date-parts":[["2021",10,17]]}},"label":"page"}],"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81</w:t>
            </w:r>
            <w:r>
              <w:rPr>
                <w:rFonts w:ascii="Calibri" w:eastAsia="Times New Roman" w:hAnsi="Calibri" w:cs="Calibri"/>
                <w:i/>
                <w:iCs/>
                <w:color w:val="000000"/>
              </w:rPr>
              <w:fldChar w:fldCharType="end"/>
            </w:r>
          </w:p>
        </w:tc>
        <w:tc>
          <w:tcPr>
            <w:tcW w:w="234" w:type="dxa"/>
          </w:tcPr>
          <w:p w14:paraId="603DEAA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426048B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Proteins (full); DD; Enzymes; NCI; OGBG_PPA</w:t>
            </w:r>
          </w:p>
        </w:tc>
        <w:tc>
          <w:tcPr>
            <w:tcW w:w="2702" w:type="dxa"/>
          </w:tcPr>
          <w:p w14:paraId="02D2368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Graph Convolutional Network; </w:t>
            </w:r>
            <w:r w:rsidRPr="0035429A">
              <w:t>Graph Isomorphism Network</w:t>
            </w:r>
            <w:r>
              <w:t xml:space="preserve">; </w:t>
            </w:r>
            <w:r w:rsidRPr="0035429A">
              <w:t>Graph Attention Network</w:t>
            </w:r>
            <w:r>
              <w:t>; Multilayer Perceptron</w:t>
            </w:r>
          </w:p>
        </w:tc>
        <w:tc>
          <w:tcPr>
            <w:tcW w:w="1808" w:type="dxa"/>
          </w:tcPr>
          <w:p w14:paraId="558191C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66C38CB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76FA232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7523140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Precision; Recall; F1-Score</w:t>
            </w:r>
          </w:p>
        </w:tc>
        <w:tc>
          <w:tcPr>
            <w:tcW w:w="781" w:type="dxa"/>
            <w:tcBorders>
              <w:left w:val="single" w:sz="4" w:space="0" w:color="auto"/>
              <w:right w:val="single" w:sz="4" w:space="0" w:color="auto"/>
            </w:tcBorders>
            <w:vAlign w:val="center"/>
          </w:tcPr>
          <w:p w14:paraId="5DC4962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9C0496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40CBDC7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78C273F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068E6B87"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Hui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{"citationID":"4pN2ACWI","properties":{"formattedCitation":"\\super 82\\nosupersub{}","plainCitation":"82","noteIndex":0},"citationItems":[{"id":511,"uris":["http://zotero.org/users/local/HJepGCSn/items/PLJSESY7"],"itemData":{"id":511,"type":"paper-conference","abstract":"Membership inference (MI) attacks affect user privacy by inferring whether given data samples have been used to train a target learning model, e.g., a deep neural network. There are two types of MI attacks in the literature, i.e., these with and without shadow models. The success of the former heavily depends on the quality of the shadow model, i.e., the transferability between the shadow and the target; the latter, given only blackbox probing access to the target model, cannot make an effective inference of unknowns, compared with MI attacks using shadow models, due to the insufﬁcient number of qualiﬁed samples labeled with ground truth membership information.","container-title":"Proceedings 2021 Network and Distributed System Security Symposium","DOI":"10.14722/ndss.2021.24293","event-place":"Virtual","event-title":"Network and Distributed System Security Symposium","ISBN":"978-1-891562-66-2","language":"en","publisher":"Internet Society","publisher-place":"Virtual","source":"DOI.org (Crossref)","title":"Practical Blind Membership Inference Attack via Differential Comparisons","URL":"https://www.ndss-symposium.org/wp-content/uploads/ndss2021_5C-2_24293_paper.pdf","author":[{"family":"Hui","given":"Bo"},{"family":"Yang","given":"Yuchen"},{"family":"Yuan","given":"Haolin"},{"family":"Burlina","given":"Philippe"},{"family":"Gong","given":"Neil Zhenqiang"},{"family":"Cao","given":"Yinzhi"}],"accessed":{"date-parts":[["2022",8,4]]},"issued":{"date-parts":[["2021"]]}},"label":"page"}],"schema":"https://github.com/citation-style-language/schema/raw/master/csl-citation.json"}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82</w:t>
            </w:r>
            <w:r>
              <w:rPr>
                <w:rFonts w:ascii="Calibri" w:eastAsia="Times New Roman" w:hAnsi="Calibri" w:cs="Calibri"/>
                <w:i/>
                <w:iCs/>
                <w:color w:val="000000"/>
              </w:rPr>
              <w:fldChar w:fldCharType="end"/>
            </w:r>
          </w:p>
        </w:tc>
        <w:tc>
          <w:tcPr>
            <w:tcW w:w="234" w:type="dxa"/>
          </w:tcPr>
          <w:p w14:paraId="20BFD49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7A4A6CD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Texas-100; </w:t>
            </w:r>
            <w:proofErr w:type="gramStart"/>
            <w:r>
              <w:t>Location;</w:t>
            </w:r>
            <w:proofErr w:type="gramEnd"/>
          </w:p>
          <w:p w14:paraId="143DFD0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Purchase-50; Adult</w:t>
            </w:r>
          </w:p>
        </w:tc>
        <w:tc>
          <w:tcPr>
            <w:tcW w:w="2702" w:type="dxa"/>
          </w:tcPr>
          <w:p w14:paraId="29209A5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Multilayer Perceptron</w:t>
            </w:r>
          </w:p>
          <w:p w14:paraId="62CD8FD6" w14:textId="77777777" w:rsidR="00375D17" w:rsidRPr="00DC0BAA" w:rsidRDefault="00375D17" w:rsidP="00530265">
            <w:pPr>
              <w:cnfStyle w:val="000000100000" w:firstRow="0" w:lastRow="0" w:firstColumn="0" w:lastColumn="0" w:oddVBand="0" w:evenVBand="0" w:oddHBand="1" w:evenHBand="0" w:firstRowFirstColumn="0" w:firstRowLastColumn="0" w:lastRowFirstColumn="0" w:lastRowLastColumn="0"/>
            </w:pPr>
          </w:p>
        </w:tc>
        <w:tc>
          <w:tcPr>
            <w:tcW w:w="1808" w:type="dxa"/>
          </w:tcPr>
          <w:p w14:paraId="0313E03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2C8E08F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p w14:paraId="5FFA6A7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Grey-Box</w:t>
            </w:r>
          </w:p>
        </w:tc>
        <w:tc>
          <w:tcPr>
            <w:tcW w:w="233" w:type="dxa"/>
          </w:tcPr>
          <w:p w14:paraId="24D2F7F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4C7FF3C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Precision; Recall; F1-Score</w:t>
            </w:r>
          </w:p>
        </w:tc>
        <w:tc>
          <w:tcPr>
            <w:tcW w:w="781" w:type="dxa"/>
            <w:tcBorders>
              <w:left w:val="single" w:sz="4" w:space="0" w:color="auto"/>
              <w:right w:val="single" w:sz="4" w:space="0" w:color="auto"/>
            </w:tcBorders>
            <w:vAlign w:val="center"/>
          </w:tcPr>
          <w:p w14:paraId="63B72D52"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5528673"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49FC8D3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55B12A9D"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56E77D4E"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Olatunji</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{"citationID":"a1nn5kbt43d","properties":{"formattedCitation":"\\super 83\\nosupersub{}","plainCitation":"83","noteIndex":0},"citationItems":[{"id":538,"uris":["http://zotero.org/users/local/HJepGCSn/items/EA9VRS52"],"itemData":{"id":538,"type":"article","abstract":"Graph Neural Networks (GNNs), which generalize traditional deep neural networks on graph data, have achieved state-of-the-art performance on several graph analytical tasks. We focus on how trained GNN models could leak information about the \\emph{member} nodes that they were trained on. We introduce two realistic settings for performing a membership inference (MI) attack on GNNs. While choosing the simplest possible attack model that utilizes the posteriors of the trained model (black-box access), we thoroughly analyze the properties of GNNs and the datasets which dictate the differences in their robustness towards MI attack. While in traditional machine learning models, overfitting is considered the main cause of such leakage, we show that in GNNs the additional structural information is the major contributing factor. We support our findings by extensive experiments on four representative GNN models. To prevent MI attacks on GNN, we propose two effective defenses that significantly decreases the attacker's inference by up to 60% without degradation to the target model's performance. Our code is available at https://github.com/iyempissy/rebMIGraph.","DOI":"10.48550/arXiv.2101.06570","note":"arXiv:2101.06570 [cs]","number":"arXiv:2101.06570","publisher":"arXiv","source":"arXiv.org","title":"Membership Inference Attack on Graph Neural Networks","URL":"http://arxiv.org/abs/2101.06570","author":[{"family":"Olatunji","given":"Iyiola E."},{"family":"Nejdl","given":"Wolfgang"},{"family":"Khosla","given":"Megha"}],"accessed":{"date-parts":[["2022",8,4]]},"issued":{"date-parts":[["2021",12,18]]}}}],"schema":"https://github.com/citation-style-language/schema/raw/master/csl-citation.json"}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83</w:t>
            </w:r>
            <w:r>
              <w:rPr>
                <w:rFonts w:ascii="Calibri" w:eastAsia="Times New Roman" w:hAnsi="Calibri" w:cs="Calibri"/>
                <w:color w:val="000000"/>
              </w:rPr>
              <w:fldChar w:fldCharType="end"/>
            </w:r>
          </w:p>
        </w:tc>
        <w:tc>
          <w:tcPr>
            <w:tcW w:w="234" w:type="dxa"/>
          </w:tcPr>
          <w:p w14:paraId="09BF0A8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0104AEA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Cora; </w:t>
            </w:r>
            <w:proofErr w:type="spellStart"/>
            <w:r>
              <w:t>CiteSeer</w:t>
            </w:r>
            <w:proofErr w:type="spellEnd"/>
            <w:r>
              <w:t>; PubMed; Flickr; Reddit</w:t>
            </w:r>
          </w:p>
        </w:tc>
        <w:tc>
          <w:tcPr>
            <w:tcW w:w="2702" w:type="dxa"/>
          </w:tcPr>
          <w:p w14:paraId="2BADC21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Graph Convolutional Network; Graph Attention Network; Simplified Graph Convolution; </w:t>
            </w:r>
            <w:proofErr w:type="spellStart"/>
            <w:r>
              <w:t>GraphSage</w:t>
            </w:r>
            <w:proofErr w:type="spellEnd"/>
          </w:p>
          <w:p w14:paraId="43FBE2B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808" w:type="dxa"/>
          </w:tcPr>
          <w:p w14:paraId="3136781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11A8E8A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17F275F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4BA50F2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Precision; Recall; AUC</w:t>
            </w:r>
          </w:p>
        </w:tc>
        <w:tc>
          <w:tcPr>
            <w:tcW w:w="781" w:type="dxa"/>
            <w:tcBorders>
              <w:left w:val="single" w:sz="4" w:space="0" w:color="auto"/>
              <w:right w:val="single" w:sz="4" w:space="0" w:color="auto"/>
            </w:tcBorders>
            <w:vAlign w:val="center"/>
          </w:tcPr>
          <w:p w14:paraId="164407E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AEF87CD"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6239925F"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3AB85D0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08BCBCA7"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Chen</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{"citationID":"LdYRpyyB","properties":{"formattedCitation":"\\super 84\\nosupersub{}","plainCitation":"84","noteIndex":0},"citationItems":[{"id":441,"uris":["http://zotero.org/users/local/HJepGCSn/items/NQ7SCAA8"],"itemData":{"id":441,"type":"paper-conference","abstract":"The right to be forgotten states that a data owner has the right to erase their data from an entity storing it. In the context of machine learning (ML), the right to be forgotten requires an ML model owner to remove the data owner's data from the training set used to build the ML model, a process known asmachine unlearning. While originally designed to protect the privacy of the data owner, we argue that machine unlearning may leave some imprint of the data in the ML model and thus create unintended privacy risks. In this paper, we perform the first study on investigating the unintended information leakage caused by machine unlearning. We propose a novel membership inference attack that leverages the different outputs of an ML model's two versions to infer whether a target sample is part of the training set of the original model but out of the training set of the corresponding unlearned model. Our experiments demonstrate that the proposed membership inference attack achieves strong performance. More importantly, we show that our attack in multiple cases outperforms the classical membership inference attack on the original ML model, which indicates that machine unlearning can have counterproductive effects on privacy. We notice that the privacy degradation is especially significant for well-generalized ML models where classical membership inference does not perform well. We further investigate four mechanisms to mitigate the newly discovered privacy risks and show that releasing the predicted label only, temperature scaling, and differential privacy are effective. We believe that our results can help improve privacy protection in practical implementations of machine unlearning. \\footnoteOur code is available at \\urlhttps://github.com/MinChen00/UnlearningLeaks.","collection-title":"CCS '21","container-title":"Proceedings of the 2021 ACM SIGSAC Conference on Computer and Communications Security","DOI":"10.1145/3460120.3484756","event-place":"New York, NY, USA","ISBN":"978-1-4503-8454-4","page":"896–911","publisher":"Association for Computing Machinery","publisher-place":"New York, NY, USA","source":"ACM Digital Library","title":"When Machine Unlearning Jeopardizes Privacy","URL":"https://doi.org/10.1145/3460120.3484756","author":[{"family":"Chen","given":"Min"},{"family":"Zhang","given":"Zhikun"},{"family":"Wang","given":"Tianhao"},{"family":"Backes","given":"Michael"},{"family":"Humbert","given":"Mathias"},{"family":"Zhang","given":"Yang"}],"accessed":{"date-parts":[["2022",8,4]]},"issued":{"date-parts":[["2021",11,12]]}},"label":"page"}],"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84</w:t>
            </w:r>
            <w:r>
              <w:rPr>
                <w:rFonts w:ascii="Calibri" w:eastAsia="Times New Roman" w:hAnsi="Calibri" w:cs="Calibri"/>
                <w:i/>
                <w:iCs/>
                <w:color w:val="000000"/>
              </w:rPr>
              <w:fldChar w:fldCharType="end"/>
            </w:r>
          </w:p>
        </w:tc>
        <w:tc>
          <w:tcPr>
            <w:tcW w:w="234" w:type="dxa"/>
          </w:tcPr>
          <w:p w14:paraId="4B9E108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09EE192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Adult; Accident; Insta-NY</w:t>
            </w:r>
          </w:p>
        </w:tc>
        <w:tc>
          <w:tcPr>
            <w:tcW w:w="2702" w:type="dxa"/>
          </w:tcPr>
          <w:p w14:paraId="0E472FB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Logistic Regression; Decision Tree; Random </w:t>
            </w:r>
            <w:proofErr w:type="gramStart"/>
            <w:r>
              <w:t>Forest;</w:t>
            </w:r>
            <w:proofErr w:type="gramEnd"/>
          </w:p>
          <w:p w14:paraId="5BFECE8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Multilayer Perceptron</w:t>
            </w:r>
          </w:p>
        </w:tc>
        <w:tc>
          <w:tcPr>
            <w:tcW w:w="1808" w:type="dxa"/>
          </w:tcPr>
          <w:p w14:paraId="5945263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4CD7254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74BD075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12CEFDC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29E99FA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29F32B3"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3068ACC2"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3D929834"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4DD4C7A1"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Li</w:t>
            </w:r>
            <w:r>
              <w:rPr>
                <w:rFonts w:ascii="Calibri" w:eastAsia="Times New Roman" w:hAnsi="Calibri" w:cs="Calibri"/>
                <w:color w:val="000000"/>
              </w:rPr>
              <w:t xml:space="preserve">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color w:val="000000"/>
              </w:rP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{"citationID":"a6gdb9nr2n","properties":{"formattedCitation":"\\super 85\\nosupersub{}","plainCitation":"85","noteIndex":0},"citationItems":[{"id":832,"uris":["http://zotero.org/users/local/HJepGCSn/items/RZTAQC2S"],"itemData":{"id":832,"type":"paper-conference","abstract":"We study the membership inference (MI) attack against classifiers, where the attacker's goal is to determine whether a data instance was used for training the classifier. Through systematic cataloging of existing MI attacks and extensive experimental evaluations of them, we find that a model's vulnerability to MI attacks is tightly related to the generalization gap---the difference between training accuracy and test accuracy. We then propose a defense against MI attacks that aims to close the gap by intentionally reduces the training accuracy. More specifically, the training process attempts to match the training and validation accuracies, by means of a new set regularizer using the Maximum Mean Discrepancy between the softmax output empirical distributions of the training and validation sets. Our experimental results show that combining this approach with another simple defense (mix-up training) significantly improves state-of-the-art defense against MI attacks, with minimal impact on testing accuracy.","collection-title":"CODASPY '21","container-title":"Proceedings of the Eleventh ACM Conference on Data and Application Security and Privacy","DOI":"10.1145/3422337.3447836","event-place":"New York, NY, USA","ISBN":"978-1-4503-8143-7","page":"5–16","publisher":"Association for Computing Machinery","publisher-place":"New York, NY, USA","source":"ACM Digital Library","title":"Membership Inference Attacks and Defenses in Classification Models","URL":"https://doi.org/10.1145/3422337.3447836","author":[{"family":"Li","given":"Jiacheng"},{"family":"Li","given":"Ninghui"},{"family":"Ribeiro","given":"Bruno"}],"accessed":{"date-parts":[["2023",2,16]]},"issued":{"date-parts":[["2021",4,26]]}}}],"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85</w:t>
            </w:r>
            <w:r>
              <w:rPr>
                <w:rFonts w:ascii="Calibri" w:eastAsia="Times New Roman" w:hAnsi="Calibri" w:cs="Calibri"/>
                <w:color w:val="000000"/>
              </w:rPr>
              <w:fldChar w:fldCharType="end"/>
            </w:r>
          </w:p>
        </w:tc>
        <w:tc>
          <w:tcPr>
            <w:tcW w:w="234" w:type="dxa"/>
          </w:tcPr>
          <w:p w14:paraId="76FB444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20773B0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Texas-100; Purchase-100</w:t>
            </w:r>
          </w:p>
        </w:tc>
        <w:tc>
          <w:tcPr>
            <w:tcW w:w="2702" w:type="dxa"/>
          </w:tcPr>
          <w:p w14:paraId="191F355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5D4ED36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3410ED1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08652B1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2C328B4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2A16546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5AFAD1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2F8FE00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61D2E5D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3BE5E20D"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Wang</w:t>
            </w:r>
            <w:r>
              <w:rPr>
                <w:rFonts w:ascii="Calibri" w:eastAsia="Times New Roman" w:hAnsi="Calibri" w:cs="Calibri"/>
                <w:color w:val="000000"/>
              </w:rPr>
              <w:t xml:space="preserve">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sidRPr="00EC4D94">
              <w:rPr>
                <w:rFonts w:ascii="Calibri" w:eastAsia="Times New Roman" w:hAnsi="Calibri" w:cs="Calibri"/>
                <w:i/>
                <w:iCs/>
                <w:color w:val="000000"/>
              </w:rP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{"citationID":"ao61h29uec","properties":{"formattedCitation":"\\super 86\\nosupersub{}","plainCitation":"86","noteIndex":0},"citationItems":[{"id":667,"uris":["http://zotero.org/users/local/HJepGCSn/items/CKWXRYGE"],"itemData":{"id":667,"type":"article-journal","abstract":"Edge intelligence (EI), integrated with the merits of both edge computing and artificial intelligence, has been proposed recently to realize intensive computation and low delay inference in the edge of the Internet of Things (IoT). However, the constrained energy and computation ability in edge devices become the main obstacle for EI application in IoT. There is a flexible multi-grade EI deployment scheme in which multiple machine models are provided to meet the different requirements of edge users (inference accuracy, inference delay, inference cost, etc.). In the multi-grade EI model, low-grade models contain information of high-grade ones, and the inference cost increases with the inference accuracy. Thus, some attackers or malicious users may want to obtain some private information of those high-grade models by querying low-grade ones at low cost. Specifically, in this article we study the vulnerability of the multi-grade EI model against membership inference attack (MIA). First, we propose an attack model for multi-grade EI. Second, we reveal different grades of EI on vulnerability by comparing inference accuracy and cost in different datasets. The experiment results show that in multi-grade EI, a low-grade model would leak privacy information of a high-grade model under MIA.","container-title":"IEEE Network","DOI":"10.1109/MNET.011.2000246","ISSN":"1558-156X","issue":"1","note":"event-title: IEEE Network","page":"184-189","source":"IEEE Xplore","title":"Membership Inference Attack with Multi-Grade Service Models in Edge Intelligence","volume":"35","author":[{"family":"Wang","given":"Kehao"},{"family":"Hu","given":"Zhixin"},{"family":"Ai","given":"Qingsong"},{"family":"Liu","given":"Quan"},{"family":"Chen","given":"Mozi"},{"family":"Liu","given":"Kezhong"},{"family":"Cong","given":"Yirui"}],"issued":{"date-parts":[["2021",1]]}}}],"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86</w:t>
            </w:r>
            <w:r>
              <w:rPr>
                <w:rFonts w:ascii="Calibri" w:eastAsia="Times New Roman" w:hAnsi="Calibri" w:cs="Calibri"/>
                <w:color w:val="000000"/>
              </w:rPr>
              <w:fldChar w:fldCharType="end"/>
            </w:r>
          </w:p>
        </w:tc>
        <w:tc>
          <w:tcPr>
            <w:tcW w:w="234" w:type="dxa"/>
          </w:tcPr>
          <w:p w14:paraId="7D1DDA6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7D5148E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Adult; Purchase-(10/ 20/50/100) </w:t>
            </w:r>
          </w:p>
        </w:tc>
        <w:tc>
          <w:tcPr>
            <w:tcW w:w="2702" w:type="dxa"/>
          </w:tcPr>
          <w:p w14:paraId="3267E1A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Decision Tree</w:t>
            </w:r>
          </w:p>
        </w:tc>
        <w:tc>
          <w:tcPr>
            <w:tcW w:w="1808" w:type="dxa"/>
          </w:tcPr>
          <w:p w14:paraId="56487BA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35BC105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0ACC3B5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580E437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363FF10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E0F1CA5"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34CAC421"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1AD66A49"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72C7C690"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Goldsteen</w:t>
            </w:r>
            <w:proofErr w:type="spellEnd"/>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{"citationID":"a6k38qh4l2","properties":{"formattedCitation":"\\super 87\\nosupersub{}","plainCitation":"87","noteIndex":0},"citationItems":[{"id":374,"uris":["http://zotero.org/users/local/HJepGCSn/items/9W4MLIW3"],"itemData":{"id":374,"type":"paper-conference","abstract":"There is a known tension between the need to analyze personal data to drive business and the need to preserve the privacy of data subjects. Many data protection regulations, including the EU General Data Protection Regulation (GDPR) and the California Consumer Protection Act (CCPA), set out strict restrictions and obligations on the collection and processing of personal data. Moreover, machine learning models themselves can be used to derive personal information, as demonstrated by recent membership and attribute inference attacks. Anonymized data, however, is exempt from the obligations set out in these regulations. It is therefore desirable to be able to create models that are anonymized, thus also exempting them from those obligations, in addition to providing better protection against attacks. Learning on anonymized data typically results in significant degradation in accuracy. In this work, we propose a method that is able to achieve better model accuracy by using the knowledge encoded within the trained model, and guiding our anonymization process to minimize the impact on the model’s accuracy, a process we call accuracy-guided anonymization. We demonstrate that by focusing on the model’s accuracy rather than generic information loss measures, our method outperforms state of the art k-anonymity methods in terms of the achieved utility, in particular with high values of k and large numbers of quasi-identifiers. We also demonstrate that our approach has a similar, and sometimes even better ability to prevent membership inference attacks as approaches based on differential privacy, while averting some of their drawbacks such as complexity, performance overhead and model-specific implementations. In addition, since our approach does not rely on making modifications to the training algorithm, it can even work with “black-box” models where the data owner does not have full control over the training process, or within complex machine learning pipelines where it may be difficult to replace existing learning algorithms with new ones. This makes model-guided anonymization a legitimate substitute for such methods and a practical approach to creating privacy-preserving models.","container-title":"Data Privacy Management, Cryptocurrencies and Blockchain Technology: ESORICS 2021 International Workshops, DPM 2021 and CBT 2021, Darmstadt, Germany, October 8, 2021, Revised Selected Papers","DOI":"10.1007/978-3-030-93944-1_8","event-place":"Berlin, Heidelberg","ISBN":"978-3-030-93943-4","page":"121–136","publisher":"Springer-Verlag","publisher-place":"Berlin, Heidelberg","source":"ACM Digital Library","title":"Anonymizing Machine Learning Models","URL":"https://doi.org/10.1007/978-3-030-93944-1_8","author":[{"family":"Goldsteen","given":"Abigail"},{"family":"Ezov","given":"Gilad"},{"family":"Shmelkin","given":"Ron"},{"family":"Moffie","given":"Micha"},{"family":"Farkash","given":"Ariel"}],"accessed":{"date-parts":[["2022",8,4]]},"issued":{"date-parts":[["2021",10,8]]}}}],"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87</w:t>
            </w:r>
            <w:r>
              <w:rPr>
                <w:rFonts w:ascii="Calibri" w:eastAsia="Times New Roman" w:hAnsi="Calibri" w:cs="Calibri"/>
                <w:i/>
                <w:iCs/>
                <w:color w:val="000000"/>
              </w:rPr>
              <w:fldChar w:fldCharType="end"/>
            </w:r>
          </w:p>
        </w:tc>
        <w:tc>
          <w:tcPr>
            <w:tcW w:w="234" w:type="dxa"/>
          </w:tcPr>
          <w:p w14:paraId="7519664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6A75248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Adult; Loan; Nursery</w:t>
            </w:r>
          </w:p>
        </w:tc>
        <w:tc>
          <w:tcPr>
            <w:tcW w:w="2702" w:type="dxa"/>
          </w:tcPr>
          <w:p w14:paraId="2B07498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Neural Network; </w:t>
            </w:r>
            <w:proofErr w:type="spellStart"/>
            <w:r>
              <w:t>XGBoost</w:t>
            </w:r>
            <w:proofErr w:type="spellEnd"/>
            <w:r>
              <w:t>; Decision Tree; Random Forest</w:t>
            </w:r>
          </w:p>
        </w:tc>
        <w:tc>
          <w:tcPr>
            <w:tcW w:w="1808" w:type="dxa"/>
          </w:tcPr>
          <w:p w14:paraId="519D7F6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222CD8A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tc>
        <w:tc>
          <w:tcPr>
            <w:tcW w:w="233" w:type="dxa"/>
          </w:tcPr>
          <w:p w14:paraId="2D80306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29CE6A1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Precision; Recall</w:t>
            </w:r>
          </w:p>
        </w:tc>
        <w:tc>
          <w:tcPr>
            <w:tcW w:w="781" w:type="dxa"/>
            <w:tcBorders>
              <w:left w:val="single" w:sz="4" w:space="0" w:color="auto"/>
              <w:right w:val="single" w:sz="4" w:space="0" w:color="auto"/>
            </w:tcBorders>
            <w:vAlign w:val="center"/>
          </w:tcPr>
          <w:p w14:paraId="6EC8B97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257EE9A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10D6C87F"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39186E5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2EB82433"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Chen</w:t>
            </w:r>
            <w:r>
              <w:rPr>
                <w:rFonts w:ascii="Calibri" w:eastAsia="Times New Roman" w:hAnsi="Calibri" w:cs="Calibri"/>
                <w:color w:val="000000"/>
              </w:rPr>
              <w:t xml:space="preserve">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{"citationID":"DBiCpjUs","properties":{"formattedCitation":"\\super 88\\nosupersub{}","plainCitation":"88","noteIndex":0},"citationItems":[{"id":834,"uris":["http://zotero.org/users/local/HJepGCSn/items/GALAUKMJ"],"itemData":{"id":834,"type":"paper-conference","abstract":"Recent works have shown that Generative Adversarial Networks (GANs) may generalize poorly and thus are vulnerable to privacy attacks. In this paper, we seek to improve the generalization of GANs from a perspective of privacy protection, specifically in terms of defending against the membership inference attack (MIA) which aims to infer whether a particular sample was used for model training. We design a GAN framework, partition GAN (PAR-GAN), which consists of one generator and multiple discriminators trained over disjoint partitions of the training data. The key idea of PAR-GAN is to reduce the generalization gap by approximating a mixture distribution of all partitions of the training data. Our theoretical analysis shows that PAR-GAN can achieve global optimality just like the original GAN. Our experimental results on simulated data and multiple popular datasets demonstrate that PAR-GAN can improve the generalization of GANs while mitigating information leakage induced by MIA.","collection-title":"KDD '21","container-title":"Proceedings of the 27th ACM SIGKDD Conference on Knowledge Discovery &amp; Data Mining","DOI":"10.1145/3447548.3467445","event-place":"New York, NY, USA","ISBN":"978-1-4503-8332-5","page":"127–137","publisher":"Association for Computing Machinery","publisher-place":"New York, NY, USA","source":"ACM Digital Library","title":"PAR-GAN: Improving the Generalization of Generative Adversarial Networks Against Membership Inference Attacks","title-short":"PAR-GAN","URL":"https://doi.org/10.1145/3447548.3467445","author":[{"family":"Chen","given":"Junjie"},{"family":"Wang","given":"Wendy Hui"},{"family":"Gao","given":"Hongchang"},{"family":"Shi","given":"Xinghua"}],"accessed":{"date-parts":[["2023",2,16]]},"issued":{"date-parts":[["2021",8,14]]}},"label":"page"}],"schema":"https://github.com/citation-style-language/schema/raw/master/csl-citation.json"}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88</w:t>
            </w:r>
            <w:r>
              <w:rPr>
                <w:rFonts w:ascii="Calibri" w:eastAsia="Times New Roman" w:hAnsi="Calibri" w:cs="Calibri"/>
                <w:i/>
                <w:iCs/>
                <w:color w:val="000000"/>
              </w:rPr>
              <w:fldChar w:fldCharType="end"/>
            </w:r>
          </w:p>
        </w:tc>
        <w:tc>
          <w:tcPr>
            <w:tcW w:w="234" w:type="dxa"/>
          </w:tcPr>
          <w:p w14:paraId="69517C6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761EB7B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Texas-100; Broward; MNIST; CIFAR-10</w:t>
            </w:r>
          </w:p>
        </w:tc>
        <w:tc>
          <w:tcPr>
            <w:tcW w:w="2702" w:type="dxa"/>
          </w:tcPr>
          <w:p w14:paraId="137AACB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rsidRPr="00017730">
              <w:t>Generative Adversarial Network</w:t>
            </w:r>
          </w:p>
        </w:tc>
        <w:tc>
          <w:tcPr>
            <w:tcW w:w="1808" w:type="dxa"/>
          </w:tcPr>
          <w:p w14:paraId="6440BC0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227A205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tc>
        <w:tc>
          <w:tcPr>
            <w:tcW w:w="233" w:type="dxa"/>
          </w:tcPr>
          <w:p w14:paraId="4236EA7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4FCCC62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7DDB46A5"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60321EC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7DD3956D"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22DDFC4A"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794D96E8"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Yin</w:t>
            </w:r>
            <w:r>
              <w:rPr>
                <w:rFonts w:ascii="Calibri" w:eastAsia="Times New Roman" w:hAnsi="Calibri" w:cs="Calibri"/>
                <w:color w:val="000000"/>
              </w:rPr>
              <w:t xml:space="preserve">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color w:val="000000"/>
              </w:rP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{"citationID":"a4vh8s3h32","properties":{"formattedCitation":"\\super 89\\nosupersub{}","plainCitation":"89","noteIndex":0},"citationItems":[{"id":676,"uris":["http://zotero.org/users/local/HJepGCSn/items/3UWUPB55"],"itemData":{"id":676,"type":"paper-conference","abstract":"Membership Inference Attack (MIA) in deep learning is a common form of privacy attack which aims to infer whether a data sample is in a target classifier's training dataset or not. Previous studies of MIA typically tackle either a black-box or a white-box adversary model, assuming an attacker not knowing (or knowing) the structure and parameters of the target classifier while having access to the confidence vector of the query output. With the popularity of privacy protection methods such as differential privacy, it is increasingly easier for an attacker to obtain the defense method adopted by the target classifier, which poses extra challenge to privacy protection. In this paper, we name such attacker a crystal-box adversary. We present definitions for utility and privacy of target classifier, and formulate the design goal of the defense method as an optimization problem. We also conduct theoretical analysis on the respective forms of the optimization for three adversary models, namely black-box, white-box, and crystal-box, and prove that the optimization problem is NP-hard. Thereby we solve a surrogate problem and propose three defense methods, which, if used together, can make trade-off between utility and privacy. A notable advantage of our approach is that it can be used to resist attacks from three adversary models, namely black-box, white-box, and crystal-box, simultaneously. Evaluation results show effectiveness of our proposed approach for defending privacy against MIA and better performance compared to previous defense methods.","collection-title":"KDD '21","container-title":"Proceedings of the 27th ACM SIGKDD Conference on Knowledge Discovery &amp; Data Mining","DOI":"10.1145/3447548.3467444","event-place":"New York, NY, USA","ISBN":"978-1-4503-8332-5","page":"2026–2036","publisher":"Association for Computing Machinery","publisher-place":"New York, NY, USA","source":"ACM Digital Library","title":"Defending Privacy Against More Knowledgeable Membership Inference Attackers","URL":"https://doi.org/10.1145/3447548.3467444","author":[{"family":"Yin","given":"Yu"},{"family":"Chen","given":"Ke"},{"family":"Shou","given":"Lidan"},{"family":"Chen","given":"Gang"}],"accessed":{"date-parts":[["2022",9,26]]},"issued":{"date-parts":[["2021",8,14]]}}}],"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89</w:t>
            </w:r>
            <w:r>
              <w:rPr>
                <w:rFonts w:ascii="Calibri" w:eastAsia="Times New Roman" w:hAnsi="Calibri" w:cs="Calibri"/>
                <w:color w:val="000000"/>
              </w:rPr>
              <w:fldChar w:fldCharType="end"/>
            </w:r>
          </w:p>
        </w:tc>
        <w:tc>
          <w:tcPr>
            <w:tcW w:w="234" w:type="dxa"/>
          </w:tcPr>
          <w:p w14:paraId="30A32EE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7F4C229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Amazon</w:t>
            </w:r>
          </w:p>
        </w:tc>
        <w:tc>
          <w:tcPr>
            <w:tcW w:w="2702" w:type="dxa"/>
          </w:tcPr>
          <w:p w14:paraId="26D9168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w:t>
            </w:r>
          </w:p>
        </w:tc>
        <w:tc>
          <w:tcPr>
            <w:tcW w:w="1808" w:type="dxa"/>
          </w:tcPr>
          <w:p w14:paraId="7141770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778046C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0F27DDE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0778441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2BD87B5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2B00D522"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9FD3DFC"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633FD512"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43807875"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39247A2D"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Choquette</w:t>
            </w:r>
            <w:proofErr w:type="spellEnd"/>
            <w:r w:rsidRPr="002407A3">
              <w:rPr>
                <w:rFonts w:ascii="Calibri" w:eastAsia="Times New Roman" w:hAnsi="Calibri" w:cs="Calibri"/>
                <w:color w:val="000000"/>
              </w:rPr>
              <w:t>-Choo</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1</w:t>
            </w:r>
            <w:r w:rsidRPr="00433D95">
              <w:t>)</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{"citationID":"auiofaholf","properties":{"formattedCitation":"\\super 90\\nosupersub{}","plainCitation":"90","noteIndex":0},"citationItems":[{"id":502,"uris":["http://zotero.org/users/local/HJepGCSn/items/WPUTTIHI"],"itemData":{"id":502,"type":"paper-conference","abstract":"Membership inference is one of the simplest privacy threats faced by machine learning models that are trained on private sensitive data. In this attack, an adversary infers whether a particular point was used to train the model, or not, by observing the model’s predictions. Whereas current attack methods all require access to the model’s predicted confidence score, we introduce a label-only attack that instead evaluates the robustness of the model’s predicted (hard) labels under perturbations of the input, to infer membership. Our label-only attack is not only as-effective as attacks requiring access to confidence scores, it also demonstrates that a class of defenses against membership inference, which we call “confidence masking” because they obfuscate the confidence scores to thwart attacks, are insufficient to prevent the leakage of private information. Our experiments show that training with differential privacy or strong L2 regularization are the only current defenses that meaningfully decrease leakage of private information, even for points that are outliers of the training distribution.","container-title":"Proceedings of the 38th International Conference on Machine Learning","event-title":"International Conference on Machine Learning","language":"en","note":"ISSN: 2640-3498","page":"1964-1974","publisher":"PMLR","source":"proceedings.mlr.press","title":"Label-Only Membership Inference Attacks","URL":"https://proceedings.mlr.press/v139/choquette-choo21a.html","author":[{"family":"Choquette-Choo","given":"Christopher A."},{"family":"Tramer","given":"Florian"},{"family":"Carlini","given":"Nicholas"},{"family":"Papernot","given":"Nicolas"}],"accessed":{"date-parts":[["2022",8,4]]},"issued":{"date-parts":[["2021",7,1]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90</w:t>
            </w:r>
            <w:r>
              <w:rPr>
                <w:rFonts w:ascii="Calibri" w:eastAsia="Times New Roman" w:hAnsi="Calibri" w:cs="Calibri"/>
                <w:i/>
                <w:iCs/>
                <w:color w:val="000000"/>
              </w:rPr>
              <w:fldChar w:fldCharType="end"/>
            </w:r>
          </w:p>
        </w:tc>
        <w:tc>
          <w:tcPr>
            <w:tcW w:w="234" w:type="dxa"/>
          </w:tcPr>
          <w:p w14:paraId="476FDB4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293BFED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Texas-100; Purchase-100; Location; Adult</w:t>
            </w:r>
          </w:p>
        </w:tc>
        <w:tc>
          <w:tcPr>
            <w:tcW w:w="2702" w:type="dxa"/>
          </w:tcPr>
          <w:p w14:paraId="7DAC8C5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5F8FF62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30E4658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4517E0E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401CF21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318017DA"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1A1FC23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4F6A7E6A"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6679DCE4"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3299F313"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Shejwalkar</w:t>
            </w:r>
            <w:proofErr w:type="spellEnd"/>
            <w:r>
              <w:rPr>
                <w:rFonts w:ascii="Calibri" w:eastAsia="Times New Roman" w:hAnsi="Calibri" w:cs="Calibri"/>
                <w:color w:val="000000"/>
              </w:rPr>
              <w:t xml:space="preserve"> &amp; </w:t>
            </w:r>
            <w:r w:rsidRPr="002407A3">
              <w:rPr>
                <w:rFonts w:ascii="Calibri" w:eastAsia="Times New Roman" w:hAnsi="Calibri" w:cs="Calibri"/>
                <w:color w:val="000000"/>
              </w:rPr>
              <w:t xml:space="preserve"> </w:t>
            </w:r>
            <w:proofErr w:type="spellStart"/>
            <w:r w:rsidRPr="002407A3">
              <w:rPr>
                <w:rFonts w:ascii="Calibri" w:eastAsia="Times New Roman" w:hAnsi="Calibri" w:cs="Calibri"/>
                <w:color w:val="000000"/>
              </w:rPr>
              <w:t>Houmansadr</w:t>
            </w:r>
            <w:proofErr w:type="spellEnd"/>
            <w:r>
              <w:rPr>
                <w:rFonts w:ascii="Calibri" w:eastAsia="Times New Roman" w:hAnsi="Calibri" w:cs="Calibri"/>
                <w:color w:val="000000"/>
              </w:rPr>
              <w:t xml:space="preserve"> </w:t>
            </w:r>
            <w:r w:rsidRPr="00433D95">
              <w:t>(202</w:t>
            </w:r>
            <w:r>
              <w:t>1</w:t>
            </w:r>
            <w:r w:rsidRPr="00433D95">
              <w:t>)</w:t>
            </w:r>
            <w: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{"citationID":"a1jksqt802r","properties":{"formattedCitation":"\\super 91\\nosupersub{}","plainCitation":"91","noteIndex":0},"citationItems":[{"id":416,"uris":["http://zotero.org/users/local/HJepGCSn/items/2WT2MIRQ"],"itemData":{"id":416,"type":"paper-conference","abstract":"Large capacity machine learning (ML) models are prone to membership inference attacks (MIAs), which aim to infer whether the target sample is a member of the target model's training dataset. The serious privacy concerns due to the membership inference have motivated multiple defenses against MIAs, e.g., differential privacy and adversarial regularization. Unfortunately, these defenses produce ML models with unacceptably low classification performances. Our work proposes a new defense, called distillation for membership privacy (DMP), against MIAs that preserves the utility of the resulting models significantly better than prior defenses. DMP leverages knowledge distillation to train ML models with membership privacy. We provide a novel criterion to tune the data used for knowledge transfer in order to amplify the membership privacy of DMP. Our extensive evaluation shows that DMP provides significantly better tradeoffs between membership privacy and classification accuracies compared to state-of-the-art MIA defenses. For instance, DMP achieves similar to 100% accuracy improvement over adversarial regularization for DenseNet trained on CIFAR100, for similar membership privacy (measured using MIA risk): when the MIA risk is 53.7%, adversarially regularized DenseNet is 33.6% accurate, while DMPtrained DenseNet is 65.3% accurate. We have released our code at github.com/vrtl shj wlkr/AAAI21- MIA-Defense.","container-title":"Thirty-Fifth Aaai Conference on Artificial Intelligence, Thirty-Third Conference on Innovative Applications of Artificial Intelligence and the Eleventh Symposium on Educational Advances in Artificial Intelligence","event-place":"Palo Alto","ISBN":"978-1-57735-866-4","language":"English","note":"ISSN: 2159-5399\nWOS:000681269801025","page":"9549-9557","publisher":"Assoc Advancement Artificial Intelligence","publisher-place":"Palo Alto","source":"Web of Science Nextgen","title":"Membership Privacy for Machine Learning Models Through Knowledge Transfer","URL":"http://www.webofscience.com/wos/woscc/full-record/WOS:000681269801025","volume":"35","author":[{"family":"Shejwalkar","given":"Virat"},{"family":"Houmansadr","given":"Amir"}],"accessed":{"date-parts":[["2022",8,4]]},"issued":{"date-parts":[["2021"]]}}}],"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91</w:t>
            </w:r>
            <w:r>
              <w:rPr>
                <w:rFonts w:ascii="Calibri" w:eastAsia="Times New Roman" w:hAnsi="Calibri" w:cs="Calibri"/>
                <w:color w:val="000000"/>
              </w:rPr>
              <w:fldChar w:fldCharType="end"/>
            </w:r>
          </w:p>
        </w:tc>
        <w:tc>
          <w:tcPr>
            <w:tcW w:w="234" w:type="dxa"/>
          </w:tcPr>
          <w:p w14:paraId="570F002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7586F49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Texas-100; Purchase-100</w:t>
            </w:r>
          </w:p>
          <w:p w14:paraId="55617BA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702" w:type="dxa"/>
          </w:tcPr>
          <w:p w14:paraId="17D17DD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5AD4DE6B"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336595C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tc>
        <w:tc>
          <w:tcPr>
            <w:tcW w:w="233" w:type="dxa"/>
          </w:tcPr>
          <w:p w14:paraId="5B2EA94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28213AC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1DD79A7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734C877C"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59F6A73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rsidRPr="00443DC9" w14:paraId="2CB01F1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val="restart"/>
            <w:tcBorders>
              <w:top w:val="single" w:sz="24" w:space="0" w:color="auto"/>
            </w:tcBorders>
            <w:shd w:val="clear" w:color="auto" w:fill="FFFFFF" w:themeFill="background1"/>
          </w:tcPr>
          <w:p w14:paraId="6C1C16F4" w14:textId="77777777" w:rsidR="00375D17" w:rsidRPr="00443DC9" w:rsidRDefault="00375D17" w:rsidP="00530265">
            <w:pPr>
              <w:rPr>
                <w:b w:val="0"/>
                <w:bCs w:val="0"/>
                <w:sz w:val="24"/>
                <w:szCs w:val="24"/>
              </w:rPr>
            </w:pPr>
          </w:p>
          <w:p w14:paraId="0CA97FB6" w14:textId="77777777" w:rsidR="00375D17" w:rsidRPr="00443DC9" w:rsidRDefault="00375D17" w:rsidP="00530265">
            <w:pPr>
              <w:rPr>
                <w:b w:val="0"/>
                <w:bCs w:val="0"/>
                <w:sz w:val="24"/>
                <w:szCs w:val="24"/>
              </w:rPr>
            </w:pPr>
          </w:p>
          <w:p w14:paraId="5D952056" w14:textId="77777777" w:rsidR="00375D17" w:rsidRPr="00443DC9" w:rsidRDefault="00375D17" w:rsidP="00530265">
            <w:pPr>
              <w:rPr>
                <w:sz w:val="24"/>
                <w:szCs w:val="24"/>
              </w:rPr>
            </w:pPr>
            <w:r w:rsidRPr="00443DC9">
              <w:rPr>
                <w:sz w:val="24"/>
                <w:szCs w:val="24"/>
              </w:rPr>
              <w:t>Authors (Year)</w:t>
            </w:r>
          </w:p>
        </w:tc>
        <w:tc>
          <w:tcPr>
            <w:tcW w:w="234" w:type="dxa"/>
            <w:tcBorders>
              <w:top w:val="single" w:sz="24" w:space="0" w:color="auto"/>
            </w:tcBorders>
            <w:shd w:val="clear" w:color="auto" w:fill="FFFFFF" w:themeFill="background1"/>
          </w:tcPr>
          <w:p w14:paraId="3D067E6D"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sz w:val="24"/>
                <w:szCs w:val="24"/>
              </w:rPr>
            </w:pPr>
          </w:p>
        </w:tc>
        <w:tc>
          <w:tcPr>
            <w:tcW w:w="8050" w:type="dxa"/>
            <w:gridSpan w:val="4"/>
            <w:tcBorders>
              <w:top w:val="single" w:sz="24" w:space="0" w:color="auto"/>
            </w:tcBorders>
            <w:shd w:val="clear" w:color="auto" w:fill="FFFFFF" w:themeFill="background1"/>
          </w:tcPr>
          <w:p w14:paraId="3D2CE6C0"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Setting</w:t>
            </w:r>
          </w:p>
        </w:tc>
        <w:tc>
          <w:tcPr>
            <w:tcW w:w="233" w:type="dxa"/>
            <w:tcBorders>
              <w:top w:val="single" w:sz="24" w:space="0" w:color="auto"/>
              <w:bottom w:val="nil"/>
            </w:tcBorders>
            <w:shd w:val="clear" w:color="auto" w:fill="FFFFFF" w:themeFill="background1"/>
          </w:tcPr>
          <w:p w14:paraId="7E9D34B4"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p>
        </w:tc>
        <w:tc>
          <w:tcPr>
            <w:tcW w:w="4083" w:type="dxa"/>
            <w:gridSpan w:val="4"/>
            <w:tcBorders>
              <w:top w:val="single" w:sz="24" w:space="0" w:color="auto"/>
              <w:bottom w:val="single" w:sz="12" w:space="0" w:color="auto"/>
            </w:tcBorders>
            <w:shd w:val="clear" w:color="auto" w:fill="FFFFFF" w:themeFill="background1"/>
            <w:vAlign w:val="center"/>
          </w:tcPr>
          <w:p w14:paraId="6FFBDF3D"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Performance</w:t>
            </w:r>
          </w:p>
        </w:tc>
      </w:tr>
      <w:tr w:rsidR="00375D17" w:rsidRPr="00443DC9" w14:paraId="13324E2C" w14:textId="77777777" w:rsidTr="00530265">
        <w:tc>
          <w:tcPr>
            <w:cnfStyle w:val="001000000000" w:firstRow="0" w:lastRow="0" w:firstColumn="1" w:lastColumn="0" w:oddVBand="0" w:evenVBand="0" w:oddHBand="0" w:evenHBand="0" w:firstRowFirstColumn="0" w:firstRowLastColumn="0" w:lastRowFirstColumn="0" w:lastRowLastColumn="0"/>
            <w:tcW w:w="2329" w:type="dxa"/>
            <w:vMerge/>
            <w:tcBorders>
              <w:bottom w:val="single" w:sz="24" w:space="0" w:color="auto"/>
            </w:tcBorders>
          </w:tcPr>
          <w:p w14:paraId="7BA6BAC1" w14:textId="77777777" w:rsidR="00375D17" w:rsidRPr="00443DC9" w:rsidRDefault="00375D17" w:rsidP="00530265">
            <w:pPr>
              <w:rPr>
                <w:b w:val="0"/>
                <w:bCs w:val="0"/>
                <w:sz w:val="24"/>
                <w:szCs w:val="24"/>
              </w:rPr>
            </w:pPr>
          </w:p>
        </w:tc>
        <w:tc>
          <w:tcPr>
            <w:tcW w:w="234" w:type="dxa"/>
            <w:tcBorders>
              <w:bottom w:val="single" w:sz="24" w:space="0" w:color="auto"/>
            </w:tcBorders>
            <w:shd w:val="clear" w:color="auto" w:fill="FFFFFF" w:themeFill="background1"/>
          </w:tcPr>
          <w:p w14:paraId="46577DCB"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p>
        </w:tc>
        <w:tc>
          <w:tcPr>
            <w:tcW w:w="2133" w:type="dxa"/>
            <w:tcBorders>
              <w:top w:val="single" w:sz="12" w:space="0" w:color="auto"/>
              <w:bottom w:val="single" w:sz="24" w:space="0" w:color="auto"/>
            </w:tcBorders>
            <w:shd w:val="clear" w:color="auto" w:fill="FFFFFF" w:themeFill="background1"/>
            <w:vAlign w:val="bottom"/>
          </w:tcPr>
          <w:p w14:paraId="25819C01"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Training Dataset(s)</w:t>
            </w:r>
          </w:p>
        </w:tc>
        <w:tc>
          <w:tcPr>
            <w:tcW w:w="2702" w:type="dxa"/>
            <w:tcBorders>
              <w:top w:val="single" w:sz="12" w:space="0" w:color="auto"/>
              <w:bottom w:val="single" w:sz="24" w:space="0" w:color="auto"/>
            </w:tcBorders>
            <w:shd w:val="clear" w:color="auto" w:fill="FFFFFF" w:themeFill="background1"/>
            <w:vAlign w:val="bottom"/>
          </w:tcPr>
          <w:p w14:paraId="784AA23C"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Target Model Architecture(s)</w:t>
            </w:r>
          </w:p>
        </w:tc>
        <w:tc>
          <w:tcPr>
            <w:tcW w:w="1808" w:type="dxa"/>
            <w:tcBorders>
              <w:top w:val="single" w:sz="12" w:space="0" w:color="auto"/>
              <w:bottom w:val="single" w:sz="24" w:space="0" w:color="auto"/>
            </w:tcBorders>
            <w:shd w:val="clear" w:color="auto" w:fill="FFFFFF" w:themeFill="background1"/>
            <w:vAlign w:val="bottom"/>
          </w:tcPr>
          <w:p w14:paraId="623EC9C3"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 xml:space="preserve">Target Model Task </w:t>
            </w:r>
          </w:p>
        </w:tc>
        <w:tc>
          <w:tcPr>
            <w:tcW w:w="1407" w:type="dxa"/>
            <w:tcBorders>
              <w:top w:val="single" w:sz="12" w:space="0" w:color="auto"/>
              <w:bottom w:val="single" w:sz="24" w:space="0" w:color="auto"/>
            </w:tcBorders>
            <w:shd w:val="clear" w:color="auto" w:fill="FFFFFF" w:themeFill="background1"/>
            <w:vAlign w:val="bottom"/>
          </w:tcPr>
          <w:p w14:paraId="1DCF2252"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Knowledge</w:t>
            </w:r>
          </w:p>
        </w:tc>
        <w:tc>
          <w:tcPr>
            <w:tcW w:w="233" w:type="dxa"/>
            <w:tcBorders>
              <w:top w:val="nil"/>
              <w:bottom w:val="single" w:sz="24" w:space="0" w:color="auto"/>
            </w:tcBorders>
            <w:shd w:val="clear" w:color="auto" w:fill="FFFFFF" w:themeFill="background1"/>
            <w:vAlign w:val="bottom"/>
          </w:tcPr>
          <w:p w14:paraId="2E646D85"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b/>
                <w:bCs/>
                <w:sz w:val="24"/>
                <w:szCs w:val="24"/>
              </w:rPr>
            </w:pPr>
          </w:p>
        </w:tc>
        <w:tc>
          <w:tcPr>
            <w:tcW w:w="1794" w:type="dxa"/>
            <w:tcBorders>
              <w:top w:val="single" w:sz="12" w:space="0" w:color="auto"/>
              <w:bottom w:val="single" w:sz="24" w:space="0" w:color="auto"/>
              <w:right w:val="single" w:sz="4" w:space="0" w:color="auto"/>
            </w:tcBorders>
            <w:shd w:val="clear" w:color="auto" w:fill="FFFFFF" w:themeFill="background1"/>
            <w:vAlign w:val="center"/>
          </w:tcPr>
          <w:p w14:paraId="5DCA56F7"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Performance Metric(s)</w:t>
            </w:r>
          </w:p>
        </w:tc>
        <w:tc>
          <w:tcPr>
            <w:tcW w:w="781" w:type="dxa"/>
            <w:tcBorders>
              <w:left w:val="single" w:sz="4" w:space="0" w:color="auto"/>
              <w:bottom w:val="single" w:sz="24" w:space="0" w:color="auto"/>
              <w:right w:val="single" w:sz="4" w:space="0" w:color="auto"/>
            </w:tcBorders>
            <w:shd w:val="clear" w:color="auto" w:fill="FFFFFF" w:themeFill="background1"/>
            <w:vAlign w:val="center"/>
          </w:tcPr>
          <w:p w14:paraId="36771ECB"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&gt;50%</w:t>
            </w:r>
          </w:p>
        </w:tc>
        <w:tc>
          <w:tcPr>
            <w:tcW w:w="754" w:type="dxa"/>
            <w:tcBorders>
              <w:left w:val="single" w:sz="4" w:space="0" w:color="auto"/>
              <w:bottom w:val="single" w:sz="24" w:space="0" w:color="auto"/>
              <w:right w:val="single" w:sz="4" w:space="0" w:color="auto"/>
            </w:tcBorders>
            <w:shd w:val="clear" w:color="auto" w:fill="FFFFFF" w:themeFill="background1"/>
            <w:vAlign w:val="center"/>
          </w:tcPr>
          <w:p w14:paraId="12E51C27"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rFonts w:cstheme="minorHAnsi"/>
                <w:b/>
                <w:bCs/>
                <w:sz w:val="24"/>
                <w:szCs w:val="24"/>
              </w:rPr>
              <w:t>≥</w:t>
            </w:r>
            <w:r w:rsidRPr="00443DC9">
              <w:rPr>
                <w:b/>
                <w:bCs/>
                <w:sz w:val="24"/>
                <w:szCs w:val="24"/>
              </w:rPr>
              <w:t>75%</w:t>
            </w:r>
          </w:p>
        </w:tc>
        <w:tc>
          <w:tcPr>
            <w:tcW w:w="754" w:type="dxa"/>
            <w:tcBorders>
              <w:left w:val="single" w:sz="4" w:space="0" w:color="auto"/>
              <w:bottom w:val="single" w:sz="24" w:space="0" w:color="auto"/>
            </w:tcBorders>
            <w:shd w:val="clear" w:color="auto" w:fill="FFFFFF" w:themeFill="background1"/>
            <w:vAlign w:val="center"/>
          </w:tcPr>
          <w:p w14:paraId="7A75C5CD"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rFonts w:cstheme="minorHAnsi"/>
                <w:b/>
                <w:bCs/>
                <w:sz w:val="24"/>
                <w:szCs w:val="24"/>
              </w:rPr>
              <w:t>≥90</w:t>
            </w:r>
            <w:r w:rsidRPr="00443DC9">
              <w:rPr>
                <w:b/>
                <w:bCs/>
                <w:sz w:val="24"/>
                <w:szCs w:val="24"/>
              </w:rPr>
              <w:t>%</w:t>
            </w:r>
          </w:p>
        </w:tc>
      </w:tr>
      <w:tr w:rsidR="00375D17" w14:paraId="1E8BFBFD"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0BEDBBD7" w14:textId="77777777" w:rsidR="00375D17" w:rsidRPr="002407A3" w:rsidRDefault="00375D17" w:rsidP="00530265">
            <w:pPr>
              <w:rPr>
                <w:rFonts w:ascii="Calibri" w:eastAsia="Times New Roman" w:hAnsi="Calibri" w:cs="Calibri"/>
                <w:color w:val="000000"/>
              </w:rPr>
            </w:pPr>
            <w:proofErr w:type="spellStart"/>
            <w:r w:rsidRPr="002407A3">
              <w:rPr>
                <w:rFonts w:ascii="Calibri" w:eastAsia="Times New Roman" w:hAnsi="Calibri" w:cs="Calibri"/>
                <w:color w:val="000000"/>
              </w:rPr>
              <w:t>Duddu</w:t>
            </w:r>
            <w:proofErr w:type="spellEnd"/>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{"citationID":"hja3Fmav","properties":{"formattedCitation":"\\super 92\\nosupersub{}","plainCitation":"92","noteIndex":0},"citationItems":[{"id":622,"uris":["http://zotero.org/users/local/HJepGCSn/items/2EPS7MJM"],"itemData":{"id":622,"type":"paper-conference","abstract":"Embedded systems demand on-device processing of data using Neural Networks (NNs) while conforming to the memory, power and computation constraints, leading to an efficiency and accuracy tradeoff. To bring NNs to edge devices, several optimizations such as model compression through pruning, quantization, and off-the-shelf architectures with efficient design have been extensively adopted. These algorithms when deployed to real world sensitive applications, requires to resist inference attacks to protect privacy of users training data. However, resistance against inference attacks is not accounted for designing NN models for IoT. In this work, we analyse the three-dimensional privacy-accuracy-efficiency tradeoff in NNs for IoT devices and propose Gecko training methodology where we explicitly add resistance to private inferences as a design objective. We optimize the inference-time memory, computation, and power constraints of embedded devices as a criterion for designing NN architecture while also preserving privacy. We choose quantization as design choice for highly efficient and private models. This choice is driven by the observation that compressed models leak more information compared to baseline models while off-the-shelf efficient architectures indicate poor efficiency and privacy tradeoff. We show that models trained using Gecko methodology are comparable to prior defences against black-box membership attacks in terms of accuracy and privacy while providing efficiency.","container-title":"Proceedings of the 37th ACM/SIGAPP Symposium on Applied Computing","DOI":"10.1145/3477314.3507128","note":"arXiv:2010.00912 [cs]","page":"520-529","source":"arXiv.org","title":"GECKO: Reconciling Privacy, Accuracy and Efficiency in Embedded Deep Learning","title-short":"GECKO","URL":"http://arxiv.org/abs/2010.00912","author":[{"family":"Duddu","given":"Vasisht"},{"family":"Boutet","given":"Antoine"},{"family":"Shejwalkar","given":"Virat"}],"accessed":{"date-parts":[["2022",8,4]]},"issued":{"date-parts":[["2022",4,25]]}}}],"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92</w:t>
            </w:r>
            <w:r>
              <w:rPr>
                <w:rFonts w:ascii="Calibri" w:eastAsia="Times New Roman" w:hAnsi="Calibri" w:cs="Calibri"/>
                <w:i/>
                <w:iCs/>
                <w:color w:val="000000"/>
              </w:rPr>
              <w:fldChar w:fldCharType="end"/>
            </w:r>
          </w:p>
        </w:tc>
        <w:tc>
          <w:tcPr>
            <w:tcW w:w="234" w:type="dxa"/>
          </w:tcPr>
          <w:p w14:paraId="3A4BD00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09780A0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Fashion-MNIST; CIFAR-10; Purchase 100; Location</w:t>
            </w:r>
          </w:p>
        </w:tc>
        <w:tc>
          <w:tcPr>
            <w:tcW w:w="2702" w:type="dxa"/>
          </w:tcPr>
          <w:p w14:paraId="5D25DA4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 Fully Connected Neural Network; Network in Network</w:t>
            </w:r>
          </w:p>
        </w:tc>
        <w:tc>
          <w:tcPr>
            <w:tcW w:w="1808" w:type="dxa"/>
          </w:tcPr>
          <w:p w14:paraId="1033BBE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2BBD165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100DE32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7FCF9B0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p w14:paraId="5A7AD87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p w14:paraId="35CF62B7" w14:textId="77777777" w:rsidR="00375D17" w:rsidRPr="00E114F9" w:rsidRDefault="00375D17" w:rsidP="00530265">
            <w:pPr>
              <w:tabs>
                <w:tab w:val="left" w:pos="1240"/>
              </w:tabs>
              <w:cnfStyle w:val="000000100000" w:firstRow="0" w:lastRow="0" w:firstColumn="0" w:lastColumn="0" w:oddVBand="0" w:evenVBand="0" w:oddHBand="1" w:evenHBand="0" w:firstRowFirstColumn="0" w:firstRowLastColumn="0" w:lastRowFirstColumn="0" w:lastRowLastColumn="0"/>
            </w:pPr>
          </w:p>
        </w:tc>
        <w:tc>
          <w:tcPr>
            <w:tcW w:w="781" w:type="dxa"/>
            <w:tcBorders>
              <w:left w:val="single" w:sz="4" w:space="0" w:color="auto"/>
              <w:right w:val="single" w:sz="4" w:space="0" w:color="auto"/>
            </w:tcBorders>
            <w:vAlign w:val="center"/>
          </w:tcPr>
          <w:p w14:paraId="700AC844"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68B1C4F9"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06DE706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27F37AC0"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7B4ECC15"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Watson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{"citationID":"a1lkmbpejs2","properties":{"formattedCitation":"\\super 93\\nosupersub{}","plainCitation":"93","noteIndex":0},"citationItems":[{"id":717,"uris":["http://zotero.org/users/local/HJepGCSn/items/CCTKK6LN"],"itemData":{"id":717,"type":"article","abstract":"The vulnerability of machine learning models to membership inference attacks has received much attention in recent years. However, existing attacks mostly remain impractical due to having high false positive rates, where non-member samples are often erroneously predicted as members. This type of error makes the predicted membership signal unreliable, especially since most samples are non-members in real world applications. In this work, we argue that membership inference attacks can benefit drastically from \\emph{difficulty calibration}, where an attack's predicted membership score is adjusted to the difficulty of correctly classifying the target sample. We show that difficulty calibration can significantly reduce the false positive rate of a variety of existing attacks without a loss in accuracy.","note":"arXiv:2111.08440 [cs]","number":"arXiv:2111.08440","publisher":"arXiv","source":"arXiv.org","title":"On the Importance of Difficulty Calibration in Membership Inference Attacks","URL":"http://arxiv.org/abs/2111.08440","author":[{"family":"Watson","given":"Lauren"},{"family":"Guo","given":"Chuan"},{"family":"Cormode","given":"Graham"},{"family":"Sablayrolles","given":"Alex"}],"accessed":{"date-parts":[["2022",9,26]]},"issued":{"date-parts":[["2022",4,11]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93</w:t>
            </w:r>
            <w:r>
              <w:rPr>
                <w:rFonts w:ascii="Calibri" w:eastAsia="Times New Roman" w:hAnsi="Calibri" w:cs="Calibri"/>
                <w:i/>
                <w:iCs/>
                <w:color w:val="000000"/>
              </w:rPr>
              <w:fldChar w:fldCharType="end"/>
            </w:r>
          </w:p>
        </w:tc>
        <w:tc>
          <w:tcPr>
            <w:tcW w:w="234" w:type="dxa"/>
          </w:tcPr>
          <w:p w14:paraId="18F8442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075B763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German Credit; Hepatitis; Adult</w:t>
            </w:r>
          </w:p>
        </w:tc>
        <w:tc>
          <w:tcPr>
            <w:tcW w:w="2702" w:type="dxa"/>
          </w:tcPr>
          <w:p w14:paraId="5AD2107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Multilayer Perceptron</w:t>
            </w:r>
          </w:p>
        </w:tc>
        <w:tc>
          <w:tcPr>
            <w:tcW w:w="1808" w:type="dxa"/>
          </w:tcPr>
          <w:p w14:paraId="47CE76D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6B1757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tc>
        <w:tc>
          <w:tcPr>
            <w:tcW w:w="233" w:type="dxa"/>
          </w:tcPr>
          <w:p w14:paraId="70F31C0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398750A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Positive Predictive Value; AUC</w:t>
            </w:r>
          </w:p>
        </w:tc>
        <w:tc>
          <w:tcPr>
            <w:tcW w:w="781" w:type="dxa"/>
            <w:tcBorders>
              <w:left w:val="single" w:sz="4" w:space="0" w:color="auto"/>
              <w:right w:val="single" w:sz="4" w:space="0" w:color="auto"/>
            </w:tcBorders>
            <w:vAlign w:val="center"/>
          </w:tcPr>
          <w:p w14:paraId="172DBFF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129D0B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4C3853CB"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10F0CFD8"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42B8CFB9"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Chen</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{"citationID":"V35Ryt0e","properties":{"formattedCitation":"\\super 94\\nosupersub{}","plainCitation":"94","noteIndex":0},"citationItems":[{"id":454,"uris":["http://zotero.org/users/local/HJepGCSn/items/KTMLIPPG"],"itemData":{"id":454,"type":"article-journal","abstract":"The effectiveness of state-of-the-art deep learning (DL) models has empowered the development of industrial Internet of things (IIoT). Recently, considering resource-constrained and privacy-required IIoT devices, collaborative inference has been proposed, which splits DL models and deploys them in IIoT devices and an edge server separately. However, in this article, we argue that there are still severe privacy vulnerabilities in collaborative inference systems. And we devise the first membership inference attack (MIA) against collaborative inference, to infer whether a particular data sample is used for training the model of IIoT systems. Existing MIAs either assume full access to the systems’ APIs or availability of the target model's parameters, which is not applicable in realistic IIoT environments. In contrast to prior works, we propose transfer-inherit shadow learning and thus relax these key assumptions. We evaluate our attack on different datasets and various settings, and the results show it has high effectiveness.","container-title":"IEEE Transactions on Industrial Informatics","DOI":"10.1109/TII.2020.3046648","ISSN":"1941-0050","issue":"1","note":"event-title: IEEE Transactions on Industrial Informatics","page":"477-487","source":"IEEE Xplore","title":"Practical Membership Inference Attack Against Collaborative Inference in Industrial IoT","volume":"18","author":[{"family":"Chen","given":"Hanxiao"},{"family":"Li","given":"Hongwei"},{"family":"Dong","given":"Guishan"},{"family":"Hao","given":"Meng"},{"family":"Xu","given":"Guowen"},{"family":"Huang","given":"Xiaoming"},{"family":"Liu","given":"Zhe"}],"issued":{"date-parts":[["2022",1]]}},"label":"page"}],"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94</w:t>
            </w:r>
            <w:r>
              <w:rPr>
                <w:rFonts w:ascii="Calibri" w:eastAsia="Times New Roman" w:hAnsi="Calibri" w:cs="Calibri"/>
                <w:i/>
                <w:iCs/>
                <w:color w:val="000000"/>
              </w:rPr>
              <w:fldChar w:fldCharType="end"/>
            </w:r>
          </w:p>
        </w:tc>
        <w:tc>
          <w:tcPr>
            <w:tcW w:w="234" w:type="dxa"/>
          </w:tcPr>
          <w:p w14:paraId="4705B9F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41BCC0D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MNIST; CIFAR-(10/100)</w:t>
            </w:r>
          </w:p>
        </w:tc>
        <w:tc>
          <w:tcPr>
            <w:tcW w:w="2702" w:type="dxa"/>
          </w:tcPr>
          <w:p w14:paraId="013F4FE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74E9093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2B12601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7AFD15B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5A36F2A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 Precision; Recall</w:t>
            </w:r>
          </w:p>
        </w:tc>
        <w:tc>
          <w:tcPr>
            <w:tcW w:w="781" w:type="dxa"/>
            <w:tcBorders>
              <w:left w:val="single" w:sz="4" w:space="0" w:color="auto"/>
              <w:right w:val="single" w:sz="4" w:space="0" w:color="auto"/>
            </w:tcBorders>
            <w:vAlign w:val="center"/>
          </w:tcPr>
          <w:p w14:paraId="0907131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6F73EB7C"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4D1DF29A"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0AF7E38C"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01625967"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Lu</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{"citationID":"a3qgs0skj4","properties":{"formattedCitation":"\\super 95\\nosupersub{}","plainCitation":"95","noteIndex":0},"citationItems":[{"id":387,"uris":["http://zotero.org/users/local/HJepGCSn/items/5KAS9HPG"],"itemData":{"id":387,"type":"article-journal","abstract":"Differential privacy (DP) has been applied in deep learning for preserving privacy of the underlying training sets. Existing DP practice falls into three categories—objective perturbation (injecting DP noise into the objective function), gradient perturbation (injecting DP noise into the process of gradient descent) and output perturbation (injecting DP noise into the trained neural networks, scaled by the global sensitivity of the trained model parameters). They suffer from three main problems. First, conditions on objective functions limit objective perturbation in general deep learning tasks. Second, gradient perturbation does not achieve a satisfactory privacy-utility trade-off due to over-injected noise in each epoch. Third, high utility of the output perturbation method is not guaranteed because of the loose upper bound on the global sensitivity of the trained model parameters as the noise scale parameter. To address these problems, we analyse a tighter upper bound on the global sensitivity of the model parameters. Under a black-box setting, based on this global sensitivity, to control the overall noise injection, we propose a novel output perturbation framework by injecting DP noise into a randomly sampled neuron (via the exponential mechanism) at the output layer of a baseline non-private neural network trained with a convexified loss function. We empirically compare the privacy-utility trade-off, measured by accuracy loss to baseline non-private models and the privacy leakage against black-box membership inference (MI) attacks, between our framework and the open-source differentially private stochastic gradient descent (DP-SGD) approaches on six commonly used real-world datasets. The experimental evaluations show that, when the baseline models have observable privacy leakage under MI attacks, our framework achieves a better privacy-utility trade-off than existing DP-SGD implementations, given an overall privacy budget $\\epsilon \\leq 1$ for a large number of queries.","container-title":"IEEE Transactions on Information Forensics and Security","DOI":"10.1109/TIFS.2022.3169911","ISSN":"1556-6021","note":"event-title: IEEE Transactions on Information Forensics and Security","page":"2151-2165","source":"IEEE Xplore","title":"A Differentially Private Framework for Deep Learning With Convexified Loss Functions","volume":"17","author":[{"family":"Lu","given":"Zhigang"},{"family":"Asghar","given":"Hassan Jameel"},{"family":"Kaafar","given":"Mohamed Ali"},{"family":"Webb","given":"Darren"},{"family":"Dickinson","given":"Peter"}],"issued":{"date-parts":[["2022"]]}}}],"schema":"https://github.com/citation-style-language/schema/raw/master/csl-citation.json"}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95</w:t>
            </w:r>
            <w:r>
              <w:rPr>
                <w:rFonts w:ascii="Calibri" w:eastAsia="Times New Roman" w:hAnsi="Calibri" w:cs="Calibri"/>
                <w:i/>
                <w:iCs/>
                <w:color w:val="000000"/>
              </w:rPr>
              <w:fldChar w:fldCharType="end"/>
            </w:r>
          </w:p>
        </w:tc>
        <w:tc>
          <w:tcPr>
            <w:tcW w:w="234" w:type="dxa"/>
          </w:tcPr>
          <w:p w14:paraId="350C864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3C88450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Texas-100; Adult; MNIST; Location; Purchase-(2/10/20/ 50/100); CIFAR-(10/100)</w:t>
            </w:r>
          </w:p>
        </w:tc>
        <w:tc>
          <w:tcPr>
            <w:tcW w:w="2702" w:type="dxa"/>
          </w:tcPr>
          <w:p w14:paraId="52CD372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Deep Neural Network</w:t>
            </w:r>
          </w:p>
        </w:tc>
        <w:tc>
          <w:tcPr>
            <w:tcW w:w="1808" w:type="dxa"/>
          </w:tcPr>
          <w:p w14:paraId="25CADE3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72BAC8A7"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02B09A1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4C1536A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“Priv-Leak”</w:t>
            </w:r>
          </w:p>
        </w:tc>
        <w:tc>
          <w:tcPr>
            <w:tcW w:w="781" w:type="dxa"/>
            <w:tcBorders>
              <w:left w:val="single" w:sz="4" w:space="0" w:color="auto"/>
              <w:right w:val="single" w:sz="4" w:space="0" w:color="auto"/>
            </w:tcBorders>
            <w:vAlign w:val="center"/>
          </w:tcPr>
          <w:p w14:paraId="64DEA8FE"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t>-</w:t>
            </w:r>
          </w:p>
        </w:tc>
        <w:tc>
          <w:tcPr>
            <w:tcW w:w="754" w:type="dxa"/>
            <w:tcBorders>
              <w:left w:val="single" w:sz="4" w:space="0" w:color="auto"/>
              <w:right w:val="single" w:sz="4" w:space="0" w:color="auto"/>
            </w:tcBorders>
            <w:vAlign w:val="center"/>
          </w:tcPr>
          <w:p w14:paraId="4D06009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t>-</w:t>
            </w:r>
          </w:p>
        </w:tc>
        <w:tc>
          <w:tcPr>
            <w:tcW w:w="754" w:type="dxa"/>
            <w:tcBorders>
              <w:left w:val="single" w:sz="4" w:space="0" w:color="auto"/>
            </w:tcBorders>
            <w:vAlign w:val="center"/>
          </w:tcPr>
          <w:p w14:paraId="7A50DB3E"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t>-</w:t>
            </w:r>
          </w:p>
        </w:tc>
      </w:tr>
      <w:tr w:rsidR="00375D17" w14:paraId="6563780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62E11573"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Zhang</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{"citationID":"a2irvsflmdv","properties":{"formattedCitation":"\\super 96\\nosupersub{}","plainCitation":"96","noteIndex":0},"citationItems":[{"id":313,"uris":["http://zotero.org/users/local/HJepGCSn/items/8WX8X34Z"],"itemData":{"id":313,"type":"article-journal","abstract":"Conventional membership inference attacks usually require a large number of queries of the target model when training shadow models, and this task becomes extremely difficult when the number of queries is limited. Aiming at the problem of insufficient training data for shadow models due to the limited number of queries, we propose a membership inference attack method based on generative adversarial networks (GAN). First, we use generative adversarial networks to augment the samples obtained by a small number of queries to expand the training data of the model; Secondly, we use the improved CNN to obtain shadow models that have a higher degree of fitting on different target model structures; Finally, we evaluate the accuracy of the proposed algorithm on XgBoost, Logistic, and neural network models using public datasets MNIST and CIFAR10 in a black-box setting, and the results show that our model has an average attack accuracy of 62% and 83%, respectively. It can be seen that, compared with the existing research methods, our model can obtain better attack effects under the condition of significantly reducing the number of queries, which shows the feasibility of our proposed method in membership inference attacks.","container-title":"IEEE Access","DOI":"10.1109/ACCESS.2022.3175824","ISSN":"2169-3536","note":"event-title: IEEE Access","page":"55459-55468","source":"IEEE Xplore","title":"Black-Box Based Limited Query Membership Inference Attack","volume":"10","author":[{"family":"Zhang","given":"Yu"},{"family":"Zhou","given":"Huaping"},{"family":"Wang","given":"Pengyan"},{"family":"Yang","given":"Gaoming"}],"issued":{"date-parts":[["2022"]]}}}],"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96</w:t>
            </w:r>
            <w:r>
              <w:rPr>
                <w:rFonts w:ascii="Calibri" w:eastAsia="Times New Roman" w:hAnsi="Calibri" w:cs="Calibri"/>
                <w:i/>
                <w:iCs/>
                <w:color w:val="000000"/>
              </w:rPr>
              <w:fldChar w:fldCharType="end"/>
            </w:r>
          </w:p>
        </w:tc>
        <w:tc>
          <w:tcPr>
            <w:tcW w:w="234" w:type="dxa"/>
          </w:tcPr>
          <w:p w14:paraId="7000C15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6805AA9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MNIST; CIFAR-10</w:t>
            </w:r>
          </w:p>
        </w:tc>
        <w:tc>
          <w:tcPr>
            <w:tcW w:w="2702" w:type="dxa"/>
          </w:tcPr>
          <w:p w14:paraId="3C6DBB5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 xml:space="preserve">Logistic regression; </w:t>
            </w:r>
            <w:proofErr w:type="spellStart"/>
            <w:r>
              <w:t>XGBoost</w:t>
            </w:r>
            <w:proofErr w:type="spellEnd"/>
            <w:r>
              <w:t>; Convolutional Neural Network</w:t>
            </w:r>
          </w:p>
        </w:tc>
        <w:tc>
          <w:tcPr>
            <w:tcW w:w="1808" w:type="dxa"/>
          </w:tcPr>
          <w:p w14:paraId="58B9E98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6F41AF5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45F0BD1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3F936B4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15878505"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B06DED2"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219ED524"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3781669E"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340190D8"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Ruiz de </w:t>
            </w:r>
            <w:proofErr w:type="spellStart"/>
            <w:r w:rsidRPr="002407A3">
              <w:rPr>
                <w:rFonts w:ascii="Calibri" w:eastAsia="Times New Roman" w:hAnsi="Calibri" w:cs="Calibri"/>
                <w:color w:val="000000"/>
              </w:rPr>
              <w:t>Arcaute</w:t>
            </w:r>
            <w:proofErr w:type="spellEnd"/>
            <w:r w:rsidRPr="002407A3">
              <w:rPr>
                <w:rFonts w:ascii="Calibri" w:eastAsia="Times New Roman" w:hAnsi="Calibri" w:cs="Calibri"/>
                <w:color w:val="000000"/>
              </w:rPr>
              <w:t xml:space="preserve">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{"citationID":"ars9t7cavf","properties":{"formattedCitation":"\\super 97\\nosupersub{}","plainCitation":"97","noteIndex":0},"citationItems":[{"id":592,"uris":["http://zotero.org/users/local/HJepGCSn/items/SSRIQ8PB"],"itemData":{"id":592,"type":"paper-conference","abstract":"In the last decade, machine learning has been widely adopted in many areas and the trend not only continues but accelerates. This has raised many issues ranging from ethics and security to privacy. In particular, it has been shown that in some settings an attacker can infer if a given element has been used to train a machine learning model. This is not acceptable in many applications that deal with sensitive data and thus designers need to take privacy into account when implementing machine learning based systems. In this paper, we study the impact of such membership inference attacks on traditional machine learning algorithms. Our goals are 1) to identify if there are some algorithms that are more vulnerable than others, and 2) if privacy can be guaranteed by selecting the algorithm parameters and if so at what cost on performance. Our results show that ensemble averaging models, especially Extra-Trees, are vulnerable to this attack. This information can be used by designers as an additional input to guide the machine learning algorithm selection process so that privacy is incorporated as a design goal from the beginning.","container-title":"2022 18th International Conference on the Design of Reliable Communication Networks (DRCN)","DOI":"10.1109/DRCN53993.2022.9758025","event-title":"2022 18th International Conference on the Design of Reliable Communication Networks (DRCN)","page":"1-4","source":"IEEE Xplore","title":"Assessing the Impact of Membership Inference Attacks on Classical Machine Learning Algorithms","author":[{"family":"Ruiz de Arcaute","given":"Gonzalo Martínez"},{"family":"Hernández","given":"José Alberto"},{"family":"Reviriego","given":"Pedro"}],"issued":{"date-parts":[["2022",3]]}}}],"schema":"https://github.com/citation-style-language/schema/raw/master/csl-citation.json"}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97</w:t>
            </w:r>
            <w:r>
              <w:rPr>
                <w:rFonts w:ascii="Calibri" w:eastAsia="Times New Roman" w:hAnsi="Calibri" w:cs="Calibri"/>
                <w:i/>
                <w:iCs/>
                <w:color w:val="000000"/>
              </w:rPr>
              <w:fldChar w:fldCharType="end"/>
            </w:r>
          </w:p>
        </w:tc>
        <w:tc>
          <w:tcPr>
            <w:tcW w:w="234" w:type="dxa"/>
          </w:tcPr>
          <w:p w14:paraId="3B1E8D8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1E29475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Adult; Breast Cancer; Car Evaluation; MNIST; Nursery; Titanic</w:t>
            </w:r>
          </w:p>
        </w:tc>
        <w:tc>
          <w:tcPr>
            <w:tcW w:w="2702" w:type="dxa"/>
          </w:tcPr>
          <w:p w14:paraId="30A1DA4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Decision Tree; Bagging Classifier; Random Forest; Extra Trees; AdaBoost; Gradient Boost; Logistic Regression; Support Vector Machine</w:t>
            </w:r>
          </w:p>
        </w:tc>
        <w:tc>
          <w:tcPr>
            <w:tcW w:w="1808" w:type="dxa"/>
          </w:tcPr>
          <w:p w14:paraId="4C3E8B5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16744407" w14:textId="77777777" w:rsidR="00375D17" w:rsidRDefault="00375D17" w:rsidP="00530265">
            <w:pPr>
              <w:jc w:val="center"/>
              <w:cnfStyle w:val="000000000000" w:firstRow="0" w:lastRow="0" w:firstColumn="0" w:lastColumn="0" w:oddVBand="0" w:evenVBand="0" w:oddHBand="0" w:evenHBand="0" w:firstRowFirstColumn="0" w:firstRowLastColumn="0" w:lastRowFirstColumn="0" w:lastRowLastColumn="0"/>
            </w:pPr>
            <w:r>
              <w:t>-</w:t>
            </w:r>
          </w:p>
        </w:tc>
        <w:tc>
          <w:tcPr>
            <w:tcW w:w="233" w:type="dxa"/>
          </w:tcPr>
          <w:p w14:paraId="0562759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2D4612C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744B058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7D1EFBF4"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28B4B49B"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18D826A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7A4A79BC"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Zhang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{"citationID":"a2hf9614dsd","properties":{"formattedCitation":"\\super 98\\nosupersub{}","plainCitation":"98","noteIndex":0},"citationItems":[{"id":609,"uris":["http://zotero.org/users/local/HJepGCSn/items/2AUUF2Z9"],"itemData":{"id":609,"type":"article-journal","abstract":"Recent research has discovered that deep learning models are vulnerable to membership inference attacks, which can reveal whether a sample is in the training dataset of the victim model or not. Most membership inference attacks rely on confidence scores from the victim model for the attack purpose. However, a few studies indicate that prediction labels of the victim model's output are sufficient for launching successful attacks. Besides the well-studied classification models, segmentation models are also vulnerable to this type of attack. In this paper, for the first time, we propose the label-only membership inference attacks against semantic segmentation models. With a well-designed framework of the attacks, we can achieve a considerably higher successful attacking rate compared to previous work. In addition, we have discussed several possible defense mechanisms to counter such a threat.","container-title":"IEEE Transactions on Dependable and Secure Computing","DOI":"10.1109/TDSC.2022.3154029","ISSN":"1941-0018","note":"event-title: IEEE Transactions on Dependable and Secure Computing","page":"1-1","source":"IEEE Xplore","title":"Label-Only Membership Inference Attacks and Defenses In Semantic Segmentation Models","author":[{"family":"Zhang","given":"Guangsheng"},{"family":"Liu","given":"Bo"},{"family":"Zhu","given":"Tianqing"},{"family":"Ding","given":"Ming"},{"family":"Zhou","given":"Wanlei"}],"issued":{"date-parts":[["2022"]]}}}],"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98</w:t>
            </w:r>
            <w:r>
              <w:rPr>
                <w:rFonts w:ascii="Calibri" w:eastAsia="Times New Roman" w:hAnsi="Calibri" w:cs="Calibri"/>
                <w:i/>
                <w:iCs/>
                <w:color w:val="000000"/>
              </w:rPr>
              <w:fldChar w:fldCharType="end"/>
            </w:r>
          </w:p>
        </w:tc>
        <w:tc>
          <w:tcPr>
            <w:tcW w:w="234" w:type="dxa"/>
          </w:tcPr>
          <w:p w14:paraId="162D264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5D22F4F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roofErr w:type="spellStart"/>
            <w:r>
              <w:t>CityScapes</w:t>
            </w:r>
            <w:proofErr w:type="spellEnd"/>
            <w:r>
              <w:t xml:space="preserve">; BDD100K; </w:t>
            </w:r>
            <w:proofErr w:type="spellStart"/>
            <w:r>
              <w:t>Mapillary</w:t>
            </w:r>
            <w:proofErr w:type="spellEnd"/>
          </w:p>
        </w:tc>
        <w:tc>
          <w:tcPr>
            <w:tcW w:w="2702" w:type="dxa"/>
          </w:tcPr>
          <w:p w14:paraId="211CB34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651559F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Image Segmentation</w:t>
            </w:r>
          </w:p>
        </w:tc>
        <w:tc>
          <w:tcPr>
            <w:tcW w:w="1407" w:type="dxa"/>
          </w:tcPr>
          <w:p w14:paraId="7F29500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6EEF89E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76899A9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 F1-Score; AUC</w:t>
            </w:r>
          </w:p>
        </w:tc>
        <w:tc>
          <w:tcPr>
            <w:tcW w:w="781" w:type="dxa"/>
            <w:tcBorders>
              <w:left w:val="single" w:sz="4" w:space="0" w:color="auto"/>
              <w:right w:val="single" w:sz="4" w:space="0" w:color="auto"/>
            </w:tcBorders>
            <w:vAlign w:val="center"/>
          </w:tcPr>
          <w:p w14:paraId="17FD481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6AC33FBE"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5F714E5D"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05957B4E"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375042A4"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Yuan &amp; Zhang</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{"citationID":"a2kun1er2oo","properties":{"formattedCitation":"\\super 99\\nosupersub{}","plainCitation":"99","noteIndex":0},"citationItems":[{"id":611,"uris":["http://zotero.org/users/local/HJepGCSn/items/IRPEU4K5"],"itemData":{"id":611,"type":"article","abstract":"Neural network pruning has been an essential technique to reduce the computation and memory requirements for using deep neural networks for resource-constrained devices. Most existing research focuses primarily on balancing the sparsity and accuracy of a pruned neural network by strategically removing insignificant parameters and retraining the pruned model. Such efforts on reusing training samples pose serious privacy risks due to increased memorization, which, however, has not been investigated yet. In this paper, we conduct the first analysis of privacy risks in neural network pruning. Specifically, we investigate the impacts of neural network pruning on training data privacy, i.e., membership inference attacks. We first explore the impact of neural network pruning on prediction divergence, where the pruning process disproportionately affects the pruned model's behavior for members and non-members. Meanwhile, the influence of divergence even varies among different classes in a fine-grained manner. Enlighten by such divergence, we proposed a self-attention membership inference attack against the pruned neural networks. Extensive experiments are conducted to rigorously evaluate the privacy impacts of different pruning approaches, sparsity levels, and adversary knowledge. The proposed attack shows the higher attack performance on the pruned models when compared with eight existing membership inference attacks. In addition, we propose a new defense mechanism to protect the pruning process by mitigating the prediction divergence based on KL-divergence distance, whose effectiveness has been experimentally demonstrated to effectively mitigate the privacy risks while maintaining the sparsity and accuracy of the pruned models.","DOI":"10.48550/arXiv.2202.03335","note":"arXiv:2202.03335 [cs, stat]","number":"arXiv:2202.03335","publisher":"arXiv","source":"arXiv.org","title":"Membership Inference Attacks and Defenses in Neural Network Pruning","URL":"http://arxiv.org/abs/2202.03335","author":[{"family":"Yuan","given":"Xiaoyong"},{"family":"Zhang","given":"Lan"}],"accessed":{"date-parts":[["2022",8,4]]},"issued":{"date-parts":[["2022",2,7]]}}}],"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99</w:t>
            </w:r>
            <w:r>
              <w:rPr>
                <w:rFonts w:ascii="Calibri" w:eastAsia="Times New Roman" w:hAnsi="Calibri" w:cs="Calibri"/>
                <w:color w:val="000000"/>
              </w:rPr>
              <w:fldChar w:fldCharType="end"/>
            </w:r>
          </w:p>
        </w:tc>
        <w:tc>
          <w:tcPr>
            <w:tcW w:w="234" w:type="dxa"/>
          </w:tcPr>
          <w:p w14:paraId="1D19633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72004CC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CIFAR-(10/100); CHMNIST; SVHN; Location</w:t>
            </w:r>
          </w:p>
        </w:tc>
        <w:tc>
          <w:tcPr>
            <w:tcW w:w="2702" w:type="dxa"/>
          </w:tcPr>
          <w:p w14:paraId="108E950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w:t>
            </w:r>
          </w:p>
        </w:tc>
        <w:tc>
          <w:tcPr>
            <w:tcW w:w="1808" w:type="dxa"/>
          </w:tcPr>
          <w:p w14:paraId="48F74D6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2618D4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03750E3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3CAE594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07A2B1DD"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078E14F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70C6617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1EDAFE44"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2A822FF"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Pedersen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{"citationID":"a2fsone9oj","properties":{"formattedCitation":"\\super 100\\nosupersub{}","plainCitation":"100","noteIndex":0},"citationItems":[{"id":618,"uris":["http://zotero.org/users/local/HJepGCSn/items/7RS2GNY6"],"itemData":{"id":618,"type":"paper-conference","abstract":"We address the problem of defending predictive models, such as machine learning classifiers (Defender models), against membership inference attacks, in both the black-box and white-box setting, when the trainer and the trained model are publicly released. The Defender aims at optimizing a dual objective: utility and privacy. Both utility and privacy are evaluated with an external apparatus including an Attacker and an Evaluator. On one hand, Reserved data, distributed similarly to the Defender training data, is used to evaluate Utility; on the other hand, Reserved data, mixed with Defender training data, is used to evaluate membership inference attack robustness. In both cases classification accuracy or error rate are used as metric: Utility is evaluated with the classification accuracy of the Defender model; Privacy is evaluated with the membership prediction error of a so-called \"Leave-Two-Unlabeled\" LTU Attacker , having access to all the Defender and Reserved data, except for the membership label of one sample from each. We prove that, under certain conditions, even a \"naïve\" LTU Attacker can achieve lower bounds on privacy loss with simple attack strategies, leading to concrete necessary conditions to protect privacy, including: preventing over-fitting and adding some amount of randomness. However, we also show that such naïve LTU Attacker can fail to attack the privacy of models known to be vulnerable in the literature, demonstrating that knowledge must be complemented with strong attack strategies to turn the LTU Attacker into powerful means of evaluating privacy. Our experiments on the QMNIST and CIFAR-10 datasets validate our theoretical results and confirm the role of over-fitting prevention and algorithm randomness in the algorithms to protect against privacy attacks.","container-title":"Third AAAI Workshop on Privacy-Preserving Artificial Intelligence (PPAI-22)","event-place":"virtual, France","publisher-place":"virtual, France","source":"HAL Archives Ouvertes","title":"LTU Attacker for Membership Inference","URL":"https://hal.archives-ouvertes.fr/hal-03522633","author":[{"family":"Pedersen","given":"Joseph"},{"family":"Muñoz Gómez","given":"Rafael"},{"family":"Huang","given":"Jiangnan"},{"family":"Sun","given":"Haozhe"},{"family":"Tu","given":"Wei-Wei"},{"family":"Guyon","given":"Isabelle"}],"accessed":{"date-parts":[["2022",8,4]]},"issued":{"date-parts":[["2022",2]]}}}],"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100</w:t>
            </w:r>
            <w:r>
              <w:rPr>
                <w:rFonts w:ascii="Calibri" w:eastAsia="Times New Roman" w:hAnsi="Calibri" w:cs="Calibri"/>
                <w:i/>
                <w:iCs/>
                <w:color w:val="000000"/>
              </w:rPr>
              <w:fldChar w:fldCharType="end"/>
            </w:r>
          </w:p>
        </w:tc>
        <w:tc>
          <w:tcPr>
            <w:tcW w:w="234" w:type="dxa"/>
          </w:tcPr>
          <w:p w14:paraId="17536B4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76483A9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CIFAR-10; QMNIST</w:t>
            </w:r>
          </w:p>
        </w:tc>
        <w:tc>
          <w:tcPr>
            <w:tcW w:w="2702" w:type="dxa"/>
          </w:tcPr>
          <w:p w14:paraId="4BFBC57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p w14:paraId="14D3123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p w14:paraId="006E935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808" w:type="dxa"/>
          </w:tcPr>
          <w:p w14:paraId="2D17FFE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0CC1CFD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p w14:paraId="0250091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5378C71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5B7A09B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Global Privacy Score</w:t>
            </w:r>
          </w:p>
        </w:tc>
        <w:tc>
          <w:tcPr>
            <w:tcW w:w="781" w:type="dxa"/>
            <w:tcBorders>
              <w:left w:val="single" w:sz="4" w:space="0" w:color="auto"/>
              <w:right w:val="single" w:sz="4" w:space="0" w:color="auto"/>
            </w:tcBorders>
            <w:vAlign w:val="center"/>
          </w:tcPr>
          <w:p w14:paraId="73D2C60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Pr>
                <w:sz w:val="40"/>
                <w:szCs w:val="40"/>
              </w:rPr>
              <w:t>-</w:t>
            </w:r>
          </w:p>
        </w:tc>
        <w:tc>
          <w:tcPr>
            <w:tcW w:w="754" w:type="dxa"/>
            <w:tcBorders>
              <w:left w:val="single" w:sz="4" w:space="0" w:color="auto"/>
              <w:right w:val="single" w:sz="4" w:space="0" w:color="auto"/>
            </w:tcBorders>
            <w:vAlign w:val="center"/>
          </w:tcPr>
          <w:p w14:paraId="78040EF9"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Pr>
                <w:sz w:val="40"/>
                <w:szCs w:val="40"/>
              </w:rPr>
              <w:t>-</w:t>
            </w:r>
          </w:p>
        </w:tc>
        <w:tc>
          <w:tcPr>
            <w:tcW w:w="754" w:type="dxa"/>
            <w:tcBorders>
              <w:left w:val="single" w:sz="4" w:space="0" w:color="auto"/>
            </w:tcBorders>
            <w:vAlign w:val="center"/>
          </w:tcPr>
          <w:p w14:paraId="4EBF6037"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Pr>
                <w:sz w:val="40"/>
                <w:szCs w:val="40"/>
              </w:rPr>
              <w:t>-</w:t>
            </w:r>
          </w:p>
        </w:tc>
      </w:tr>
      <w:tr w:rsidR="00375D17" w:rsidRPr="00443DC9" w14:paraId="5C11021B" w14:textId="77777777" w:rsidTr="00530265">
        <w:tc>
          <w:tcPr>
            <w:cnfStyle w:val="001000000000" w:firstRow="0" w:lastRow="0" w:firstColumn="1" w:lastColumn="0" w:oddVBand="0" w:evenVBand="0" w:oddHBand="0" w:evenHBand="0" w:firstRowFirstColumn="0" w:firstRowLastColumn="0" w:lastRowFirstColumn="0" w:lastRowLastColumn="0"/>
            <w:tcW w:w="2329" w:type="dxa"/>
            <w:vMerge w:val="restart"/>
            <w:tcBorders>
              <w:top w:val="single" w:sz="24" w:space="0" w:color="auto"/>
            </w:tcBorders>
          </w:tcPr>
          <w:p w14:paraId="525939D7" w14:textId="77777777" w:rsidR="00375D17" w:rsidRPr="00443DC9" w:rsidRDefault="00375D17" w:rsidP="00530265">
            <w:pPr>
              <w:rPr>
                <w:b w:val="0"/>
                <w:bCs w:val="0"/>
                <w:sz w:val="24"/>
                <w:szCs w:val="24"/>
              </w:rPr>
            </w:pPr>
          </w:p>
          <w:p w14:paraId="440CBD5B" w14:textId="77777777" w:rsidR="00375D17" w:rsidRPr="00443DC9" w:rsidRDefault="00375D17" w:rsidP="00530265">
            <w:pPr>
              <w:rPr>
                <w:b w:val="0"/>
                <w:bCs w:val="0"/>
                <w:sz w:val="24"/>
                <w:szCs w:val="24"/>
              </w:rPr>
            </w:pPr>
          </w:p>
          <w:p w14:paraId="37C91424" w14:textId="77777777" w:rsidR="00375D17" w:rsidRPr="00443DC9" w:rsidRDefault="00375D17" w:rsidP="00530265">
            <w:pPr>
              <w:rPr>
                <w:sz w:val="24"/>
                <w:szCs w:val="24"/>
              </w:rPr>
            </w:pPr>
            <w:r w:rsidRPr="00443DC9">
              <w:rPr>
                <w:sz w:val="24"/>
                <w:szCs w:val="24"/>
              </w:rPr>
              <w:t>Authors (Year)</w:t>
            </w:r>
          </w:p>
        </w:tc>
        <w:tc>
          <w:tcPr>
            <w:tcW w:w="234" w:type="dxa"/>
            <w:tcBorders>
              <w:top w:val="single" w:sz="24" w:space="0" w:color="auto"/>
            </w:tcBorders>
          </w:tcPr>
          <w:p w14:paraId="381678E1"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sz w:val="24"/>
                <w:szCs w:val="24"/>
              </w:rPr>
            </w:pPr>
          </w:p>
        </w:tc>
        <w:tc>
          <w:tcPr>
            <w:tcW w:w="8050" w:type="dxa"/>
            <w:gridSpan w:val="4"/>
            <w:tcBorders>
              <w:top w:val="single" w:sz="24" w:space="0" w:color="auto"/>
            </w:tcBorders>
          </w:tcPr>
          <w:p w14:paraId="5128145F"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Setting</w:t>
            </w:r>
          </w:p>
        </w:tc>
        <w:tc>
          <w:tcPr>
            <w:tcW w:w="233" w:type="dxa"/>
            <w:tcBorders>
              <w:top w:val="single" w:sz="24" w:space="0" w:color="auto"/>
              <w:bottom w:val="nil"/>
            </w:tcBorders>
          </w:tcPr>
          <w:p w14:paraId="09A2690A"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p>
        </w:tc>
        <w:tc>
          <w:tcPr>
            <w:tcW w:w="4083" w:type="dxa"/>
            <w:gridSpan w:val="4"/>
            <w:tcBorders>
              <w:top w:val="single" w:sz="24" w:space="0" w:color="auto"/>
              <w:bottom w:val="single" w:sz="12" w:space="0" w:color="auto"/>
            </w:tcBorders>
            <w:vAlign w:val="center"/>
          </w:tcPr>
          <w:p w14:paraId="36A46705"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Performance</w:t>
            </w:r>
          </w:p>
        </w:tc>
      </w:tr>
      <w:tr w:rsidR="00375D17" w:rsidRPr="00443DC9" w14:paraId="3343839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tcBorders>
              <w:bottom w:val="single" w:sz="24" w:space="0" w:color="auto"/>
            </w:tcBorders>
          </w:tcPr>
          <w:p w14:paraId="138AB71A" w14:textId="77777777" w:rsidR="00375D17" w:rsidRPr="00443DC9" w:rsidRDefault="00375D17" w:rsidP="00530265">
            <w:pPr>
              <w:rPr>
                <w:b w:val="0"/>
                <w:bCs w:val="0"/>
                <w:sz w:val="24"/>
                <w:szCs w:val="24"/>
              </w:rPr>
            </w:pPr>
          </w:p>
        </w:tc>
        <w:tc>
          <w:tcPr>
            <w:tcW w:w="234" w:type="dxa"/>
            <w:tcBorders>
              <w:bottom w:val="single" w:sz="24" w:space="0" w:color="auto"/>
            </w:tcBorders>
            <w:shd w:val="clear" w:color="auto" w:fill="FFFFFF" w:themeFill="background1"/>
          </w:tcPr>
          <w:p w14:paraId="4B9F2C7F"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2133" w:type="dxa"/>
            <w:tcBorders>
              <w:top w:val="single" w:sz="12" w:space="0" w:color="auto"/>
              <w:bottom w:val="single" w:sz="24" w:space="0" w:color="auto"/>
            </w:tcBorders>
            <w:shd w:val="clear" w:color="auto" w:fill="FFFFFF" w:themeFill="background1"/>
            <w:vAlign w:val="bottom"/>
          </w:tcPr>
          <w:p w14:paraId="347AEBFD"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Training Dataset(s)</w:t>
            </w:r>
          </w:p>
        </w:tc>
        <w:tc>
          <w:tcPr>
            <w:tcW w:w="2702" w:type="dxa"/>
            <w:tcBorders>
              <w:top w:val="single" w:sz="12" w:space="0" w:color="auto"/>
              <w:bottom w:val="single" w:sz="24" w:space="0" w:color="auto"/>
            </w:tcBorders>
            <w:shd w:val="clear" w:color="auto" w:fill="FFFFFF" w:themeFill="background1"/>
            <w:vAlign w:val="bottom"/>
          </w:tcPr>
          <w:p w14:paraId="6ABC194E"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Target Model Architecture(s)</w:t>
            </w:r>
          </w:p>
        </w:tc>
        <w:tc>
          <w:tcPr>
            <w:tcW w:w="1808" w:type="dxa"/>
            <w:tcBorders>
              <w:top w:val="single" w:sz="12" w:space="0" w:color="auto"/>
              <w:bottom w:val="single" w:sz="24" w:space="0" w:color="auto"/>
            </w:tcBorders>
            <w:shd w:val="clear" w:color="auto" w:fill="FFFFFF" w:themeFill="background1"/>
            <w:vAlign w:val="bottom"/>
          </w:tcPr>
          <w:p w14:paraId="4D23C1B7"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 xml:space="preserve">Target Model Task </w:t>
            </w:r>
          </w:p>
        </w:tc>
        <w:tc>
          <w:tcPr>
            <w:tcW w:w="1407" w:type="dxa"/>
            <w:tcBorders>
              <w:top w:val="single" w:sz="12" w:space="0" w:color="auto"/>
              <w:bottom w:val="single" w:sz="24" w:space="0" w:color="auto"/>
            </w:tcBorders>
            <w:shd w:val="clear" w:color="auto" w:fill="FFFFFF" w:themeFill="background1"/>
            <w:vAlign w:val="bottom"/>
          </w:tcPr>
          <w:p w14:paraId="6FCB7766"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Knowledge</w:t>
            </w:r>
          </w:p>
        </w:tc>
        <w:tc>
          <w:tcPr>
            <w:tcW w:w="233" w:type="dxa"/>
            <w:tcBorders>
              <w:top w:val="nil"/>
              <w:bottom w:val="single" w:sz="24" w:space="0" w:color="auto"/>
            </w:tcBorders>
            <w:shd w:val="clear" w:color="auto" w:fill="FFFFFF" w:themeFill="background1"/>
            <w:vAlign w:val="bottom"/>
          </w:tcPr>
          <w:p w14:paraId="6BB06FCD"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1794" w:type="dxa"/>
            <w:tcBorders>
              <w:top w:val="single" w:sz="12" w:space="0" w:color="auto"/>
              <w:bottom w:val="single" w:sz="24" w:space="0" w:color="auto"/>
              <w:right w:val="single" w:sz="4" w:space="0" w:color="auto"/>
            </w:tcBorders>
            <w:shd w:val="clear" w:color="auto" w:fill="FFFFFF" w:themeFill="background1"/>
            <w:vAlign w:val="center"/>
          </w:tcPr>
          <w:p w14:paraId="6ABDED1A"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Performance Metric(s)</w:t>
            </w:r>
          </w:p>
        </w:tc>
        <w:tc>
          <w:tcPr>
            <w:tcW w:w="781" w:type="dxa"/>
            <w:tcBorders>
              <w:left w:val="single" w:sz="4" w:space="0" w:color="auto"/>
              <w:bottom w:val="single" w:sz="24" w:space="0" w:color="auto"/>
              <w:right w:val="single" w:sz="4" w:space="0" w:color="auto"/>
            </w:tcBorders>
            <w:shd w:val="clear" w:color="auto" w:fill="FFFFFF" w:themeFill="background1"/>
            <w:vAlign w:val="center"/>
          </w:tcPr>
          <w:p w14:paraId="133DF25D"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&gt;50%</w:t>
            </w:r>
          </w:p>
        </w:tc>
        <w:tc>
          <w:tcPr>
            <w:tcW w:w="754" w:type="dxa"/>
            <w:tcBorders>
              <w:left w:val="single" w:sz="4" w:space="0" w:color="auto"/>
              <w:bottom w:val="single" w:sz="24" w:space="0" w:color="auto"/>
              <w:right w:val="single" w:sz="4" w:space="0" w:color="auto"/>
            </w:tcBorders>
            <w:shd w:val="clear" w:color="auto" w:fill="FFFFFF" w:themeFill="background1"/>
            <w:vAlign w:val="center"/>
          </w:tcPr>
          <w:p w14:paraId="4A878D30"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w:t>
            </w:r>
            <w:r w:rsidRPr="00443DC9">
              <w:rPr>
                <w:b/>
                <w:bCs/>
                <w:sz w:val="24"/>
                <w:szCs w:val="24"/>
              </w:rPr>
              <w:t>75%</w:t>
            </w:r>
          </w:p>
        </w:tc>
        <w:tc>
          <w:tcPr>
            <w:tcW w:w="754" w:type="dxa"/>
            <w:tcBorders>
              <w:left w:val="single" w:sz="4" w:space="0" w:color="auto"/>
              <w:bottom w:val="single" w:sz="24" w:space="0" w:color="auto"/>
            </w:tcBorders>
            <w:shd w:val="clear" w:color="auto" w:fill="FFFFFF" w:themeFill="background1"/>
            <w:vAlign w:val="center"/>
          </w:tcPr>
          <w:p w14:paraId="4D403524"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≥90</w:t>
            </w:r>
            <w:r w:rsidRPr="00443DC9">
              <w:rPr>
                <w:b/>
                <w:bCs/>
                <w:sz w:val="24"/>
                <w:szCs w:val="24"/>
              </w:rPr>
              <w:t>%</w:t>
            </w:r>
          </w:p>
        </w:tc>
      </w:tr>
      <w:tr w:rsidR="00375D17" w14:paraId="4707A550"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401C05B5"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Xie</w:t>
            </w:r>
            <w:r>
              <w:rPr>
                <w:rFonts w:ascii="Calibri" w:eastAsia="Times New Roman" w:hAnsi="Calibri" w:cs="Calibri"/>
                <w:color w:val="000000"/>
              </w:rPr>
              <w:t xml:space="preserve"> &amp; </w:t>
            </w:r>
            <w:r w:rsidRPr="002407A3">
              <w:rPr>
                <w:rFonts w:ascii="Calibri" w:eastAsia="Times New Roman" w:hAnsi="Calibri" w:cs="Calibri"/>
                <w:color w:val="000000"/>
              </w:rPr>
              <w:t>Pei</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{"citationID":"a1n66d4a5q5","properties":{"formattedCitation":"\\super 101\\nosupersub{}","plainCitation":"101","noteIndex":0},"citationItems":[{"id":435,"uris":["http://zotero.org/users/local/HJepGCSn/items/LSDHZ2JK"],"itemData":{"id":435,"type":"article-journal","abstract":"An adversarial example is the weakness of the machine learning (ML), and it can be utilized as the tool to defend against the inference attacks launched by ML classifiers. Jia et al. proposed MemGuard, which applied the idea of adversarial example to defend against membership inference attack. In a membership inference attack, the attacker attempts to infer whether a particular sample is in the training set of the target classifier, which may be a software or a service whose model parameters are unknown to the attacker. MemGuard does not tamper the training process of the target classifier, meanwhile achieving better tradeoff between the privacy and utility loss. However, many defenses of the adversarial example have been proposed, which decreases the effectiveness of the adversarial example. Inspired by the defenses of the adversarial example, we try to attack the MemGuard. As a result, we utilize the nonlocal-means method to do the attack by using the inherent relationship between neighbor entries to remove the added noise. Due to the low dimensionality of the confidence score vector, our attack avoids the high computation overhead of the nonlocal-means method. Besides, we use practical datasets to test our attack, and the experimental results demonstrate the effectiveness of our attack.","container-title":"Security and Communication Networks","DOI":"10.1155/2022/6272737","ISSN":"1939-0114","language":"en","note":"publisher: Hindawi","page":"e6272737","source":"www.hindawi.com","title":"Towards Attack to MemGuard with Nonlocal-Means Method","volume":"2022","author":[{"family":"Xie","given":"Guangxu"},{"family":"Pei","given":"Qingqi"}],"issued":{"date-parts":[["2022",4,18]]}}}],"schema":"https://github.com/citation-style-language/schema/raw/master/csl-citation.json"}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101</w:t>
            </w:r>
            <w:r>
              <w:rPr>
                <w:rFonts w:ascii="Calibri" w:eastAsia="Times New Roman" w:hAnsi="Calibri" w:cs="Calibri"/>
                <w:color w:val="000000"/>
              </w:rPr>
              <w:fldChar w:fldCharType="end"/>
            </w:r>
          </w:p>
        </w:tc>
        <w:tc>
          <w:tcPr>
            <w:tcW w:w="234" w:type="dxa"/>
          </w:tcPr>
          <w:p w14:paraId="0E13C00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26BAAD2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Texas-100; Location; CH-MNIST</w:t>
            </w:r>
          </w:p>
        </w:tc>
        <w:tc>
          <w:tcPr>
            <w:tcW w:w="2702" w:type="dxa"/>
          </w:tcPr>
          <w:p w14:paraId="629083A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Fully Connected Neural Network; Convolutional Neural Network</w:t>
            </w:r>
          </w:p>
        </w:tc>
        <w:tc>
          <w:tcPr>
            <w:tcW w:w="1808" w:type="dxa"/>
          </w:tcPr>
          <w:p w14:paraId="5D16C3F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4D693DC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597349E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36E77B5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Accuracy </w:t>
            </w:r>
          </w:p>
        </w:tc>
        <w:tc>
          <w:tcPr>
            <w:tcW w:w="781" w:type="dxa"/>
            <w:tcBorders>
              <w:left w:val="single" w:sz="4" w:space="0" w:color="auto"/>
              <w:right w:val="single" w:sz="4" w:space="0" w:color="auto"/>
            </w:tcBorders>
            <w:vAlign w:val="center"/>
          </w:tcPr>
          <w:p w14:paraId="697275B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671ADC86"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0C8AE1DD"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5D5523EA"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0B5DD997"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Ben Hamida</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{"citationID":"a2f8o3cgbq6","properties":{"formattedCitation":"\\super 102\\nosupersub{}","plainCitation":"102","noteIndex":0},"citationItems":[{"id":438,"uris":["http://zotero.org/users/local/HJepGCSn/items/X8RJHAUR"],"itemData":{"id":438,"type":"article-journal","abstract":"From fraud detection to speech recognition, including price prediction,\nMachine Learning (ML) applications are manifold and can significantly improve\ndifferent areas. Nevertheless, machine learning models are vulnerable and are\nexposed to different security and privacy attacks. Hence, these issues should be\naddressed while using ML models to preserve the security and privacy of the data\nused. There is a need to secure ML models, especially in the training phase to\npreserve the privacy of the training datasets and to minimise the information\nleakage. In this paper, we present an overview of ML threats and vulnerabilities,\nand we highlight current progress in the research works proposing defence\ntechniques against ML security and privacy attacks. The relevant background for\nthe different attacks occurring in both the training and testing/inferring phases is\nintroduced before presenting a detailed overview of Membership Inference\nAttacks (MIA) and the related countermeasures. In this paper, we introduce a\ncountermeasure against membership inference attacks (MIA) on Conventional\nNeural Networks (CNN) based on dropout and L2 regularization. Through\nexperimental analysis, we demonstrate that this defence technique can mitigate the\nrisks of MIA attacks while ensuring an acceptable accuracy of the model. Indeed,\nusing CNN model training on two datasets CIFAR-10 and CIFAR-100, we\nempirically verify the ability of our defence strategy to decrease the impact of MIA\non our model and we compare results of five different classifiers. Moreover, we\npresent a solution to achieve a trade-off between the performance of the model and\nthe mitigation of MIA attack.","container-title":"Computers, Materials &amp; Continua","DOI":"10.32604/cmc.2022.019709","ISSN":"1546-2218","issue":"3","language":"en","license":"cc_by_4_0","note":"number: 3\npublisher: Tech Science Press","page":"4897-4919","source":"usir.salford.ac.uk","title":"Towards securing machine learning models against membership inference attacks","volume":"70","author":[{"family":"Ben Hamida","given":"S."},{"family":"Mrabet","given":"H."},{"family":"Belguith","given":"S."},{"family":"Alhomoud","given":"A."},{"family":"Jemai","given":"A."}],"issued":{"date-parts":[["2022",1]]}}}],"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102</w:t>
            </w:r>
            <w:r>
              <w:rPr>
                <w:rFonts w:ascii="Calibri" w:eastAsia="Times New Roman" w:hAnsi="Calibri" w:cs="Calibri"/>
                <w:color w:val="000000"/>
              </w:rPr>
              <w:fldChar w:fldCharType="end"/>
            </w:r>
          </w:p>
        </w:tc>
        <w:tc>
          <w:tcPr>
            <w:tcW w:w="234" w:type="dxa"/>
          </w:tcPr>
          <w:p w14:paraId="2A711C1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504EAA7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CIFAR-(10/100);</w:t>
            </w:r>
          </w:p>
        </w:tc>
        <w:tc>
          <w:tcPr>
            <w:tcW w:w="2702" w:type="dxa"/>
          </w:tcPr>
          <w:p w14:paraId="74ED8AF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57F8FE5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064357DC" w14:textId="77777777" w:rsidR="00375D17" w:rsidRDefault="00375D17" w:rsidP="00530265">
            <w:pPr>
              <w:jc w:val="center"/>
              <w:cnfStyle w:val="000000100000" w:firstRow="0" w:lastRow="0" w:firstColumn="0" w:lastColumn="0" w:oddVBand="0" w:evenVBand="0" w:oddHBand="1" w:evenHBand="0" w:firstRowFirstColumn="0" w:firstRowLastColumn="0" w:lastRowFirstColumn="0" w:lastRowLastColumn="0"/>
            </w:pPr>
            <w:r>
              <w:t>-</w:t>
            </w:r>
          </w:p>
        </w:tc>
        <w:tc>
          <w:tcPr>
            <w:tcW w:w="233" w:type="dxa"/>
          </w:tcPr>
          <w:p w14:paraId="608E422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4C8BB01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AUC</w:t>
            </w:r>
          </w:p>
        </w:tc>
        <w:tc>
          <w:tcPr>
            <w:tcW w:w="781" w:type="dxa"/>
            <w:tcBorders>
              <w:left w:val="single" w:sz="4" w:space="0" w:color="auto"/>
              <w:right w:val="single" w:sz="4" w:space="0" w:color="auto"/>
            </w:tcBorders>
            <w:vAlign w:val="center"/>
          </w:tcPr>
          <w:p w14:paraId="25EF8D32"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7208700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48BEDDF0"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4D3095A3"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264FBF25"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He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{"citationID":"a1913498q3b","properties":{"formattedCitation":"\\super 103\\nosupersub{}","plainCitation":"103","noteIndex":0},"citationItems":[{"id":424,"uris":["http://zotero.org/users/local/HJepGCSn/items/ZF28GRVI"],"itemData":{"id":424,"type":"article","abstract":"Semi-supervised learning (SSL) leverages both labeled and unlabeled data to train machine learning (ML) models. State-of-the-art SSL methods can achieve comparable performance to supervised learning by leveraging much fewer labeled data. However, most existing works focus on improving the performance of SSL. In this work, we take a different angle by studying the training data privacy of SSL. Specifically, we propose the first data augmentation-based membership inference attacks against ML models trained by SSL. Given a data sample and the black-box access to a model, the goal of membership inference attack is to determine whether the data sample belongs to the training dataset of the model. Our evaluation shows that the proposed attack can consistently outperform existing membership inference attacks and achieves the best performance against the model trained by SSL. Moreover, we uncover that the reason for membership leakage in SSL is different from the commonly believed one in supervised learning, i.e., overfitting (the gap between training and testing accuracy). We observe that the SSL model is well generalized to the testing data (with almost 0 overfitting) but ''memorizes'' the training data by giving a more confident prediction regardless of its correctness. We also explore early stopping as a countermeasure to prevent membership inference attacks against SSL. The results show that early stopping can mitigate the membership inference attack, but with the cost of model's utility degradation.","DOI":"10.48550/arXiv.2207.12535","note":"arXiv:2207.12535 [cs]","number":"arXiv:2207.12535","publisher":"arXiv","source":"arXiv.org","title":"Semi-Leak: Membership Inference Attacks Against Semi-supervised Learning","title-short":"Semi-Leak","URL":"http://arxiv.org/abs/2207.12535","author":[{"family":"He","given":"Xinlei"},{"family":"Liu","given":"Hongbin"},{"family":"Gong","given":"Neil Zhenqiang"},{"family":"Zhang","given":"Yang"}],"accessed":{"date-parts":[["2022",8,4]]},"issued":{"date-parts":[["2022",7,25]]}}}],"schema":"https://github.com/citation-style-language/schema/raw/master/csl-citation.json"}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103</w:t>
            </w:r>
            <w:r>
              <w:rPr>
                <w:rFonts w:ascii="Calibri" w:eastAsia="Times New Roman" w:hAnsi="Calibri" w:cs="Calibri"/>
                <w:i/>
                <w:iCs/>
                <w:color w:val="000000"/>
              </w:rPr>
              <w:fldChar w:fldCharType="end"/>
            </w:r>
          </w:p>
        </w:tc>
        <w:tc>
          <w:tcPr>
            <w:tcW w:w="234" w:type="dxa"/>
          </w:tcPr>
          <w:p w14:paraId="5C64C0F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204A908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SVHN; CIFAR-(10/100)</w:t>
            </w:r>
          </w:p>
        </w:tc>
        <w:tc>
          <w:tcPr>
            <w:tcW w:w="2702" w:type="dxa"/>
          </w:tcPr>
          <w:p w14:paraId="67966C1E"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 xml:space="preserve">Convolutional Neural Network; </w:t>
            </w:r>
            <w:proofErr w:type="spellStart"/>
            <w:r>
              <w:t>FlexMatch</w:t>
            </w:r>
            <w:proofErr w:type="spellEnd"/>
            <w:r>
              <w:t xml:space="preserve">; </w:t>
            </w:r>
            <w:proofErr w:type="spellStart"/>
            <w:r>
              <w:t>FixMatch</w:t>
            </w:r>
            <w:proofErr w:type="spellEnd"/>
            <w:r>
              <w:t>; Unsupervised Data Augmentation</w:t>
            </w:r>
          </w:p>
        </w:tc>
        <w:tc>
          <w:tcPr>
            <w:tcW w:w="1808" w:type="dxa"/>
          </w:tcPr>
          <w:p w14:paraId="10BEB12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7E9E575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1B88A2D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63DB882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AUC</w:t>
            </w:r>
          </w:p>
        </w:tc>
        <w:tc>
          <w:tcPr>
            <w:tcW w:w="781" w:type="dxa"/>
            <w:tcBorders>
              <w:left w:val="single" w:sz="4" w:space="0" w:color="auto"/>
              <w:right w:val="single" w:sz="4" w:space="0" w:color="auto"/>
            </w:tcBorders>
            <w:vAlign w:val="center"/>
          </w:tcPr>
          <w:p w14:paraId="7802A0D8"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17E1818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41329951"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3EF01013"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5BE9668E"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Ha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{"citationID":"a19mh5hgb7v","properties":{"formattedCitation":"\\super 104\\nosupersub{}","plainCitation":"104","noteIndex":0},"citationItems":[{"id":574,"uris":["http://zotero.org/users/local/HJepGCSn/items/3ANNHR57"],"itemData":{"id":574,"type":"paper-conference","abstract":"Membership inference (MI) determines whether a given data point is involved in the training of target machine learning model. Thus, the notion of MI relies on both the data feature and the model. The existing MI methods focus on the model only. We introduce a membership feature disentanglement network (MFDN) to approach MI from the perspective of data features. We assume that the data features can be disentangled into the membership features and class features. The membership features are those that enable MI, and class features refer to those that the network is trying to learn. MFDN disentangles these features by adversarial games between the encoders and auxiliary critic networks. It also visualizes the membership features using an inductive bias from the perspective of MI. We perform empirical evaluations to demonstrate that MFDN can disentangle membership features and class features.","collection-title":"ASIA CCS '22","container-title":"Proceedings of the 2022 ACM on Asia Conference on Computer and Communications Security","DOI":"10.1145/3488932.3497772","event-place":"New York, NY, USA","ISBN":"978-1-4503-9140-5","page":"364–376","publisher":"Association for Computing Machinery","publisher-place":"New York, NY, USA","source":"ACM Digital Library","title":"Membership Feature Disentanglement Network","URL":"https://doi.org/10.1145/3488932.3497772","author":[{"family":"Ha","given":"Heonseok"},{"family":"Jang","given":"Jaehee"},{"family":"Jeong","given":"Yonghyun"},{"family":"Yoon","given":"Sungroh"}],"accessed":{"date-parts":[["2022",8,4]]},"issued":{"date-parts":[["2022",5,30]]}}}],"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104</w:t>
            </w:r>
            <w:r>
              <w:rPr>
                <w:rFonts w:ascii="Calibri" w:eastAsia="Times New Roman" w:hAnsi="Calibri" w:cs="Calibri"/>
                <w:i/>
                <w:iCs/>
                <w:color w:val="000000"/>
              </w:rPr>
              <w:fldChar w:fldCharType="end"/>
            </w:r>
          </w:p>
        </w:tc>
        <w:tc>
          <w:tcPr>
            <w:tcW w:w="234" w:type="dxa"/>
          </w:tcPr>
          <w:p w14:paraId="2410355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1CDB500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MNIST; Fashion-MNIST; SVHN</w:t>
            </w:r>
          </w:p>
        </w:tc>
        <w:tc>
          <w:tcPr>
            <w:tcW w:w="2702" w:type="dxa"/>
          </w:tcPr>
          <w:p w14:paraId="249AEFD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Non-adversarial Network</w:t>
            </w:r>
          </w:p>
        </w:tc>
        <w:tc>
          <w:tcPr>
            <w:tcW w:w="1808" w:type="dxa"/>
          </w:tcPr>
          <w:p w14:paraId="66EF10B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7C6257D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White-Box</w:t>
            </w:r>
          </w:p>
          <w:p w14:paraId="63D08E8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33" w:type="dxa"/>
          </w:tcPr>
          <w:p w14:paraId="52F8862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233FF12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6712E3E4"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ABD9EA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377C8466"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55409C6A"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1AA58CA2"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Zhang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{"citationID":"a1tctnq6pqv","properties":{"formattedCitation":"\\super 105\\nosupersub{}","plainCitation":"105","noteIndex":0},"citationItems":[{"id":228,"uris":["http://zotero.org/users/local/HJepGCSn/items/ALIFFGG2"],"itemData":{"id":228,"type":"article","abstract":"The usage of deep learning is being escalated in many applications. Due to its outstanding performance, it is being used in a variety of security and privacy-sensitive areas in addition to conventional applications. One of the key aspects of deep learning efficacy is to have abundant data. This trait leads to the usage of data which can be highly sensitive and private, which in turn causes wariness with regard to deep learning in the general public. Membership inference attacks are considered lethal as they can be used to figure out whether a piece of data belongs to the training dataset or not. This can be problematic with regards to leakage of training data information and its characteristics. To highlight the significance of these types of attacks, we propose an enhanced methodology for membership inference attacks based on adversarial robustness, by adjusting the directions of adversarial perturbations through label smoothing under a white-box setting. We evaluate our proposed method on three datasets: Fashion-MNIST, CIFAR-10, and CIFAR-100. Our experimental results reveal that the performance of our method surpasses that of the existing adversarial robustness-based method when attacking normally trained models. Additionally, through comparing our technique with the state-of-the-art metric-based membership inference methods, our proposed method also shows better performance when attacking adversarially trained models. The code for reproducing the results of this work is available at \\url{https://github.com/plll4zzx/Evaluating-Membership-Inference-Through-Adversarial-Robustness}.","DOI":"10.48550/arXiv.2205.06986","note":"arXiv:2205.06986 [cs]","number":"arXiv:2205.06986","publisher":"arXiv","source":"arXiv.org","title":"Evaluating Membership Inference Through Adversarial Robustness","URL":"http://arxiv.org/abs/2205.06986","author":[{"family":"Zhang","given":"Zhaoxi"},{"family":"Zhang","given":"Leo Yu"},{"family":"Zheng","given":"Xufei"},{"family":"Abbasi","given":"Bilal Hussain"},{"family":"Hu","given":"Shengshan"}],"accessed":{"date-parts":[["2022",7,20]]},"issued":{"date-parts":[["2022",5,14]]}}}],"schema":"https://github.com/citation-style-language/schema/raw/master/csl-citation.json"}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105</w:t>
            </w:r>
            <w:r>
              <w:rPr>
                <w:rFonts w:ascii="Calibri" w:eastAsia="Times New Roman" w:hAnsi="Calibri" w:cs="Calibri"/>
                <w:i/>
                <w:iCs/>
                <w:color w:val="000000"/>
              </w:rPr>
              <w:fldChar w:fldCharType="end"/>
            </w:r>
          </w:p>
        </w:tc>
        <w:tc>
          <w:tcPr>
            <w:tcW w:w="234" w:type="dxa"/>
          </w:tcPr>
          <w:p w14:paraId="5C10F39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115F13A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roofErr w:type="spellStart"/>
            <w:r>
              <w:t>Fahion</w:t>
            </w:r>
            <w:proofErr w:type="spellEnd"/>
            <w:r>
              <w:t>-MNIST; CIFAR-(10/100)</w:t>
            </w:r>
          </w:p>
        </w:tc>
        <w:tc>
          <w:tcPr>
            <w:tcW w:w="2702" w:type="dxa"/>
          </w:tcPr>
          <w:p w14:paraId="0780941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w:t>
            </w:r>
          </w:p>
        </w:tc>
        <w:tc>
          <w:tcPr>
            <w:tcW w:w="1808" w:type="dxa"/>
          </w:tcPr>
          <w:p w14:paraId="6ABD8A8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0478068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0BA0413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33" w:type="dxa"/>
          </w:tcPr>
          <w:p w14:paraId="1DF1B2D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5C66CB3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6E8F6A3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0EEA2995"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4849E0C4"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27A698DF"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2ABD66DA"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Ye</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{"citationID":"a2n0ep492vg","properties":{"formattedCitation":"\\super 106\\nosupersub{}","plainCitation":"106","noteIndex":0},"citationItems":[{"id":265,"uris":["http://zotero.org/users/local/HJepGCSn/items/DCZVMSKX"],"itemData":{"id":265,"type":"article-journal","abstract":"Machine learning models are vulnerable to data inference attacks, such as membership inference and model inversion attacks. In these types of breaches, an adversary attempts to infer a data record’s membership in a dataset or even reconstruct this data record using a confidence score vector predicted by the target model. However, most existing defense methods only protect against membership inference attacks. Methods that can combat both types of attacks require a new model to be trained, which may not be time-efficient. In this paper, we propose a differentially private defense method that handles both types of attacks in a time-efficient manner by tuning only one parameter, the privacy budget. The central idea is to modify and normalize the confidence score vectors with a differential privacy mechanism which preserves privacy and obscures membership and reconstructed data. Moreover, this method can guarantee the order of scores in the vector to avoid any loss in classification accuracy. The experimental results show the method to be an effective and timely defense against both membership inference and model inversion attacks with no reduction in accuracy.","container-title":"IEEE Transactions on Information Forensics and Security","DOI":"10.1109/TIFS.2022.3163591","ISSN":"1556-6021","note":"event-title: IEEE Transactions on Information Forensics and Security","page":"1466-1480","source":"IEEE Xplore","title":"One Parameter Defense—Defending Against Data Inference Attacks via Differential Privacy","volume":"17","author":[{"family":"Ye","given":"Dayong"},{"family":"Shen","given":"Sheng"},{"family":"Zhu","given":"Tianqing"},{"family":"Liu","given":"Bo"},{"family":"Zhou","given":"Wanlei"}],"issued":{"date-parts":[["2022"]]}}}],"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106</w:t>
            </w:r>
            <w:r>
              <w:rPr>
                <w:rFonts w:ascii="Calibri" w:eastAsia="Times New Roman" w:hAnsi="Calibri" w:cs="Calibri"/>
                <w:i/>
                <w:iCs/>
                <w:color w:val="000000"/>
              </w:rPr>
              <w:fldChar w:fldCharType="end"/>
            </w:r>
          </w:p>
        </w:tc>
        <w:tc>
          <w:tcPr>
            <w:tcW w:w="234" w:type="dxa"/>
          </w:tcPr>
          <w:p w14:paraId="3F1F7297"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347BE9F1"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MNIST; Fashion-MNIST; CIFAR-10</w:t>
            </w:r>
          </w:p>
        </w:tc>
        <w:tc>
          <w:tcPr>
            <w:tcW w:w="2702" w:type="dxa"/>
          </w:tcPr>
          <w:p w14:paraId="10CA894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Convolutional Neural Network</w:t>
            </w:r>
          </w:p>
        </w:tc>
        <w:tc>
          <w:tcPr>
            <w:tcW w:w="1808" w:type="dxa"/>
          </w:tcPr>
          <w:p w14:paraId="45017AF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64D7B14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41B885D9"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5EF3B13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45E38871"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44F626A0"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32349E38"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r>
      <w:tr w:rsidR="00375D17" w14:paraId="0109F40E"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3D436446"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Mao</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{"citationID":"agmhv4arq5","properties":{"formattedCitation":"\\super 107\\nosupersub{}","plainCitation":"107","noteIndex":0},"citationItems":[{"id":278,"uris":["http://zotero.org/users/local/HJepGCSn/items/MFIQ9IXD"],"itemData":{"id":278,"type":"article-journal","abstract":"Vast data and computing resources are commonly needed to train deep neural networks, causing an unaffordable price for individual users. Motivated by the increasing demands of deep learning applications, sharing well-trained models becomes popular. The owner of a pre-trained model can share it by publishing the model directly or providing a prediction interface. Either way, individual users can benefit from deep learning without much cost, and computing resources can be saved. However, recent studies of machine learning security have identified severe threats to these model publishing approaches. This article will focus on the privacy leakage issue of publishing well-trained deep neural network models. To tackle this problem, we propose a series of secure model publishing solutions based on training task parallelism. Specifically, we show how to estimate private model parameters through parallel model training and generate new model parameters in a privacy-preserving manner to replace the original ones for publishing. Based on data parallelism and parameter generating techniques, we design another two solutions concentrating on model quality and parameter privacy, respectively. Through privacy leakage analysis and experimental attack evaluation, we conclude that deep neural network models published with our solutions can provide on-demand model quality guarantees and resist membership inference attacks.","container-title":"IEEE Transactions on Parallel and Distributed Systems","DOI":"10.1109/TPDS.2021.3129612","ISSN":"1558-2183","issue":"11","note":"event-title: IEEE Transactions on Parallel and Distributed Systems","page":"3079-3091","source":"IEEE Xplore","title":"Secure Deep Neural Network Models Publishing Against Membership Inference Attacks Via Training Task Parallelism","volume":"33","author":[{"family":"Mao","given":"Yunlong"},{"family":"Hong","given":"Wenbo"},{"family":"Zhu","given":"Boyu"},{"family":"Zhu","given":"Zhifei"},{"family":"Zhang","given":"Yuan"},{"family":"Zhong","given":"Sheng"}],"issued":{"date-parts":[["2022",11]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107</w:t>
            </w:r>
            <w:r>
              <w:rPr>
                <w:rFonts w:ascii="Calibri" w:eastAsia="Times New Roman" w:hAnsi="Calibri" w:cs="Calibri"/>
                <w:i/>
                <w:iCs/>
                <w:color w:val="000000"/>
              </w:rPr>
              <w:fldChar w:fldCharType="end"/>
            </w:r>
          </w:p>
        </w:tc>
        <w:tc>
          <w:tcPr>
            <w:tcW w:w="234" w:type="dxa"/>
          </w:tcPr>
          <w:p w14:paraId="5D6AB34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616CD9E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CIFAR-Net; SVHN-Net; MNIST-Net</w:t>
            </w:r>
          </w:p>
        </w:tc>
        <w:tc>
          <w:tcPr>
            <w:tcW w:w="2702" w:type="dxa"/>
          </w:tcPr>
          <w:p w14:paraId="27F0395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Deep Neural Network</w:t>
            </w:r>
          </w:p>
        </w:tc>
        <w:tc>
          <w:tcPr>
            <w:tcW w:w="1808" w:type="dxa"/>
          </w:tcPr>
          <w:p w14:paraId="45D501A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17ACE98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5F8726D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5EEB228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7D97CBD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Precision; Recall</w:t>
            </w:r>
          </w:p>
        </w:tc>
        <w:tc>
          <w:tcPr>
            <w:tcW w:w="781" w:type="dxa"/>
            <w:tcBorders>
              <w:left w:val="single" w:sz="4" w:space="0" w:color="auto"/>
              <w:right w:val="single" w:sz="4" w:space="0" w:color="auto"/>
            </w:tcBorders>
            <w:vAlign w:val="center"/>
          </w:tcPr>
          <w:p w14:paraId="4373BF3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A7A646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5469FC8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688A1087"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75E48038"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Hu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{"citationID":"a1rtdmj4lk6","properties":{"formattedCitation":"\\super 108\\nosupersub{}","plainCitation":"108","noteIndex":0},"citationItems":[{"id":742,"uris":["http://zotero.org/users/local/HJepGCSn/items/SS6K8FGG"],"itemData":{"id":742,"type":"article-journal","abstract":"The success of machine learning (ML) depends on the availability of large-scale datasets. However, recent studies have shown that models trained on such datasets are vulnerable to privacy attacks, among which membership inference attack (MIA) brings serious privacy risk. MIA allows an adversary to infer whether a sample belongs to the training dataset of the target model or not. Though a variety of defenses against MIA have been proposed such as differential privacy and adversarial regularization, they also result in lower model accuracy and thus make the models less unusable. In this paper, aiming at maintaining the accuracy while protecting the privacy against MIA, we propose a new defense against membership inference attacks by generative adversarial network (GAN). Specifically, sensitive data is used to train a GAN, then the GAN generate the data for training the actual model. To ensure that the model trained with GAN on small datasets can has high utility, two different GAN structures with special training techniques are utilized to deal with the image data and table data, respectively. Experiment results show that the defense is more effective on different data sets against the existing attack schemes, and is more efficient compared with most advanced MIA defenses.","container-title":"IEEE Transactions on Dependable and Secure Computing","DOI":"10.1109/TDSC.2022.3174569","ISSN":"1941-0018","note":"event-title: IEEE Transactions on Dependable and Secure Computing","page":"1-1","source":"IEEE Xplore","title":"Defending against Membership Inference Attacks with High Utility by GAN","author":[{"family":"Hu","given":"Li"},{"family":"Li","given":"Jin"},{"family":"Lin","given":"Guanbiao"},{"family":"Peng","given":"Shiyu"},{"family":"Zhang","given":"Zhenxin"},{"family":"Zhang","given":"Yingying"},{"family":"Dong","given":"Changyu"}],"issued":{"date-parts":[["2022"]]}}}],"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108</w:t>
            </w:r>
            <w:r>
              <w:rPr>
                <w:rFonts w:ascii="Calibri" w:eastAsia="Times New Roman" w:hAnsi="Calibri" w:cs="Calibri"/>
                <w:i/>
                <w:iCs/>
                <w:color w:val="000000"/>
              </w:rPr>
              <w:fldChar w:fldCharType="end"/>
            </w:r>
          </w:p>
        </w:tc>
        <w:tc>
          <w:tcPr>
            <w:tcW w:w="234" w:type="dxa"/>
          </w:tcPr>
          <w:p w14:paraId="5A17DAF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6037BCB2"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Purchase-(2/20/100); Location</w:t>
            </w:r>
          </w:p>
        </w:tc>
        <w:tc>
          <w:tcPr>
            <w:tcW w:w="2702" w:type="dxa"/>
          </w:tcPr>
          <w:p w14:paraId="554EF4B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5110156F"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7113193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04BA4CC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7A2088B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4D29E28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5AE4D752"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1825430D"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6D6690C1"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13A8FDD6"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Chen</w:t>
            </w:r>
            <w:r>
              <w:rPr>
                <w:rFonts w:ascii="Calibri" w:eastAsia="Times New Roman" w:hAnsi="Calibri" w:cs="Calibri"/>
                <w:color w:val="000000"/>
              </w:rPr>
              <w:t xml:space="preserve"> </w:t>
            </w:r>
            <w:r>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color w:val="000000"/>
              </w:rPr>
              <w:fldChar w:fldCharType="begin"/>
            </w:r>
            <w:r>
              <w:rPr>
                <w:rFonts w:ascii="Calibri" w:eastAsia="Times New Roman" w:hAnsi="Calibri" w:cs="Calibri"/>
                <w:color w:val="000000"/>
              </w:rPr>
              <w:instrText xml:space="preserve"> ADDIN ZOTERO_ITEM CSL_CITATION {"citationID":"LrrAh0l3","properties":{"formattedCitation":"\\super 109\\nosupersub{}","plainCitation":"109","noteIndex":0},"citationItems":[{"id":744,"uris":["http://zotero.org/users/local/HJepGCSn/items/923LATSN"],"itemData":{"id":744,"type":"paper-conference","abstract":"As a long-term threat to the privacy of training data, membership inference attacks (MIAs) emerge ubiquitously in machine learning models.\nExisting works evidence strong connection between the...","event-title":"International Conference on Learning Representations","language":"en","source":"openreview.net","title":"RelaxLoss: Defending Membership Inference Attacks without Losing Utility","title-short":"RelaxLoss","URL":"https://openreview.net/forum?id=FEDfGWVZYIn","author":[{"family":"Chen","given":"Dingfan"},{"family":"Yu","given":"Ning"},{"family":"Fritz","given":"Mario"}],"accessed":{"date-parts":[["2022",9,26]]},"issued":{"date-parts":[["2022",3,15]]}},"label":"page"}],"schema":"https://github.com/citation-style-language/schema/raw/master/csl-citation.json"} </w:instrText>
            </w:r>
            <w:r>
              <w:rPr>
                <w:rFonts w:ascii="Calibri" w:eastAsia="Times New Roman" w:hAnsi="Calibri" w:cs="Calibri"/>
                <w:color w:val="000000"/>
              </w:rPr>
              <w:fldChar w:fldCharType="separate"/>
            </w:r>
            <w:r w:rsidRPr="00F7322E">
              <w:rPr>
                <w:rFonts w:ascii="Calibri" w:hAnsi="Calibri" w:cs="Calibri"/>
                <w:szCs w:val="24"/>
                <w:vertAlign w:val="superscript"/>
              </w:rPr>
              <w:t>109</w:t>
            </w:r>
            <w:r>
              <w:rPr>
                <w:rFonts w:ascii="Calibri" w:eastAsia="Times New Roman" w:hAnsi="Calibri" w:cs="Calibri"/>
                <w:color w:val="000000"/>
              </w:rPr>
              <w:fldChar w:fldCharType="end"/>
            </w:r>
          </w:p>
        </w:tc>
        <w:tc>
          <w:tcPr>
            <w:tcW w:w="234" w:type="dxa"/>
          </w:tcPr>
          <w:p w14:paraId="551EB8B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16A0D9E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Texas-100; Purchase-100</w:t>
            </w:r>
          </w:p>
        </w:tc>
        <w:tc>
          <w:tcPr>
            <w:tcW w:w="2702" w:type="dxa"/>
          </w:tcPr>
          <w:p w14:paraId="33D4978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7DC63F1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396EDA1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White-Box</w:t>
            </w:r>
          </w:p>
          <w:p w14:paraId="6CB0F5D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5BD3813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5C10BB4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AUC</w:t>
            </w:r>
          </w:p>
        </w:tc>
        <w:tc>
          <w:tcPr>
            <w:tcW w:w="781" w:type="dxa"/>
            <w:tcBorders>
              <w:left w:val="single" w:sz="4" w:space="0" w:color="auto"/>
              <w:right w:val="single" w:sz="4" w:space="0" w:color="auto"/>
            </w:tcBorders>
            <w:vAlign w:val="center"/>
          </w:tcPr>
          <w:p w14:paraId="08ED514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135423BB"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1DEB77FB"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r>
      <w:tr w:rsidR="00375D17" w14:paraId="6CE25F3C"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12CC1B46"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Wang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{"citationID":"a3fiqs74bj","properties":{"formattedCitation":"\\super 110\\nosupersub{}","plainCitation":"110","noteIndex":0},"citationItems":[{"id":236,"uris":["http://zotero.org/users/local/HJepGCSn/items/BDUEWDXJ"],"itemData":{"id":236,"type":"article","abstract":"Learned recommender systems may inadvertently leak information about their training data, leading to privacy violations. We investigate privacy threats faced by recommender systems through the lens of membership inference. In such attacks, an adversary aims to infer whether a user's data is used to train the target recommender. To achieve this, previous work has used a shadow recommender to derive training data for the attack model, and then predicts the membership by calculating difference vectors between users' historical interactions and recommended items. State-of-the-art methods face two challenging problems: (1) training data for the attack model is biased due to the gap between shadow and target recommenders, and (2) hidden states in recommenders are not observational, resulting in inaccurate estimations of difference vectors. To address the above limitations, we propose a Debiasing Learning for Membership Inference Attacks against recommender systems (DL-MIA) framework that has four main components: (1) a difference vector generator, (2) a disentangled encoder, (3) a weight estimator, and (4) an attack model. To mitigate the gap between recommenders, a variational auto-encoder (VAE) based disentangled encoder is devised to identify recommender invariant and specific features. To reduce the estimation bias, we design a weight estimator, assigning a truth-level score for each difference vector to indicate estimation accuracy. We evaluate DL-MIA against both general recommenders and sequential recommenders on three real-world datasets. Experimental results show that DL-MIA effectively alleviates training and estimation biases simultaneously, and achieves state-of-the-art attack performance.","DOI":"10.1145/3534678.3539392","note":"arXiv:2206.12401 [cs]","source":"arXiv.org","title":"Debiasing Learning for Membership Inference Attacks Against Recommender Systems","URL":"http://arxiv.org/abs/2206.12401","author":[{"family":"Wang","given":"Zihan"},{"family":"Huang","given":"Na"},{"family":"Sun","given":"Fei"},{"family":"Ren","given":"Pengjie"},{"family":"Chen","given":"Zhumin"},{"family":"Luo","given":"Hengliang"},{"family":"Rijke","given":"Maarten","non-dropping-particle":"de"},{"family":"Ren","given":"Zhaochun"}],"accessed":{"date-parts":[["2022",7,20]]},"issued":{"date-parts":[["2022",6,28]]}}}],"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110</w:t>
            </w:r>
            <w:r>
              <w:rPr>
                <w:rFonts w:ascii="Calibri" w:eastAsia="Times New Roman" w:hAnsi="Calibri" w:cs="Calibri"/>
                <w:i/>
                <w:iCs/>
                <w:color w:val="000000"/>
              </w:rPr>
              <w:fldChar w:fldCharType="end"/>
            </w:r>
          </w:p>
        </w:tc>
        <w:tc>
          <w:tcPr>
            <w:tcW w:w="234" w:type="dxa"/>
          </w:tcPr>
          <w:p w14:paraId="3B3F1A48"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7EE00B6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roofErr w:type="spellStart"/>
            <w:r>
              <w:t>MovieLens</w:t>
            </w:r>
            <w:proofErr w:type="spellEnd"/>
            <w:r>
              <w:t>; Amazon Reviews</w:t>
            </w:r>
          </w:p>
        </w:tc>
        <w:tc>
          <w:tcPr>
            <w:tcW w:w="2702" w:type="dxa"/>
          </w:tcPr>
          <w:p w14:paraId="74235B8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Variational Autoencoder</w:t>
            </w:r>
          </w:p>
        </w:tc>
        <w:tc>
          <w:tcPr>
            <w:tcW w:w="1808" w:type="dxa"/>
          </w:tcPr>
          <w:p w14:paraId="0B7BC29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Recommender</w:t>
            </w:r>
          </w:p>
        </w:tc>
        <w:tc>
          <w:tcPr>
            <w:tcW w:w="1407" w:type="dxa"/>
          </w:tcPr>
          <w:p w14:paraId="25E494F0"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4D32879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2689765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AUC</w:t>
            </w:r>
          </w:p>
        </w:tc>
        <w:tc>
          <w:tcPr>
            <w:tcW w:w="781" w:type="dxa"/>
            <w:tcBorders>
              <w:left w:val="single" w:sz="4" w:space="0" w:color="auto"/>
              <w:right w:val="single" w:sz="4" w:space="0" w:color="auto"/>
            </w:tcBorders>
            <w:vAlign w:val="center"/>
          </w:tcPr>
          <w:p w14:paraId="028EAFF2"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7008871"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2A7F335E"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540B1DC3"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436C6294"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Hu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{"citationID":"ahca2d0s4b","properties":{"formattedCitation":"\\super 111\\nosupersub{}","plainCitation":"111","noteIndex":0},"citationItems":[{"id":240,"uris":["http://zotero.org/users/local/HJepGCSn/items/ASEMQDIL"],"itemData":{"id":240,"type":"article","abstract":"Recently issued data privacy regulations like GDPR (General Data Protection Regulation) grant individuals the right to be forgotten. In the context of machine learning, this requires a model to forget about a training data sample if requested by the data owner (i.e., machine unlearning). As an essential step prior to machine unlearning, it is still a challenge for a data owner to tell whether or not her data have been used by an unauthorized party to train a machine learning model. Membership inference is a recently emerging technique to identify whether a data sample was used to train a target model, and seems to be a promising solution to this challenge. However, straightforward adoption of existing membership inference approaches fails to address the challenge effectively due to being originally designed for attacking membership privacy and suffering from several severe limitations such as low inference accuracy on well-generalized models. In this paper, we propose a novel membership inference approach inspired by the backdoor technology to address the said challenge. Specifically, our approach of Membership Inference via Backdooring (MIB) leverages the key observation that a backdoored model behaves very differently from a clean model when predicting on deliberately marked samples created by a data owner. Appealingly, MIB requires data owners' marking a small number of samples for membership inference and only black-box access to the target model, with theoretical guarantees for inference results. We perform extensive experiments on various datasets and deep neural network architectures, and the results validate the efficacy of our approach, e.g., marking only 0.1% of the training dataset is practically sufficient for effective membership inference.","DOI":"10.48550/arXiv.2206.04823","note":"arXiv:2206.04823 [cs]","number":"arXiv:2206.04823","publisher":"arXiv","source":"arXiv.org","title":"Membership Inference via Backdooring","URL":"http://arxiv.org/abs/2206.04823","author":[{"family":"Hu","given":"Hongsheng"},{"family":"Salcic","given":"Zoran"},{"family":"Dobbie","given":"Gillian"},{"family":"Chen","given":"Jinjun"},{"family":"Sun","given":"Lichao"},{"family":"Zhang","given":"Xuyun"}],"accessed":{"date-parts":[["2022",7,20]]},"issued":{"date-parts":[["2022",6,9]]}}}],"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111</w:t>
            </w:r>
            <w:r>
              <w:rPr>
                <w:rFonts w:ascii="Calibri" w:eastAsia="Times New Roman" w:hAnsi="Calibri" w:cs="Calibri"/>
                <w:i/>
                <w:iCs/>
                <w:color w:val="000000"/>
              </w:rPr>
              <w:fldChar w:fldCharType="end"/>
            </w:r>
          </w:p>
        </w:tc>
        <w:tc>
          <w:tcPr>
            <w:tcW w:w="234" w:type="dxa"/>
          </w:tcPr>
          <w:p w14:paraId="300EA34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3C99C62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CIFAR-10; Location-30; Purchase-100</w:t>
            </w:r>
          </w:p>
        </w:tc>
        <w:tc>
          <w:tcPr>
            <w:tcW w:w="2702" w:type="dxa"/>
          </w:tcPr>
          <w:p w14:paraId="7252F82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 Fully Connected Neural Network</w:t>
            </w:r>
          </w:p>
        </w:tc>
        <w:tc>
          <w:tcPr>
            <w:tcW w:w="1808" w:type="dxa"/>
          </w:tcPr>
          <w:p w14:paraId="74076016"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59FE1D82"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04BEE543"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2A6DF76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57BA2AB9"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1C05ED66"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2A71350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0EBCCDD1"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498196BC"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Liu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{"citationID":"a22tk7bjg0p","properties":{"formattedCitation":"\\super 112\\nosupersub{}","plainCitation":"112","noteIndex":0},"citationItems":[{"id":695,"uris":["http://zotero.org/users/local/HJepGCSn/items/CZQDD55W"],"itemData":{"id":695,"type":"article-journal","abstract":"Machine learning (ML) has achieved huge success in recent years, but is also vulnerable to various attacks. In this article, we concentrate on membership inference attacks and propose Aster, which merely requires the target model's black-box API and a data sample to determine whether this sample was used to train the given ML model or not. The key idea of Aster is that the training data of a fully trained ML model usually has lower prediction sensitivities compared with that of the non-training data (i.e., testing data). Less sensitivity means that when perturbing a training sample's feature value in the corresponding feature space, the prediction of the perturbed sample obtained from the target model tends to be consistent with the original prediction. In this article, we quantify the prediction sensitivity with the Jacobian matrix which could reflect the relationship between each feature's perturbation and the corresponding prediction's change. Then we regard the samples with a lower as training data. Aster can breach the membership privacy of the target model's training data with no prior knowledge about the target model or its training data. The experiment results on four datasets show that our method outperforms three state-of-the-art inference attacks.","container-title":"IEEE Transactions on Dependable and Secure Computing","DOI":"10.1109/TDSC.2022.3180828","ISSN":"1941-0018","note":"event-title: IEEE Transactions on Dependable and Secure Computing","page":"1-8","source":"IEEE Xplore","title":"Membership Inference Attacks Against Machine Learning Models via Prediction Sensitivity","author":[{"family":"Liu","given":"Lan"},{"family":"Wang","given":"Yi"},{"family":"Liu","given":"Gaoyang"},{"family":"Peng","given":"Kai"},{"family":"Wang","given":"Chen"}],"issued":{"date-parts":[["2022"]]}}}],"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112</w:t>
            </w:r>
            <w:r>
              <w:rPr>
                <w:rFonts w:ascii="Calibri" w:eastAsia="Times New Roman" w:hAnsi="Calibri" w:cs="Calibri"/>
                <w:i/>
                <w:iCs/>
                <w:color w:val="000000"/>
              </w:rPr>
              <w:fldChar w:fldCharType="end"/>
            </w:r>
          </w:p>
        </w:tc>
        <w:tc>
          <w:tcPr>
            <w:tcW w:w="234" w:type="dxa"/>
          </w:tcPr>
          <w:p w14:paraId="0B807C6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5B31F1B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Adult; Bank; Purchase-100; MNIST</w:t>
            </w:r>
          </w:p>
        </w:tc>
        <w:tc>
          <w:tcPr>
            <w:tcW w:w="2702" w:type="dxa"/>
          </w:tcPr>
          <w:p w14:paraId="2612889E"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Logistic Regression; Random Forest; Neural Network; Support Vector Machine</w:t>
            </w:r>
          </w:p>
          <w:p w14:paraId="300FE36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p w14:paraId="6C939D4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808" w:type="dxa"/>
          </w:tcPr>
          <w:p w14:paraId="7605120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3B920FD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6D761E2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676F3B05"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Precision; Recall</w:t>
            </w:r>
          </w:p>
        </w:tc>
        <w:tc>
          <w:tcPr>
            <w:tcW w:w="781" w:type="dxa"/>
            <w:tcBorders>
              <w:left w:val="single" w:sz="4" w:space="0" w:color="auto"/>
              <w:right w:val="single" w:sz="4" w:space="0" w:color="auto"/>
            </w:tcBorders>
            <w:vAlign w:val="center"/>
          </w:tcPr>
          <w:p w14:paraId="3138170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4FD8CDD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4B5ECBC9"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rsidRPr="00443DC9" w14:paraId="771865BA" w14:textId="77777777" w:rsidTr="00530265">
        <w:tc>
          <w:tcPr>
            <w:cnfStyle w:val="001000000000" w:firstRow="0" w:lastRow="0" w:firstColumn="1" w:lastColumn="0" w:oddVBand="0" w:evenVBand="0" w:oddHBand="0" w:evenHBand="0" w:firstRowFirstColumn="0" w:firstRowLastColumn="0" w:lastRowFirstColumn="0" w:lastRowLastColumn="0"/>
            <w:tcW w:w="2329" w:type="dxa"/>
            <w:vMerge w:val="restart"/>
            <w:tcBorders>
              <w:top w:val="single" w:sz="24" w:space="0" w:color="auto"/>
            </w:tcBorders>
          </w:tcPr>
          <w:p w14:paraId="7C307EB3" w14:textId="77777777" w:rsidR="00375D17" w:rsidRPr="00443DC9" w:rsidRDefault="00375D17" w:rsidP="00530265">
            <w:pPr>
              <w:rPr>
                <w:b w:val="0"/>
                <w:bCs w:val="0"/>
                <w:sz w:val="24"/>
                <w:szCs w:val="24"/>
              </w:rPr>
            </w:pPr>
          </w:p>
          <w:p w14:paraId="6B798692" w14:textId="77777777" w:rsidR="00375D17" w:rsidRPr="00443DC9" w:rsidRDefault="00375D17" w:rsidP="00530265">
            <w:pPr>
              <w:rPr>
                <w:b w:val="0"/>
                <w:bCs w:val="0"/>
                <w:sz w:val="24"/>
                <w:szCs w:val="24"/>
              </w:rPr>
            </w:pPr>
          </w:p>
          <w:p w14:paraId="302C7E75" w14:textId="77777777" w:rsidR="00375D17" w:rsidRPr="00443DC9" w:rsidRDefault="00375D17" w:rsidP="00530265">
            <w:pPr>
              <w:rPr>
                <w:sz w:val="24"/>
                <w:szCs w:val="24"/>
              </w:rPr>
            </w:pPr>
            <w:r w:rsidRPr="00443DC9">
              <w:rPr>
                <w:sz w:val="24"/>
                <w:szCs w:val="24"/>
              </w:rPr>
              <w:t>Authors (Year)</w:t>
            </w:r>
          </w:p>
        </w:tc>
        <w:tc>
          <w:tcPr>
            <w:tcW w:w="234" w:type="dxa"/>
            <w:tcBorders>
              <w:top w:val="single" w:sz="24" w:space="0" w:color="auto"/>
            </w:tcBorders>
          </w:tcPr>
          <w:p w14:paraId="35FC2C3D" w14:textId="77777777" w:rsidR="00375D17" w:rsidRPr="00443DC9" w:rsidRDefault="00375D17" w:rsidP="00530265">
            <w:pPr>
              <w:cnfStyle w:val="000000000000" w:firstRow="0" w:lastRow="0" w:firstColumn="0" w:lastColumn="0" w:oddVBand="0" w:evenVBand="0" w:oddHBand="0" w:evenHBand="0" w:firstRowFirstColumn="0" w:firstRowLastColumn="0" w:lastRowFirstColumn="0" w:lastRowLastColumn="0"/>
              <w:rPr>
                <w:sz w:val="24"/>
                <w:szCs w:val="24"/>
              </w:rPr>
            </w:pPr>
          </w:p>
        </w:tc>
        <w:tc>
          <w:tcPr>
            <w:tcW w:w="8050" w:type="dxa"/>
            <w:gridSpan w:val="4"/>
            <w:tcBorders>
              <w:top w:val="single" w:sz="24" w:space="0" w:color="auto"/>
            </w:tcBorders>
          </w:tcPr>
          <w:p w14:paraId="263A02EB"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Setting</w:t>
            </w:r>
          </w:p>
        </w:tc>
        <w:tc>
          <w:tcPr>
            <w:tcW w:w="233" w:type="dxa"/>
            <w:tcBorders>
              <w:top w:val="single" w:sz="24" w:space="0" w:color="auto"/>
              <w:bottom w:val="nil"/>
            </w:tcBorders>
          </w:tcPr>
          <w:p w14:paraId="1A8EB449"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p>
        </w:tc>
        <w:tc>
          <w:tcPr>
            <w:tcW w:w="4083" w:type="dxa"/>
            <w:gridSpan w:val="4"/>
            <w:tcBorders>
              <w:top w:val="single" w:sz="24" w:space="0" w:color="auto"/>
              <w:bottom w:val="single" w:sz="12" w:space="0" w:color="auto"/>
            </w:tcBorders>
            <w:vAlign w:val="center"/>
          </w:tcPr>
          <w:p w14:paraId="6FA70FDC" w14:textId="77777777" w:rsidR="00375D17" w:rsidRPr="00443DC9" w:rsidRDefault="00375D17" w:rsidP="00530265">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443DC9">
              <w:rPr>
                <w:b/>
                <w:bCs/>
                <w:sz w:val="24"/>
                <w:szCs w:val="24"/>
              </w:rPr>
              <w:t>Attack Performance</w:t>
            </w:r>
          </w:p>
        </w:tc>
      </w:tr>
      <w:tr w:rsidR="00375D17" w:rsidRPr="00443DC9" w14:paraId="5A30DAB6"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vMerge/>
            <w:tcBorders>
              <w:bottom w:val="single" w:sz="24" w:space="0" w:color="auto"/>
            </w:tcBorders>
          </w:tcPr>
          <w:p w14:paraId="7E0385AE" w14:textId="77777777" w:rsidR="00375D17" w:rsidRPr="00443DC9" w:rsidRDefault="00375D17" w:rsidP="00530265">
            <w:pPr>
              <w:rPr>
                <w:b w:val="0"/>
                <w:bCs w:val="0"/>
                <w:sz w:val="24"/>
                <w:szCs w:val="24"/>
              </w:rPr>
            </w:pPr>
          </w:p>
        </w:tc>
        <w:tc>
          <w:tcPr>
            <w:tcW w:w="234" w:type="dxa"/>
            <w:tcBorders>
              <w:bottom w:val="single" w:sz="24" w:space="0" w:color="auto"/>
            </w:tcBorders>
            <w:shd w:val="clear" w:color="auto" w:fill="FFFFFF" w:themeFill="background1"/>
          </w:tcPr>
          <w:p w14:paraId="682C60D1"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2133" w:type="dxa"/>
            <w:tcBorders>
              <w:top w:val="single" w:sz="12" w:space="0" w:color="auto"/>
              <w:bottom w:val="single" w:sz="24" w:space="0" w:color="auto"/>
            </w:tcBorders>
            <w:shd w:val="clear" w:color="auto" w:fill="FFFFFF" w:themeFill="background1"/>
            <w:vAlign w:val="bottom"/>
          </w:tcPr>
          <w:p w14:paraId="098B0E77"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Training Dataset(s)</w:t>
            </w:r>
          </w:p>
        </w:tc>
        <w:tc>
          <w:tcPr>
            <w:tcW w:w="2702" w:type="dxa"/>
            <w:tcBorders>
              <w:top w:val="single" w:sz="12" w:space="0" w:color="auto"/>
              <w:bottom w:val="single" w:sz="24" w:space="0" w:color="auto"/>
            </w:tcBorders>
            <w:shd w:val="clear" w:color="auto" w:fill="FFFFFF" w:themeFill="background1"/>
            <w:vAlign w:val="bottom"/>
          </w:tcPr>
          <w:p w14:paraId="36B6AB38"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Target Model Architecture(s)</w:t>
            </w:r>
          </w:p>
        </w:tc>
        <w:tc>
          <w:tcPr>
            <w:tcW w:w="1808" w:type="dxa"/>
            <w:tcBorders>
              <w:top w:val="single" w:sz="12" w:space="0" w:color="auto"/>
              <w:bottom w:val="single" w:sz="24" w:space="0" w:color="auto"/>
            </w:tcBorders>
            <w:shd w:val="clear" w:color="auto" w:fill="FFFFFF" w:themeFill="background1"/>
            <w:vAlign w:val="bottom"/>
          </w:tcPr>
          <w:p w14:paraId="18D361D5"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 xml:space="preserve">Target Model Task </w:t>
            </w:r>
          </w:p>
        </w:tc>
        <w:tc>
          <w:tcPr>
            <w:tcW w:w="1407" w:type="dxa"/>
            <w:tcBorders>
              <w:top w:val="single" w:sz="12" w:space="0" w:color="auto"/>
              <w:bottom w:val="single" w:sz="24" w:space="0" w:color="auto"/>
            </w:tcBorders>
            <w:shd w:val="clear" w:color="auto" w:fill="FFFFFF" w:themeFill="background1"/>
            <w:vAlign w:val="bottom"/>
          </w:tcPr>
          <w:p w14:paraId="005CDDBB"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Attack Knowledge</w:t>
            </w:r>
          </w:p>
        </w:tc>
        <w:tc>
          <w:tcPr>
            <w:tcW w:w="233" w:type="dxa"/>
            <w:tcBorders>
              <w:top w:val="nil"/>
              <w:bottom w:val="single" w:sz="24" w:space="0" w:color="auto"/>
            </w:tcBorders>
            <w:shd w:val="clear" w:color="auto" w:fill="FFFFFF" w:themeFill="background1"/>
            <w:vAlign w:val="bottom"/>
          </w:tcPr>
          <w:p w14:paraId="05B30F00" w14:textId="77777777" w:rsidR="00375D17" w:rsidRPr="00443DC9" w:rsidRDefault="00375D17" w:rsidP="00530265">
            <w:pPr>
              <w:cnfStyle w:val="000000100000" w:firstRow="0" w:lastRow="0" w:firstColumn="0" w:lastColumn="0" w:oddVBand="0" w:evenVBand="0" w:oddHBand="1" w:evenHBand="0" w:firstRowFirstColumn="0" w:firstRowLastColumn="0" w:lastRowFirstColumn="0" w:lastRowLastColumn="0"/>
              <w:rPr>
                <w:b/>
                <w:bCs/>
                <w:sz w:val="24"/>
                <w:szCs w:val="24"/>
              </w:rPr>
            </w:pPr>
          </w:p>
        </w:tc>
        <w:tc>
          <w:tcPr>
            <w:tcW w:w="1794" w:type="dxa"/>
            <w:tcBorders>
              <w:top w:val="single" w:sz="12" w:space="0" w:color="auto"/>
              <w:bottom w:val="single" w:sz="24" w:space="0" w:color="auto"/>
              <w:right w:val="single" w:sz="4" w:space="0" w:color="auto"/>
            </w:tcBorders>
            <w:shd w:val="clear" w:color="auto" w:fill="FFFFFF" w:themeFill="background1"/>
            <w:vAlign w:val="center"/>
          </w:tcPr>
          <w:p w14:paraId="41533217"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Performance Metric(s)</w:t>
            </w:r>
          </w:p>
        </w:tc>
        <w:tc>
          <w:tcPr>
            <w:tcW w:w="781" w:type="dxa"/>
            <w:tcBorders>
              <w:left w:val="single" w:sz="4" w:space="0" w:color="auto"/>
              <w:bottom w:val="single" w:sz="24" w:space="0" w:color="auto"/>
              <w:right w:val="single" w:sz="4" w:space="0" w:color="auto"/>
            </w:tcBorders>
            <w:shd w:val="clear" w:color="auto" w:fill="FFFFFF" w:themeFill="background1"/>
            <w:vAlign w:val="center"/>
          </w:tcPr>
          <w:p w14:paraId="2FB58252"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b/>
                <w:bCs/>
                <w:sz w:val="24"/>
                <w:szCs w:val="24"/>
              </w:rPr>
              <w:t>&gt;50%</w:t>
            </w:r>
          </w:p>
        </w:tc>
        <w:tc>
          <w:tcPr>
            <w:tcW w:w="754" w:type="dxa"/>
            <w:tcBorders>
              <w:left w:val="single" w:sz="4" w:space="0" w:color="auto"/>
              <w:bottom w:val="single" w:sz="24" w:space="0" w:color="auto"/>
              <w:right w:val="single" w:sz="4" w:space="0" w:color="auto"/>
            </w:tcBorders>
            <w:shd w:val="clear" w:color="auto" w:fill="FFFFFF" w:themeFill="background1"/>
            <w:vAlign w:val="center"/>
          </w:tcPr>
          <w:p w14:paraId="61554EF1"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w:t>
            </w:r>
            <w:r w:rsidRPr="00443DC9">
              <w:rPr>
                <w:b/>
                <w:bCs/>
                <w:sz w:val="24"/>
                <w:szCs w:val="24"/>
              </w:rPr>
              <w:t>75%</w:t>
            </w:r>
          </w:p>
        </w:tc>
        <w:tc>
          <w:tcPr>
            <w:tcW w:w="754" w:type="dxa"/>
            <w:tcBorders>
              <w:left w:val="single" w:sz="4" w:space="0" w:color="auto"/>
              <w:bottom w:val="single" w:sz="24" w:space="0" w:color="auto"/>
            </w:tcBorders>
            <w:shd w:val="clear" w:color="auto" w:fill="FFFFFF" w:themeFill="background1"/>
            <w:vAlign w:val="center"/>
          </w:tcPr>
          <w:p w14:paraId="20C25483" w14:textId="77777777" w:rsidR="00375D17" w:rsidRPr="00443DC9" w:rsidRDefault="00375D17" w:rsidP="00530265">
            <w:pPr>
              <w:jc w:val="center"/>
              <w:cnfStyle w:val="000000100000" w:firstRow="0" w:lastRow="0" w:firstColumn="0" w:lastColumn="0" w:oddVBand="0" w:evenVBand="0" w:oddHBand="1" w:evenHBand="0" w:firstRowFirstColumn="0" w:firstRowLastColumn="0" w:lastRowFirstColumn="0" w:lastRowLastColumn="0"/>
              <w:rPr>
                <w:b/>
                <w:bCs/>
                <w:sz w:val="24"/>
                <w:szCs w:val="24"/>
              </w:rPr>
            </w:pPr>
            <w:r w:rsidRPr="00443DC9">
              <w:rPr>
                <w:rFonts w:cstheme="minorHAnsi"/>
                <w:b/>
                <w:bCs/>
                <w:sz w:val="24"/>
                <w:szCs w:val="24"/>
              </w:rPr>
              <w:t>≥90</w:t>
            </w:r>
            <w:r w:rsidRPr="00443DC9">
              <w:rPr>
                <w:b/>
                <w:bCs/>
                <w:sz w:val="24"/>
                <w:szCs w:val="24"/>
              </w:rPr>
              <w:t>%</w:t>
            </w:r>
          </w:p>
        </w:tc>
      </w:tr>
      <w:tr w:rsidR="00375D17" w14:paraId="104FF696"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1F437001"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Zhong </w:t>
            </w:r>
            <w:r w:rsidRPr="002407A3">
              <w:rPr>
                <w:rFonts w:ascii="Calibri" w:eastAsia="Times New Roman" w:hAnsi="Calibri" w:cs="Calibri"/>
                <w:i/>
                <w:iCs/>
                <w:color w:val="000000"/>
              </w:rPr>
              <w:t>et al</w:t>
            </w:r>
            <w:r>
              <w:rPr>
                <w:rFonts w:ascii="Calibri" w:eastAsia="Times New Roman" w:hAnsi="Calibri" w:cs="Calibri"/>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{"citationID":"a16i9oql0uu","properties":{"formattedCitation":"\\super 113\\nosupersub{}","plainCitation":"113","noteIndex":0},"citationItems":[{"id":576,"uris":["http://zotero.org/users/local/HJepGCSn/items/TTCASWEK"],"itemData":{"id":576,"type":"paper-conference","abstract":"Machine learning algorithms, when applied to sensitive data, can pose severe threats to privacy. A growing body of prior work has demonstrated that membership inference attack (MIA) can disclose whether specific private data samples are present in the training data to an attacker. However, most existing studies on MIA focus on aggregated privacy leakage for an entire population, while leaving privacy leakage across different demographic subgroups (e.g., females and males) in the population largely unexplored. This raises two important issues: (1) privacy unfairness (i.e., if some subgroups are more vulnerable to MIAs than the others); and (2) defense unfairness (i.e., if the defense mechanisms provide more protection to some particular subgroups than the others). In this paper, we investigate both privacy unfairness and defense fairness.We formalize a new notation of privacy-leakage disparity (PLD), which quantifies the disparate privacy leakage of machine learning models to MIA across different subgroups. In terms of privacy unfairness, our empirical analysis of PLD on real-world datasets shows that privacy unfairness exists. The minority subgroups (i.e., the less represented subgroups) tend to have higher privacy leakage. We analyze how subgroup size and subgroup data distribution impact PLD through the lens of model memorization. In terms of defense unfairness, our empirical evaluation shows the existence of unfairness of three state-of-the-art defenses, namely differential privacy, L2-regularizer, and Dropout, against MIA. However, defense unfairness mitigates privacy unfairness as the minority subgroups receive stronger protection than the others. We analyze how the three defense mechanisms affect subgroup data distribution disparately and thus leads to defense unfairness.","collection-title":"ASIA CCS '22","container-title":"Proceedings of the 2022 ACM on Asia Conference on Computer and Communications Security","DOI":"10.1145/3488932.3501279","event-place":"New York, NY, USA","ISBN":"978-1-4503-9140-5","page":"959–974","publisher":"Association for Computing Machinery","publisher-place":"New York, NY, USA","source":"ACM Digital Library","title":"Understanding Disparate Effects of Membership Inference Attacks and their Countermeasures","URL":"https://doi.org/10.1145/3488932.3501279","author":[{"family":"Zhong","given":"Da"},{"family":"Sun","given":"Haipei"},{"family":"Xu","given":"Jun"},{"family":"Gong","given":"Neil"},{"family":"Wang","given":"Wendy Hui"}],"accessed":{"date-parts":[["2022",8,4]]},"issued":{"date-parts":[["2022",5,30]]}}}],"schema":"https://github.com/citation-style-language/schema/raw/master/csl-citation.json"}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113</w:t>
            </w:r>
            <w:r>
              <w:rPr>
                <w:rFonts w:ascii="Calibri" w:eastAsia="Times New Roman" w:hAnsi="Calibri" w:cs="Calibri"/>
                <w:i/>
                <w:iCs/>
                <w:color w:val="000000"/>
              </w:rPr>
              <w:fldChar w:fldCharType="end"/>
            </w:r>
          </w:p>
        </w:tc>
        <w:tc>
          <w:tcPr>
            <w:tcW w:w="234" w:type="dxa"/>
          </w:tcPr>
          <w:p w14:paraId="792CA1D0"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4048A56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Adult; Broward; Texas-100</w:t>
            </w:r>
          </w:p>
        </w:tc>
        <w:tc>
          <w:tcPr>
            <w:tcW w:w="2702" w:type="dxa"/>
          </w:tcPr>
          <w:p w14:paraId="3DFDDED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Neural Network</w:t>
            </w:r>
          </w:p>
        </w:tc>
        <w:tc>
          <w:tcPr>
            <w:tcW w:w="1808" w:type="dxa"/>
          </w:tcPr>
          <w:p w14:paraId="4F5AE56D"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6D206215"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0E5FB78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09100E69"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 Precision; Recall</w:t>
            </w:r>
          </w:p>
        </w:tc>
        <w:tc>
          <w:tcPr>
            <w:tcW w:w="781" w:type="dxa"/>
            <w:tcBorders>
              <w:left w:val="single" w:sz="4" w:space="0" w:color="auto"/>
              <w:right w:val="single" w:sz="4" w:space="0" w:color="auto"/>
            </w:tcBorders>
            <w:vAlign w:val="center"/>
          </w:tcPr>
          <w:p w14:paraId="48058240"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16629C42"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tcBorders>
            <w:vAlign w:val="center"/>
          </w:tcPr>
          <w:p w14:paraId="60113CA2"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r w:rsidR="00375D17" w14:paraId="2FC846CE" w14:textId="77777777" w:rsidTr="005302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29" w:type="dxa"/>
          </w:tcPr>
          <w:p w14:paraId="66B382E6"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 xml:space="preserve">Gu </w:t>
            </w:r>
            <w:r w:rsidRPr="002407A3">
              <w:rPr>
                <w:rFonts w:ascii="Calibri" w:eastAsia="Times New Roman" w:hAnsi="Calibri" w:cs="Calibri"/>
                <w:i/>
                <w:iCs/>
                <w:color w:val="000000"/>
              </w:rPr>
              <w:t>et al</w:t>
            </w:r>
            <w:r>
              <w:rPr>
                <w:rFonts w:ascii="Calibri" w:eastAsia="Times New Roman" w:hAnsi="Calibri" w:cs="Calibri"/>
                <w:i/>
                <w:iCs/>
                <w:color w:val="000000"/>
              </w:rPr>
              <w:t xml:space="preserve">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{"citationID":"a2hi1b26pnr","properties":{"formattedCitation":"\\super 114\\nosupersub{}","plainCitation":"114","noteIndex":0},"citationItems":[{"id":580,"uris":["http://zotero.org/users/local/HJepGCSn/items/8484JGBS"],"itemData":{"id":580,"type":"article-journal","abstract":"Federated learning (FL) is vulnerable to membership inference attacks even it is designed to protect users’ data during model training, as model parameters remember the information of training data. However, existing inference attacks against FL perform poorly in multi-participant scenarios. We propose CS-MIA, a novel membership inference based on prediction confidence series, posing a more critical privacy threat to FL. The inspirations of CS-MIA are the different prediction confidence of a model on training and testing data, and multiple versions of target models over rounds during FL. We use a neural network to learn individual features of confidence series on training and testing data for subsequent membership inference. We design inference algorithms for both local and global adversaries in FL. And we also design an active attack for global adversaries to extract more information. Our confidence-series-based membership inference outperforms most state-of-the-art attacks on various datasets in different scenarios, demonstrating the severe privacy leakage in FL.","container-title":"Journal of Information Security and Applications","DOI":"10.1016/j.jisa.2022.103201","ISSN":"2214-2126","journalAbbreviation":"Journal of Information Security and Applications","language":"en","page":"103201","source":"ScienceDirect","title":"CS-MIA: Membership inference attack based on prediction confidence series in federated learning","title-short":"CS-MIA","volume":"67","author":[{"family":"Gu","given":"Yuhao"},{"family":"Bai","given":"Yuebin"},{"family":"Xu","given":"Shubin"}],"issued":{"date-parts":[["2022",6,1]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114</w:t>
            </w:r>
            <w:r>
              <w:rPr>
                <w:rFonts w:ascii="Calibri" w:eastAsia="Times New Roman" w:hAnsi="Calibri" w:cs="Calibri"/>
                <w:i/>
                <w:iCs/>
                <w:color w:val="000000"/>
              </w:rPr>
              <w:fldChar w:fldCharType="end"/>
            </w:r>
          </w:p>
        </w:tc>
        <w:tc>
          <w:tcPr>
            <w:tcW w:w="234" w:type="dxa"/>
          </w:tcPr>
          <w:p w14:paraId="0FB1AA6B"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2133" w:type="dxa"/>
          </w:tcPr>
          <w:p w14:paraId="2DE37DD3"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Texas-100; Purchase-100</w:t>
            </w:r>
          </w:p>
        </w:tc>
        <w:tc>
          <w:tcPr>
            <w:tcW w:w="2702" w:type="dxa"/>
          </w:tcPr>
          <w:p w14:paraId="0B5ECEEA"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Neural Network</w:t>
            </w:r>
          </w:p>
        </w:tc>
        <w:tc>
          <w:tcPr>
            <w:tcW w:w="1808" w:type="dxa"/>
          </w:tcPr>
          <w:p w14:paraId="4F349084"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Classification</w:t>
            </w:r>
          </w:p>
        </w:tc>
        <w:tc>
          <w:tcPr>
            <w:tcW w:w="1407" w:type="dxa"/>
          </w:tcPr>
          <w:p w14:paraId="2E9909EC"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Black-Box</w:t>
            </w:r>
          </w:p>
        </w:tc>
        <w:tc>
          <w:tcPr>
            <w:tcW w:w="233" w:type="dxa"/>
          </w:tcPr>
          <w:p w14:paraId="401E60C6"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p>
        </w:tc>
        <w:tc>
          <w:tcPr>
            <w:tcW w:w="1794" w:type="dxa"/>
            <w:tcBorders>
              <w:right w:val="single" w:sz="4" w:space="0" w:color="auto"/>
            </w:tcBorders>
          </w:tcPr>
          <w:p w14:paraId="6873750D" w14:textId="77777777" w:rsidR="00375D17" w:rsidRDefault="00375D17" w:rsidP="00530265">
            <w:pPr>
              <w:cnfStyle w:val="000000100000" w:firstRow="0" w:lastRow="0" w:firstColumn="0" w:lastColumn="0" w:oddVBand="0" w:evenVBand="0" w:oddHBand="1"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305E6DDB"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right w:val="single" w:sz="4" w:space="0" w:color="auto"/>
            </w:tcBorders>
            <w:vAlign w:val="center"/>
          </w:tcPr>
          <w:p w14:paraId="31A9473F"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p>
        </w:tc>
        <w:tc>
          <w:tcPr>
            <w:tcW w:w="754" w:type="dxa"/>
            <w:tcBorders>
              <w:left w:val="single" w:sz="4" w:space="0" w:color="auto"/>
            </w:tcBorders>
            <w:vAlign w:val="center"/>
          </w:tcPr>
          <w:p w14:paraId="461F09D0" w14:textId="77777777" w:rsidR="00375D17" w:rsidRPr="003F5F63" w:rsidRDefault="00375D17" w:rsidP="00530265">
            <w:pPr>
              <w:jc w:val="center"/>
              <w:cnfStyle w:val="000000100000" w:firstRow="0" w:lastRow="0" w:firstColumn="0" w:lastColumn="0" w:oddVBand="0" w:evenVBand="0" w:oddHBand="1" w:evenHBand="0" w:firstRowFirstColumn="0" w:firstRowLastColumn="0" w:lastRowFirstColumn="0" w:lastRowLastColumn="0"/>
              <w:rPr>
                <w:sz w:val="40"/>
                <w:szCs w:val="40"/>
              </w:rPr>
            </w:pPr>
            <w:r w:rsidRPr="003F5F63">
              <w:rPr>
                <w:sz w:val="40"/>
                <w:szCs w:val="40"/>
              </w:rPr>
              <w:sym w:font="Wingdings" w:char="F0FC"/>
            </w:r>
          </w:p>
        </w:tc>
      </w:tr>
      <w:tr w:rsidR="00375D17" w14:paraId="183E4F76" w14:textId="77777777" w:rsidTr="00530265">
        <w:tc>
          <w:tcPr>
            <w:cnfStyle w:val="001000000000" w:firstRow="0" w:lastRow="0" w:firstColumn="1" w:lastColumn="0" w:oddVBand="0" w:evenVBand="0" w:oddHBand="0" w:evenHBand="0" w:firstRowFirstColumn="0" w:firstRowLastColumn="0" w:lastRowFirstColumn="0" w:lastRowLastColumn="0"/>
            <w:tcW w:w="2329" w:type="dxa"/>
          </w:tcPr>
          <w:p w14:paraId="3151294C" w14:textId="77777777" w:rsidR="00375D17" w:rsidRPr="002407A3" w:rsidRDefault="00375D17" w:rsidP="00530265">
            <w:pPr>
              <w:rPr>
                <w:rFonts w:ascii="Calibri" w:eastAsia="Times New Roman" w:hAnsi="Calibri" w:cs="Calibri"/>
                <w:color w:val="000000"/>
              </w:rPr>
            </w:pPr>
            <w:r w:rsidRPr="002407A3">
              <w:rPr>
                <w:rFonts w:ascii="Calibri" w:eastAsia="Times New Roman" w:hAnsi="Calibri" w:cs="Calibri"/>
                <w:color w:val="000000"/>
              </w:rPr>
              <w:t>Yoon</w:t>
            </w:r>
            <w:r>
              <w:rPr>
                <w:rFonts w:ascii="Calibri" w:eastAsia="Times New Roman" w:hAnsi="Calibri" w:cs="Calibri"/>
                <w:color w:val="000000"/>
              </w:rPr>
              <w:t xml:space="preserve"> </w:t>
            </w:r>
            <w:r>
              <w:rPr>
                <w:rFonts w:ascii="Calibri" w:eastAsia="Times New Roman" w:hAnsi="Calibri" w:cs="Calibri"/>
                <w:i/>
                <w:iCs/>
                <w:color w:val="000000"/>
              </w:rPr>
              <w:t xml:space="preserve">et al </w:t>
            </w:r>
            <w:r w:rsidRPr="00433D95">
              <w:t>(202</w:t>
            </w:r>
            <w:r>
              <w:t>2</w:t>
            </w:r>
            <w:r w:rsidRPr="00433D95">
              <w:t>)</w:t>
            </w:r>
            <w:r>
              <w:t xml:space="preserve"> </w:t>
            </w:r>
            <w:r>
              <w:rPr>
                <w:rFonts w:ascii="Calibri" w:eastAsia="Times New Roman" w:hAnsi="Calibri" w:cs="Calibri"/>
                <w:i/>
                <w:iCs/>
                <w:color w:val="000000"/>
              </w:rPr>
              <w:t xml:space="preserve"> </w:t>
            </w:r>
            <w:r>
              <w:rPr>
                <w:rFonts w:ascii="Calibri" w:eastAsia="Times New Roman" w:hAnsi="Calibri" w:cs="Calibri"/>
                <w:i/>
                <w:iCs/>
                <w:color w:val="000000"/>
              </w:rPr>
              <w:fldChar w:fldCharType="begin"/>
            </w:r>
            <w:r>
              <w:rPr>
                <w:rFonts w:ascii="Calibri" w:eastAsia="Times New Roman" w:hAnsi="Calibri" w:cs="Calibri"/>
                <w:i/>
                <w:iCs/>
                <w:color w:val="000000"/>
              </w:rPr>
              <w:instrText xml:space="preserve"> ADDIN ZOTERO_ITEM CSL_CITATION {"citationID":"a299qv336k3","properties":{"formattedCitation":"\\super 115\\nosupersub{}","plainCitation":"115","noteIndex":0},"citationItems":[{"id":369,"uris":["http://zotero.org/users/local/HJepGCSn/items/ELU3PKME"],"itemData":{"id":369,"type":"article-journal","abstract":"BACKGROUND: With the use of artificial intelligence and machine learning techniques for biomedical informatics, security and privacy concerns over the data and subject identities have also become an important issue and essential research topic. Witho","container-title":"Cancer Biomarkers","DOI":"10.3233/CBM-210306","ISSN":"1574-0153","issue":"2","language":"en","note":"publisher: IOS Press","page":"185-198","source":"content.iospress.com","title":"Optimal vocabulary selection approaches for privacy-preserving deep NLP model training for information extraction and cancer epidemiology","volume":"33","author":[{"family":"Yoon","given":"Hong-Jun"},{"family":"Stanley","given":"Christopher"},{"family":"Christian","given":"J. Blair"},{"family":"Klasky","given":"Hilda B."},{"family":"Blanchard","given":"Andrew E."},{"family":"Durbin","given":"Eric B."},{"family":"Wu","given":"Xiao-Cheng"},{"family":"Stroup","given":"Antoinette"},{"family":"Doherty","given":"Jennifer"},{"family":"Schwartz","given":"Stephen M."},{"family":"Wiggins","given":"Charles"},{"family":"Damesyn","given":"Mark"},{"family":"Coyle","given":"Linda"},{"family":"Tourassi","given":"Georgia D."}],"issued":{"date-parts":[["2022",1,1]]}}}],"schema":"https://github.com/citation-style-language/schema/raw/master/csl-citation.json"} </w:instrText>
            </w:r>
            <w:r>
              <w:rPr>
                <w:rFonts w:ascii="Calibri" w:eastAsia="Times New Roman" w:hAnsi="Calibri" w:cs="Calibri"/>
                <w:i/>
                <w:iCs/>
                <w:color w:val="000000"/>
              </w:rPr>
              <w:fldChar w:fldCharType="separate"/>
            </w:r>
            <w:r w:rsidRPr="00F7322E">
              <w:rPr>
                <w:rFonts w:ascii="Calibri" w:hAnsi="Calibri" w:cs="Calibri"/>
                <w:szCs w:val="24"/>
                <w:vertAlign w:val="superscript"/>
              </w:rPr>
              <w:t>115</w:t>
            </w:r>
            <w:r>
              <w:rPr>
                <w:rFonts w:ascii="Calibri" w:eastAsia="Times New Roman" w:hAnsi="Calibri" w:cs="Calibri"/>
                <w:i/>
                <w:iCs/>
                <w:color w:val="000000"/>
              </w:rPr>
              <w:fldChar w:fldCharType="end"/>
            </w:r>
          </w:p>
        </w:tc>
        <w:tc>
          <w:tcPr>
            <w:tcW w:w="234" w:type="dxa"/>
          </w:tcPr>
          <w:p w14:paraId="11AA27FF"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2133" w:type="dxa"/>
          </w:tcPr>
          <w:p w14:paraId="47CD1DE1"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e-path Reports</w:t>
            </w:r>
          </w:p>
        </w:tc>
        <w:tc>
          <w:tcPr>
            <w:tcW w:w="2702" w:type="dxa"/>
          </w:tcPr>
          <w:p w14:paraId="23001C1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Convolutional Neural Network</w:t>
            </w:r>
          </w:p>
        </w:tc>
        <w:tc>
          <w:tcPr>
            <w:tcW w:w="1808" w:type="dxa"/>
          </w:tcPr>
          <w:p w14:paraId="5641EEDA"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Classification</w:t>
            </w:r>
          </w:p>
        </w:tc>
        <w:tc>
          <w:tcPr>
            <w:tcW w:w="1407" w:type="dxa"/>
          </w:tcPr>
          <w:p w14:paraId="3A74F4E4"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Black-Box</w:t>
            </w:r>
          </w:p>
        </w:tc>
        <w:tc>
          <w:tcPr>
            <w:tcW w:w="233" w:type="dxa"/>
          </w:tcPr>
          <w:p w14:paraId="33E3A48C"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p>
        </w:tc>
        <w:tc>
          <w:tcPr>
            <w:tcW w:w="1794" w:type="dxa"/>
            <w:tcBorders>
              <w:right w:val="single" w:sz="4" w:space="0" w:color="auto"/>
            </w:tcBorders>
          </w:tcPr>
          <w:p w14:paraId="3F2C60E8" w14:textId="77777777" w:rsidR="00375D17" w:rsidRDefault="00375D17" w:rsidP="00530265">
            <w:pPr>
              <w:cnfStyle w:val="000000000000" w:firstRow="0" w:lastRow="0" w:firstColumn="0" w:lastColumn="0" w:oddVBand="0" w:evenVBand="0" w:oddHBand="0" w:evenHBand="0" w:firstRowFirstColumn="0" w:firstRowLastColumn="0" w:lastRowFirstColumn="0" w:lastRowLastColumn="0"/>
            </w:pPr>
            <w:r>
              <w:t>Accuracy</w:t>
            </w:r>
          </w:p>
        </w:tc>
        <w:tc>
          <w:tcPr>
            <w:tcW w:w="781" w:type="dxa"/>
            <w:tcBorders>
              <w:left w:val="single" w:sz="4" w:space="0" w:color="auto"/>
              <w:right w:val="single" w:sz="4" w:space="0" w:color="auto"/>
            </w:tcBorders>
            <w:vAlign w:val="center"/>
          </w:tcPr>
          <w:p w14:paraId="248E7A27"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r w:rsidRPr="003F5F63">
              <w:rPr>
                <w:sz w:val="40"/>
                <w:szCs w:val="40"/>
              </w:rPr>
              <w:sym w:font="Wingdings" w:char="F0FC"/>
            </w:r>
          </w:p>
        </w:tc>
        <w:tc>
          <w:tcPr>
            <w:tcW w:w="754" w:type="dxa"/>
            <w:tcBorders>
              <w:left w:val="single" w:sz="4" w:space="0" w:color="auto"/>
              <w:right w:val="single" w:sz="4" w:space="0" w:color="auto"/>
            </w:tcBorders>
            <w:vAlign w:val="center"/>
          </w:tcPr>
          <w:p w14:paraId="08F0E3CB"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c>
          <w:tcPr>
            <w:tcW w:w="754" w:type="dxa"/>
            <w:tcBorders>
              <w:left w:val="single" w:sz="4" w:space="0" w:color="auto"/>
            </w:tcBorders>
            <w:vAlign w:val="center"/>
          </w:tcPr>
          <w:p w14:paraId="1C5F8A03" w14:textId="77777777" w:rsidR="00375D17" w:rsidRPr="003F5F63" w:rsidRDefault="00375D17" w:rsidP="00530265">
            <w:pPr>
              <w:jc w:val="center"/>
              <w:cnfStyle w:val="000000000000" w:firstRow="0" w:lastRow="0" w:firstColumn="0" w:lastColumn="0" w:oddVBand="0" w:evenVBand="0" w:oddHBand="0" w:evenHBand="0" w:firstRowFirstColumn="0" w:firstRowLastColumn="0" w:lastRowFirstColumn="0" w:lastRowLastColumn="0"/>
              <w:rPr>
                <w:sz w:val="40"/>
                <w:szCs w:val="40"/>
              </w:rPr>
            </w:pPr>
          </w:p>
        </w:tc>
      </w:tr>
    </w:tbl>
    <w:p w14:paraId="297B2874" w14:textId="77777777" w:rsidR="00375D17" w:rsidRPr="00112CA7" w:rsidRDefault="00375D17" w:rsidP="00375D17">
      <w:pPr>
        <w:ind w:firstLine="720"/>
      </w:pPr>
      <w:r w:rsidRPr="003E5B49">
        <w:rPr>
          <w:b/>
          <w:bCs/>
        </w:rPr>
        <w:t xml:space="preserve">Table 1: </w:t>
      </w:r>
      <w:r>
        <w:t>Attack setting and performance from 111 papers summarizing quantitative experiments of MIA on ML models.</w:t>
      </w:r>
    </w:p>
    <w:p w14:paraId="7717B1B2" w14:textId="77777777" w:rsidR="00C15797" w:rsidRDefault="00375D17"/>
    <w:sectPr w:rsidR="00C15797" w:rsidSect="00375D17">
      <w:pgSz w:w="15840" w:h="12240" w:orient="landscape"/>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44E17"/>
    <w:multiLevelType w:val="hybridMultilevel"/>
    <w:tmpl w:val="EAD23DBE"/>
    <w:lvl w:ilvl="0" w:tplc="E0ACEC4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005066"/>
    <w:multiLevelType w:val="hybridMultilevel"/>
    <w:tmpl w:val="EB8AC4BC"/>
    <w:lvl w:ilvl="0" w:tplc="635E67A6">
      <w:start w:val="4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A764B5"/>
    <w:multiLevelType w:val="hybridMultilevel"/>
    <w:tmpl w:val="6130C8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65F6A8C"/>
    <w:multiLevelType w:val="hybridMultilevel"/>
    <w:tmpl w:val="839C83D8"/>
    <w:lvl w:ilvl="0" w:tplc="65947DEE">
      <w:start w:val="1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F43793"/>
    <w:multiLevelType w:val="hybridMultilevel"/>
    <w:tmpl w:val="912EFFEE"/>
    <w:lvl w:ilvl="0" w:tplc="12C458A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9A197C"/>
    <w:multiLevelType w:val="hybridMultilevel"/>
    <w:tmpl w:val="FF7CE376"/>
    <w:lvl w:ilvl="0" w:tplc="550AF8F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0675AF"/>
    <w:multiLevelType w:val="hybridMultilevel"/>
    <w:tmpl w:val="4AF2A28C"/>
    <w:lvl w:ilvl="0" w:tplc="3C3ACC68">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8F26B6"/>
    <w:multiLevelType w:val="hybridMultilevel"/>
    <w:tmpl w:val="83A86D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882CBF"/>
    <w:multiLevelType w:val="hybridMultilevel"/>
    <w:tmpl w:val="028E5CFC"/>
    <w:lvl w:ilvl="0" w:tplc="0ED441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959412485">
    <w:abstractNumId w:val="5"/>
  </w:num>
  <w:num w:numId="2" w16cid:durableId="1322005661">
    <w:abstractNumId w:val="2"/>
  </w:num>
  <w:num w:numId="3" w16cid:durableId="531040914">
    <w:abstractNumId w:val="4"/>
  </w:num>
  <w:num w:numId="4" w16cid:durableId="1161508501">
    <w:abstractNumId w:val="7"/>
  </w:num>
  <w:num w:numId="5" w16cid:durableId="1083987398">
    <w:abstractNumId w:val="6"/>
  </w:num>
  <w:num w:numId="6" w16cid:durableId="1466459737">
    <w:abstractNumId w:val="3"/>
  </w:num>
  <w:num w:numId="7" w16cid:durableId="704410653">
    <w:abstractNumId w:val="1"/>
  </w:num>
  <w:num w:numId="8" w16cid:durableId="1344942830">
    <w:abstractNumId w:val="0"/>
  </w:num>
  <w:num w:numId="9" w16cid:durableId="41163236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5D17"/>
    <w:rsid w:val="002D2304"/>
    <w:rsid w:val="00375D17"/>
    <w:rsid w:val="003940FD"/>
    <w:rsid w:val="00712304"/>
    <w:rsid w:val="00BE05CA"/>
    <w:rsid w:val="00D1054F"/>
    <w:rsid w:val="00E02D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81B90"/>
  <w15:chartTrackingRefBased/>
  <w15:docId w15:val="{C8596DC6-C105-4BEB-ABF6-1A8D0C823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D1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75D17"/>
    <w:rPr>
      <w:b/>
      <w:bCs/>
    </w:rPr>
  </w:style>
  <w:style w:type="character" w:customStyle="1" w:styleId="row-boolean">
    <w:name w:val="row-boolean"/>
    <w:basedOn w:val="DefaultParagraphFont"/>
    <w:rsid w:val="00375D17"/>
  </w:style>
  <w:style w:type="paragraph" w:styleId="ListParagraph">
    <w:name w:val="List Paragraph"/>
    <w:basedOn w:val="Normal"/>
    <w:uiPriority w:val="34"/>
    <w:qFormat/>
    <w:rsid w:val="00375D17"/>
    <w:pPr>
      <w:ind w:left="720"/>
      <w:contextualSpacing/>
    </w:pPr>
  </w:style>
  <w:style w:type="table" w:styleId="TableGrid">
    <w:name w:val="Table Grid"/>
    <w:basedOn w:val="TableNormal"/>
    <w:uiPriority w:val="39"/>
    <w:rsid w:val="00375D1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375D17"/>
    <w:pPr>
      <w:tabs>
        <w:tab w:val="left" w:pos="504"/>
      </w:tabs>
      <w:spacing w:after="240" w:line="240" w:lineRule="auto"/>
      <w:ind w:left="504" w:hanging="504"/>
    </w:pPr>
  </w:style>
  <w:style w:type="character" w:styleId="PlaceholderText">
    <w:name w:val="Placeholder Text"/>
    <w:basedOn w:val="DefaultParagraphFont"/>
    <w:uiPriority w:val="99"/>
    <w:semiHidden/>
    <w:rsid w:val="00375D17"/>
    <w:rPr>
      <w:color w:val="808080"/>
    </w:rPr>
  </w:style>
  <w:style w:type="table" w:styleId="ListTable2">
    <w:name w:val="List Table 2"/>
    <w:basedOn w:val="TableNormal"/>
    <w:uiPriority w:val="47"/>
    <w:rsid w:val="00375D17"/>
    <w:pPr>
      <w:spacing w:after="0" w:line="240" w:lineRule="auto"/>
    </w:pPr>
    <w:rPr>
      <w:kern w:val="0"/>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2">
    <w:name w:val="Plain Table 2"/>
    <w:basedOn w:val="TableNormal"/>
    <w:uiPriority w:val="42"/>
    <w:rsid w:val="00375D17"/>
    <w:pPr>
      <w:spacing w:after="0" w:line="240" w:lineRule="auto"/>
    </w:pPr>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375D17"/>
    <w:pPr>
      <w:spacing w:after="0" w:line="240" w:lineRule="auto"/>
    </w:pPr>
    <w:rPr>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375D17"/>
    <w:pPr>
      <w:spacing w:after="0" w:line="240" w:lineRule="auto"/>
    </w:pPr>
    <w:rPr>
      <w:kern w:val="0"/>
      <w14:ligatures w14:val="none"/>
    </w:rPr>
  </w:style>
  <w:style w:type="character" w:styleId="CommentReference">
    <w:name w:val="annotation reference"/>
    <w:basedOn w:val="DefaultParagraphFont"/>
    <w:uiPriority w:val="99"/>
    <w:semiHidden/>
    <w:unhideWhenUsed/>
    <w:rsid w:val="00375D17"/>
    <w:rPr>
      <w:sz w:val="16"/>
      <w:szCs w:val="16"/>
    </w:rPr>
  </w:style>
  <w:style w:type="paragraph" w:styleId="CommentText">
    <w:name w:val="annotation text"/>
    <w:basedOn w:val="Normal"/>
    <w:link w:val="CommentTextChar"/>
    <w:uiPriority w:val="99"/>
    <w:semiHidden/>
    <w:unhideWhenUsed/>
    <w:rsid w:val="00375D17"/>
    <w:pPr>
      <w:spacing w:line="240" w:lineRule="auto"/>
    </w:pPr>
    <w:rPr>
      <w:sz w:val="20"/>
      <w:szCs w:val="20"/>
    </w:rPr>
  </w:style>
  <w:style w:type="character" w:customStyle="1" w:styleId="CommentTextChar">
    <w:name w:val="Comment Text Char"/>
    <w:basedOn w:val="DefaultParagraphFont"/>
    <w:link w:val="CommentText"/>
    <w:uiPriority w:val="99"/>
    <w:semiHidden/>
    <w:rsid w:val="00375D17"/>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375D17"/>
    <w:rPr>
      <w:b/>
      <w:bCs/>
    </w:rPr>
  </w:style>
  <w:style w:type="character" w:customStyle="1" w:styleId="CommentSubjectChar">
    <w:name w:val="Comment Subject Char"/>
    <w:basedOn w:val="CommentTextChar"/>
    <w:link w:val="CommentSubject"/>
    <w:uiPriority w:val="99"/>
    <w:semiHidden/>
    <w:rsid w:val="00375D17"/>
    <w:rPr>
      <w:b/>
      <w:bCs/>
      <w:kern w:val="0"/>
      <w:sz w:val="20"/>
      <w:szCs w:val="20"/>
      <w14:ligatures w14:val="none"/>
    </w:rPr>
  </w:style>
  <w:style w:type="paragraph" w:styleId="Header">
    <w:name w:val="header"/>
    <w:basedOn w:val="Normal"/>
    <w:link w:val="HeaderChar"/>
    <w:uiPriority w:val="99"/>
    <w:unhideWhenUsed/>
    <w:rsid w:val="00375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5D17"/>
    <w:rPr>
      <w:kern w:val="0"/>
      <w14:ligatures w14:val="none"/>
    </w:rPr>
  </w:style>
  <w:style w:type="paragraph" w:styleId="Footer">
    <w:name w:val="footer"/>
    <w:basedOn w:val="Normal"/>
    <w:link w:val="FooterChar"/>
    <w:uiPriority w:val="99"/>
    <w:unhideWhenUsed/>
    <w:rsid w:val="00375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5D17"/>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41515</Words>
  <Characters>236639</Characters>
  <Application>Microsoft Office Word</Application>
  <DocSecurity>0</DocSecurity>
  <Lines>1971</Lines>
  <Paragraphs>555</Paragraphs>
  <ScaleCrop>false</ScaleCrop>
  <Company>Alberta Health Services</Company>
  <LinksUpToDate>false</LinksUpToDate>
  <CharactersWithSpaces>277599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Walker</dc:creator>
  <cp:keywords/>
  <dc:description/>
  <cp:lastModifiedBy>Emily Walker</cp:lastModifiedBy>
  <cp:revision>1</cp:revision>
  <dcterms:created xsi:type="dcterms:W3CDTF">2023-09-27T19:21:00Z</dcterms:created>
  <dcterms:modified xsi:type="dcterms:W3CDTF">2023-09-27T19:23:00Z</dcterms:modified>
</cp:coreProperties>
</file>