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DA924ED" w14:textId="77777777" w:rsidR="00117835" w:rsidRPr="00534747" w:rsidRDefault="00117835" w:rsidP="00534747">
      <w:pPr>
        <w:pStyle w:val="Heading1"/>
      </w:pPr>
      <w:r w:rsidRPr="00534747">
        <w:t>SUPPLEMENTARY INFORMATION</w:t>
      </w:r>
    </w:p>
    <w:p w14:paraId="7CFA5B3B" w14:textId="77777777" w:rsidR="00117835" w:rsidRPr="00D40BDC" w:rsidRDefault="00117835" w:rsidP="00D40BDC">
      <w:pPr>
        <w:pStyle w:val="Heading2"/>
      </w:pPr>
      <w:bookmarkStart w:id="0" w:name="_stwhyshsl6zm" w:colFirst="0" w:colLast="0"/>
      <w:bookmarkEnd w:id="0"/>
      <w:r w:rsidRPr="00D40BDC">
        <w:t>S.1 Ammonia demand</w:t>
      </w:r>
    </w:p>
    <w:p w14:paraId="4459E760" w14:textId="1BB90FEF" w:rsidR="003F61AD" w:rsidRDefault="00117835" w:rsidP="003F61AD">
      <w:pPr>
        <w:pStyle w:val="Heading2"/>
        <w:spacing w:line="276" w:lineRule="auto"/>
        <w:rPr>
          <w:b w:val="0"/>
          <w:bCs/>
        </w:rPr>
      </w:pPr>
      <w:r>
        <w:tab/>
      </w:r>
      <w:r w:rsidR="003F61AD" w:rsidRPr="0087754C">
        <w:rPr>
          <w:b w:val="0"/>
          <w:bCs/>
        </w:rPr>
        <w:t>We consider global demand for ammonia in two scenarios: (i) current, derived</w:t>
      </w:r>
      <w:r w:rsidR="003F61AD" w:rsidRPr="009E0FEA">
        <w:rPr>
          <w:b w:val="0"/>
          <w:bCs/>
          <w:vertAlign w:val="superscript"/>
        </w:rPr>
        <w:t>1</w:t>
      </w:r>
      <w:r w:rsidR="003F61AD" w:rsidRPr="0087754C">
        <w:rPr>
          <w:b w:val="0"/>
          <w:bCs/>
        </w:rPr>
        <w:t xml:space="preserve"> from yearly average</w:t>
      </w:r>
      <w:r w:rsidR="003F61AD">
        <w:rPr>
          <w:b w:val="0"/>
          <w:bCs/>
          <w:vertAlign w:val="superscript"/>
        </w:rPr>
        <w:t xml:space="preserve"> </w:t>
      </w:r>
      <w:r w:rsidR="003F61AD" w:rsidRPr="0087754C">
        <w:rPr>
          <w:b w:val="0"/>
          <w:bCs/>
        </w:rPr>
        <w:t>between 1997 and 2003</w:t>
      </w:r>
      <w:r w:rsidR="003F61AD">
        <w:rPr>
          <w:b w:val="0"/>
          <w:bCs/>
        </w:rPr>
        <w:t xml:space="preserve"> </w:t>
      </w:r>
      <w:r w:rsidR="003F61AD" w:rsidRPr="0087754C">
        <w:rPr>
          <w:b w:val="0"/>
          <w:bCs/>
        </w:rPr>
        <w:t>and (ii) future, based on the 100% achievement of the local attainable yields</w:t>
      </w:r>
      <w:r w:rsidR="003F61AD" w:rsidRPr="009E0FEA">
        <w:rPr>
          <w:b w:val="0"/>
          <w:bCs/>
          <w:vertAlign w:val="superscript"/>
        </w:rPr>
        <w:t>1</w:t>
      </w:r>
      <w:r w:rsidR="003F61AD" w:rsidRPr="0087754C">
        <w:rPr>
          <w:b w:val="0"/>
          <w:bCs/>
        </w:rPr>
        <w:t xml:space="preserve">. </w:t>
      </w:r>
      <w:r w:rsidRPr="0087754C">
        <w:rPr>
          <w:b w:val="0"/>
          <w:bCs/>
        </w:rPr>
        <w:t>We computed the fertilizer nitrogen demand based on</w:t>
      </w:r>
      <w:r w:rsidR="003F61AD">
        <w:rPr>
          <w:b w:val="0"/>
          <w:bCs/>
        </w:rPr>
        <w:t xml:space="preserve"> the</w:t>
      </w:r>
      <w:r w:rsidRPr="0087754C">
        <w:rPr>
          <w:b w:val="0"/>
          <w:bCs/>
        </w:rPr>
        <w:t xml:space="preserve"> sixteen major crops</w:t>
      </w:r>
      <w:r w:rsidR="003F61AD">
        <w:rPr>
          <w:b w:val="0"/>
          <w:bCs/>
        </w:rPr>
        <w:t xml:space="preserve"> listed in </w:t>
      </w:r>
      <w:r w:rsidR="003F61AD" w:rsidRPr="0087754C">
        <w:t>Table S1</w:t>
      </w:r>
      <w:r w:rsidR="003F61AD">
        <w:rPr>
          <w:b w:val="0"/>
          <w:bCs/>
        </w:rPr>
        <w:t>,</w:t>
      </w:r>
      <w:r w:rsidRPr="0087754C">
        <w:rPr>
          <w:b w:val="0"/>
          <w:bCs/>
        </w:rPr>
        <w:t xml:space="preserve"> </w:t>
      </w:r>
      <w:r w:rsidR="003F61AD">
        <w:rPr>
          <w:b w:val="0"/>
          <w:bCs/>
        </w:rPr>
        <w:t>which account</w:t>
      </w:r>
      <w:r w:rsidRPr="0087754C">
        <w:rPr>
          <w:b w:val="0"/>
          <w:bCs/>
        </w:rPr>
        <w:t xml:space="preserve"> for ~90% of global caloric production from croplands</w:t>
      </w:r>
      <w:r w:rsidR="009E0FEA" w:rsidRPr="009E0FEA">
        <w:rPr>
          <w:b w:val="0"/>
          <w:bCs/>
          <w:vertAlign w:val="superscript"/>
        </w:rPr>
        <w:t>2</w:t>
      </w:r>
      <w:r w:rsidRPr="0087754C">
        <w:rPr>
          <w:b w:val="0"/>
          <w:bCs/>
        </w:rPr>
        <w:t xml:space="preserve"> and derived the corresponding amount of ammonia assuming stoichiometric 1.21 kg of ammonia per kg of nitrogen. In both scenarios, ammonia demand </w:t>
      </w:r>
      <w:r w:rsidR="003F61AD">
        <w:rPr>
          <w:b w:val="0"/>
          <w:bCs/>
        </w:rPr>
        <w:t xml:space="preserve">is </w:t>
      </w:r>
      <w:r w:rsidRPr="0087754C">
        <w:rPr>
          <w:b w:val="0"/>
          <w:bCs/>
        </w:rPr>
        <w:t>classified based on the local presence of water scarcity from previous work</w:t>
      </w:r>
      <w:r w:rsidR="009E0FEA" w:rsidRPr="009E0FEA">
        <w:rPr>
          <w:b w:val="0"/>
          <w:bCs/>
          <w:vertAlign w:val="superscript"/>
        </w:rPr>
        <w:t>2</w:t>
      </w:r>
      <w:r w:rsidRPr="0087754C">
        <w:rPr>
          <w:b w:val="0"/>
          <w:bCs/>
        </w:rPr>
        <w:t xml:space="preserve">. </w:t>
      </w:r>
    </w:p>
    <w:p w14:paraId="75B14557" w14:textId="77777777" w:rsidR="003F61AD" w:rsidRPr="003F61AD" w:rsidRDefault="003F61AD" w:rsidP="008E1C2B">
      <w:pPr>
        <w:ind w:firstLine="0"/>
      </w:pPr>
    </w:p>
    <w:p w14:paraId="3194E7B9" w14:textId="77777777" w:rsidR="00117835" w:rsidRDefault="00117835" w:rsidP="0087754C">
      <w:pPr>
        <w:spacing w:line="240" w:lineRule="auto"/>
        <w:ind w:firstLine="0"/>
        <w:rPr>
          <w:rFonts w:ascii="Calibri" w:eastAsia="Calibri" w:hAnsi="Calibri" w:cs="Calibri"/>
        </w:rPr>
      </w:pPr>
      <w:r>
        <w:rPr>
          <w:rFonts w:ascii="Calibri" w:eastAsia="Calibri" w:hAnsi="Calibri" w:cs="Calibri"/>
          <w:b/>
        </w:rPr>
        <w:t xml:space="preserve">Table S1. Major crops data in current scenario and future scenario globally. </w:t>
      </w:r>
      <w:r>
        <w:rPr>
          <w:rFonts w:ascii="Calibri" w:eastAsia="Calibri" w:hAnsi="Calibri" w:cs="Calibri"/>
        </w:rPr>
        <w:t>The values reported refer to the aggregated value from the 16 major crops in the table.</w:t>
      </w:r>
    </w:p>
    <w:p w14:paraId="388A64B9" w14:textId="77777777" w:rsidR="00117835" w:rsidRDefault="00117835" w:rsidP="00117835">
      <w:pPr>
        <w:ind w:firstLine="0"/>
        <w:rPr>
          <w:rFonts w:ascii="Calibri" w:eastAsia="Calibri" w:hAnsi="Calibri" w:cs="Calibri"/>
          <w:sz w:val="10"/>
          <w:szCs w:val="10"/>
        </w:rPr>
      </w:pPr>
    </w:p>
    <w:tbl>
      <w:tblPr>
        <w:tblW w:w="8535" w:type="dxa"/>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3060"/>
        <w:gridCol w:w="2880"/>
        <w:gridCol w:w="2595"/>
      </w:tblGrid>
      <w:tr w:rsidR="00117835" w14:paraId="293FAFC7" w14:textId="77777777" w:rsidTr="00D6551D">
        <w:trPr>
          <w:jc w:val="center"/>
        </w:trPr>
        <w:tc>
          <w:tcPr>
            <w:tcW w:w="3060" w:type="dxa"/>
            <w:shd w:val="clear" w:color="auto" w:fill="auto"/>
            <w:tcMar>
              <w:top w:w="100" w:type="dxa"/>
              <w:left w:w="100" w:type="dxa"/>
              <w:bottom w:w="100" w:type="dxa"/>
              <w:right w:w="100" w:type="dxa"/>
            </w:tcMar>
            <w:vAlign w:val="center"/>
          </w:tcPr>
          <w:p w14:paraId="3046CFBF" w14:textId="77777777" w:rsidR="00117835" w:rsidRDefault="00117835" w:rsidP="00D6551D">
            <w:pPr>
              <w:widowControl w:val="0"/>
              <w:spacing w:line="240" w:lineRule="auto"/>
              <w:ind w:firstLine="0"/>
              <w:jc w:val="center"/>
            </w:pPr>
          </w:p>
        </w:tc>
        <w:tc>
          <w:tcPr>
            <w:tcW w:w="2880" w:type="dxa"/>
            <w:shd w:val="clear" w:color="auto" w:fill="auto"/>
            <w:tcMar>
              <w:top w:w="100" w:type="dxa"/>
              <w:left w:w="100" w:type="dxa"/>
              <w:bottom w:w="100" w:type="dxa"/>
              <w:right w:w="100" w:type="dxa"/>
            </w:tcMar>
            <w:vAlign w:val="center"/>
          </w:tcPr>
          <w:p w14:paraId="279C9141" w14:textId="77777777" w:rsidR="00117835" w:rsidRDefault="00117835" w:rsidP="00D6551D">
            <w:pPr>
              <w:widowControl w:val="0"/>
              <w:spacing w:line="240" w:lineRule="auto"/>
              <w:ind w:firstLine="0"/>
              <w:jc w:val="center"/>
              <w:rPr>
                <w:b/>
              </w:rPr>
            </w:pPr>
            <w:r>
              <w:rPr>
                <w:b/>
              </w:rPr>
              <w:t>current scenario</w:t>
            </w:r>
          </w:p>
        </w:tc>
        <w:tc>
          <w:tcPr>
            <w:tcW w:w="2595" w:type="dxa"/>
            <w:shd w:val="clear" w:color="auto" w:fill="auto"/>
            <w:tcMar>
              <w:top w:w="100" w:type="dxa"/>
              <w:left w:w="100" w:type="dxa"/>
              <w:bottom w:w="100" w:type="dxa"/>
              <w:right w:w="100" w:type="dxa"/>
            </w:tcMar>
            <w:vAlign w:val="center"/>
          </w:tcPr>
          <w:p w14:paraId="3C7D2D4D" w14:textId="77777777" w:rsidR="00117835" w:rsidRDefault="00117835" w:rsidP="00D6551D">
            <w:pPr>
              <w:widowControl w:val="0"/>
              <w:spacing w:line="240" w:lineRule="auto"/>
              <w:ind w:firstLine="0"/>
              <w:jc w:val="center"/>
              <w:rPr>
                <w:b/>
              </w:rPr>
            </w:pPr>
            <w:r>
              <w:rPr>
                <w:b/>
              </w:rPr>
              <w:t>future scenario</w:t>
            </w:r>
          </w:p>
        </w:tc>
      </w:tr>
      <w:tr w:rsidR="00117835" w14:paraId="7302C24D" w14:textId="77777777" w:rsidTr="00D6551D">
        <w:trPr>
          <w:jc w:val="center"/>
        </w:trPr>
        <w:tc>
          <w:tcPr>
            <w:tcW w:w="3060" w:type="dxa"/>
            <w:shd w:val="clear" w:color="auto" w:fill="auto"/>
            <w:tcMar>
              <w:top w:w="100" w:type="dxa"/>
              <w:left w:w="100" w:type="dxa"/>
              <w:bottom w:w="100" w:type="dxa"/>
              <w:right w:w="100" w:type="dxa"/>
            </w:tcMar>
            <w:vAlign w:val="center"/>
          </w:tcPr>
          <w:p w14:paraId="0B471FBE" w14:textId="77777777" w:rsidR="00117835" w:rsidRDefault="00117835" w:rsidP="00D6551D">
            <w:pPr>
              <w:widowControl w:val="0"/>
              <w:spacing w:line="240" w:lineRule="auto"/>
              <w:ind w:firstLine="0"/>
              <w:jc w:val="center"/>
              <w:rPr>
                <w:b/>
              </w:rPr>
            </w:pPr>
            <w:r>
              <w:rPr>
                <w:b/>
              </w:rPr>
              <w:t>global ammonia demand</w:t>
            </w:r>
          </w:p>
        </w:tc>
        <w:tc>
          <w:tcPr>
            <w:tcW w:w="2880" w:type="dxa"/>
            <w:shd w:val="clear" w:color="auto" w:fill="auto"/>
            <w:tcMar>
              <w:top w:w="100" w:type="dxa"/>
              <w:left w:w="100" w:type="dxa"/>
              <w:bottom w:w="100" w:type="dxa"/>
              <w:right w:w="100" w:type="dxa"/>
            </w:tcMar>
            <w:vAlign w:val="center"/>
          </w:tcPr>
          <w:p w14:paraId="42996336" w14:textId="77777777" w:rsidR="00117835" w:rsidRDefault="00117835" w:rsidP="00D6551D">
            <w:pPr>
              <w:widowControl w:val="0"/>
              <w:spacing w:line="240" w:lineRule="auto"/>
              <w:ind w:firstLine="0"/>
              <w:jc w:val="center"/>
            </w:pPr>
            <w:r>
              <w:t>102.6 Mt/y</w:t>
            </w:r>
          </w:p>
        </w:tc>
        <w:tc>
          <w:tcPr>
            <w:tcW w:w="2595" w:type="dxa"/>
            <w:shd w:val="clear" w:color="auto" w:fill="auto"/>
            <w:tcMar>
              <w:top w:w="100" w:type="dxa"/>
              <w:left w:w="100" w:type="dxa"/>
              <w:bottom w:w="100" w:type="dxa"/>
              <w:right w:w="100" w:type="dxa"/>
            </w:tcMar>
            <w:vAlign w:val="center"/>
          </w:tcPr>
          <w:p w14:paraId="117FE862" w14:textId="77777777" w:rsidR="00117835" w:rsidRDefault="00117835" w:rsidP="00D6551D">
            <w:pPr>
              <w:widowControl w:val="0"/>
              <w:spacing w:line="240" w:lineRule="auto"/>
              <w:ind w:firstLine="0"/>
              <w:jc w:val="center"/>
            </w:pPr>
            <w:r>
              <w:t>169.9 Mt/y</w:t>
            </w:r>
          </w:p>
        </w:tc>
      </w:tr>
      <w:tr w:rsidR="00117835" w14:paraId="6B9BD26A" w14:textId="77777777" w:rsidTr="00D6551D">
        <w:trPr>
          <w:jc w:val="center"/>
        </w:trPr>
        <w:tc>
          <w:tcPr>
            <w:tcW w:w="3060" w:type="dxa"/>
            <w:shd w:val="clear" w:color="auto" w:fill="auto"/>
            <w:tcMar>
              <w:top w:w="100" w:type="dxa"/>
              <w:left w:w="100" w:type="dxa"/>
              <w:bottom w:w="100" w:type="dxa"/>
              <w:right w:w="100" w:type="dxa"/>
            </w:tcMar>
            <w:vAlign w:val="center"/>
          </w:tcPr>
          <w:p w14:paraId="4BE507D9" w14:textId="77777777" w:rsidR="00117835" w:rsidRDefault="00117835" w:rsidP="00D6551D">
            <w:pPr>
              <w:widowControl w:val="0"/>
              <w:spacing w:line="240" w:lineRule="auto"/>
              <w:ind w:firstLine="0"/>
              <w:jc w:val="center"/>
              <w:rPr>
                <w:b/>
              </w:rPr>
            </w:pPr>
            <w:r>
              <w:rPr>
                <w:b/>
              </w:rPr>
              <w:t>harvested area</w:t>
            </w:r>
          </w:p>
        </w:tc>
        <w:tc>
          <w:tcPr>
            <w:tcW w:w="2880" w:type="dxa"/>
            <w:shd w:val="clear" w:color="auto" w:fill="auto"/>
            <w:tcMar>
              <w:top w:w="100" w:type="dxa"/>
              <w:left w:w="100" w:type="dxa"/>
              <w:bottom w:w="100" w:type="dxa"/>
              <w:right w:w="100" w:type="dxa"/>
            </w:tcMar>
            <w:vAlign w:val="center"/>
          </w:tcPr>
          <w:p w14:paraId="2C6ADDAF" w14:textId="77777777" w:rsidR="00117835" w:rsidRDefault="00117835" w:rsidP="00D6551D">
            <w:pPr>
              <w:widowControl w:val="0"/>
              <w:spacing w:line="240" w:lineRule="auto"/>
              <w:ind w:firstLine="0"/>
              <w:jc w:val="center"/>
            </w:pPr>
            <w:r>
              <w:t>828.5 Mha</w:t>
            </w:r>
          </w:p>
        </w:tc>
        <w:tc>
          <w:tcPr>
            <w:tcW w:w="2595" w:type="dxa"/>
            <w:shd w:val="clear" w:color="auto" w:fill="auto"/>
            <w:tcMar>
              <w:top w:w="100" w:type="dxa"/>
              <w:left w:w="100" w:type="dxa"/>
              <w:bottom w:w="100" w:type="dxa"/>
              <w:right w:w="100" w:type="dxa"/>
            </w:tcMar>
            <w:vAlign w:val="center"/>
          </w:tcPr>
          <w:p w14:paraId="1AC751DA" w14:textId="77777777" w:rsidR="00117835" w:rsidRDefault="00117835" w:rsidP="00D6551D">
            <w:pPr>
              <w:widowControl w:val="0"/>
              <w:spacing w:line="240" w:lineRule="auto"/>
              <w:ind w:firstLine="0"/>
              <w:jc w:val="center"/>
            </w:pPr>
            <w:r>
              <w:t>828.5 Mha</w:t>
            </w:r>
          </w:p>
        </w:tc>
      </w:tr>
      <w:tr w:rsidR="00117835" w14:paraId="750B188F" w14:textId="77777777" w:rsidTr="00D6551D">
        <w:trPr>
          <w:trHeight w:val="420"/>
          <w:jc w:val="center"/>
        </w:trPr>
        <w:tc>
          <w:tcPr>
            <w:tcW w:w="3060" w:type="dxa"/>
            <w:shd w:val="clear" w:color="auto" w:fill="auto"/>
            <w:tcMar>
              <w:top w:w="100" w:type="dxa"/>
              <w:left w:w="100" w:type="dxa"/>
              <w:bottom w:w="100" w:type="dxa"/>
              <w:right w:w="100" w:type="dxa"/>
            </w:tcMar>
            <w:vAlign w:val="center"/>
          </w:tcPr>
          <w:p w14:paraId="53E40B84" w14:textId="77777777" w:rsidR="00117835" w:rsidRDefault="00117835" w:rsidP="00D6551D">
            <w:pPr>
              <w:widowControl w:val="0"/>
              <w:spacing w:line="240" w:lineRule="auto"/>
              <w:ind w:firstLine="0"/>
              <w:jc w:val="center"/>
              <w:rPr>
                <w:b/>
              </w:rPr>
            </w:pPr>
            <w:r>
              <w:rPr>
                <w:b/>
              </w:rPr>
              <w:t>major crops</w:t>
            </w:r>
          </w:p>
        </w:tc>
        <w:tc>
          <w:tcPr>
            <w:tcW w:w="5475" w:type="dxa"/>
            <w:gridSpan w:val="2"/>
            <w:shd w:val="clear" w:color="auto" w:fill="auto"/>
            <w:tcMar>
              <w:top w:w="100" w:type="dxa"/>
              <w:left w:w="100" w:type="dxa"/>
              <w:bottom w:w="100" w:type="dxa"/>
              <w:right w:w="100" w:type="dxa"/>
            </w:tcMar>
            <w:vAlign w:val="center"/>
          </w:tcPr>
          <w:p w14:paraId="6E9AAD14" w14:textId="77777777" w:rsidR="00117835" w:rsidRDefault="00117835" w:rsidP="00D6551D">
            <w:pPr>
              <w:spacing w:line="276" w:lineRule="auto"/>
              <w:ind w:firstLine="0"/>
              <w:jc w:val="center"/>
            </w:pPr>
            <w:r>
              <w:t xml:space="preserve"> barley, cassava, groundnut, maize, millet, oil palm, </w:t>
            </w:r>
          </w:p>
          <w:p w14:paraId="3EEEC835" w14:textId="77777777" w:rsidR="00117835" w:rsidRDefault="00117835" w:rsidP="00D6551D">
            <w:pPr>
              <w:spacing w:line="276" w:lineRule="auto"/>
              <w:ind w:firstLine="0"/>
              <w:jc w:val="center"/>
            </w:pPr>
            <w:r>
              <w:t xml:space="preserve">potato, rapeseed, rice, rye, sorghum, </w:t>
            </w:r>
          </w:p>
          <w:p w14:paraId="6983817A" w14:textId="77777777" w:rsidR="00117835" w:rsidRDefault="00117835" w:rsidP="00D6551D">
            <w:pPr>
              <w:spacing w:line="276" w:lineRule="auto"/>
              <w:ind w:firstLine="0"/>
              <w:jc w:val="center"/>
            </w:pPr>
            <w:r>
              <w:t>soybean, sugarbeet, sugarcane, sunflower, wheat</w:t>
            </w:r>
          </w:p>
        </w:tc>
      </w:tr>
    </w:tbl>
    <w:p w14:paraId="45BA0DBA" w14:textId="77777777" w:rsidR="00117835" w:rsidRDefault="00117835" w:rsidP="00117835">
      <w:pPr>
        <w:ind w:firstLine="0"/>
        <w:rPr>
          <w:rFonts w:ascii="Calibri" w:eastAsia="Calibri" w:hAnsi="Calibri" w:cs="Calibri"/>
        </w:rPr>
      </w:pPr>
    </w:p>
    <w:p w14:paraId="0DAD6214" w14:textId="1D9C9D24" w:rsidR="00117835" w:rsidRDefault="00117835" w:rsidP="0087754C">
      <w:pPr>
        <w:spacing w:line="276" w:lineRule="auto"/>
        <w:ind w:firstLine="0"/>
      </w:pPr>
      <w:r>
        <w:tab/>
      </w:r>
      <w:r>
        <w:rPr>
          <w:b/>
        </w:rPr>
        <w:t xml:space="preserve">Figure S1 </w:t>
      </w:r>
      <w:r>
        <w:t xml:space="preserve">presents the global demand of ammonia, aggregated at country scale. The main three countries for ammonia demand for fertilizer use are China, India and the United States. These countries together, represent 49% and 46% of the global ammonia demand for fertilizer use in the current and future scenarios. </w:t>
      </w:r>
    </w:p>
    <w:p w14:paraId="4F985402" w14:textId="77777777" w:rsidR="00117835" w:rsidRDefault="00117835" w:rsidP="00117835">
      <w:pPr>
        <w:ind w:firstLine="0"/>
        <w:jc w:val="center"/>
      </w:pPr>
      <w:r>
        <w:rPr>
          <w:noProof/>
        </w:rPr>
        <w:drawing>
          <wp:inline distT="114300" distB="114300" distL="114300" distR="114300" wp14:anchorId="15481FC8" wp14:editId="685F2E1E">
            <wp:extent cx="4608000" cy="2516400"/>
            <wp:effectExtent l="0" t="0" r="2540" b="0"/>
            <wp:docPr id="6"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6.png"/>
                    <pic:cNvPicPr preferRelativeResize="0"/>
                  </pic:nvPicPr>
                  <pic:blipFill>
                    <a:blip r:embed="rId8"/>
                    <a:srcRect/>
                    <a:stretch>
                      <a:fillRect/>
                    </a:stretch>
                  </pic:blipFill>
                  <pic:spPr>
                    <a:xfrm>
                      <a:off x="0" y="0"/>
                      <a:ext cx="4608000" cy="2516400"/>
                    </a:xfrm>
                    <a:prstGeom prst="rect">
                      <a:avLst/>
                    </a:prstGeom>
                    <a:ln/>
                  </pic:spPr>
                </pic:pic>
              </a:graphicData>
            </a:graphic>
          </wp:inline>
        </w:drawing>
      </w:r>
    </w:p>
    <w:p w14:paraId="05813374" w14:textId="271737B9" w:rsidR="00117835" w:rsidRDefault="00117835" w:rsidP="001A5EEF">
      <w:pPr>
        <w:spacing w:line="240" w:lineRule="auto"/>
        <w:ind w:firstLine="0"/>
        <w:rPr>
          <w:rFonts w:ascii="Calibri" w:eastAsia="Calibri" w:hAnsi="Calibri" w:cs="Calibri"/>
        </w:rPr>
      </w:pPr>
      <w:r>
        <w:rPr>
          <w:rFonts w:ascii="Calibri" w:eastAsia="Calibri" w:hAnsi="Calibri" w:cs="Calibri"/>
          <w:b/>
        </w:rPr>
        <w:t xml:space="preserve">Figure S1. Impact of water scarcity on ammonia demand. </w:t>
      </w:r>
      <w:r>
        <w:rPr>
          <w:rFonts w:ascii="Calibri" w:eastAsia="Calibri" w:hAnsi="Calibri" w:cs="Calibri"/>
        </w:rPr>
        <w:t>Ammonia demand is split between pixels with water scarcity and without water scarcity. The order of the countries reflects the ammonia demand in the current scenario.</w:t>
      </w:r>
    </w:p>
    <w:p w14:paraId="1D8408AB" w14:textId="77777777" w:rsidR="0087754C" w:rsidRDefault="0087754C" w:rsidP="0087754C">
      <w:pPr>
        <w:spacing w:line="240" w:lineRule="auto"/>
        <w:ind w:firstLine="0"/>
        <w:rPr>
          <w:rFonts w:ascii="Calibri" w:eastAsia="Calibri" w:hAnsi="Calibri" w:cs="Calibri"/>
        </w:rPr>
      </w:pPr>
    </w:p>
    <w:p w14:paraId="489F8EFB" w14:textId="52197A29" w:rsidR="00117835" w:rsidRPr="0087754C" w:rsidRDefault="00117835" w:rsidP="0087754C">
      <w:pPr>
        <w:pStyle w:val="Heading2"/>
      </w:pPr>
      <w:bookmarkStart w:id="1" w:name="_uycwvhdnkiqq" w:colFirst="0" w:colLast="0"/>
      <w:bookmarkEnd w:id="1"/>
      <w:r w:rsidRPr="0087754C">
        <w:t xml:space="preserve">S.2 Energy </w:t>
      </w:r>
      <w:r w:rsidR="00C45701">
        <w:t>density</w:t>
      </w:r>
    </w:p>
    <w:p w14:paraId="2C3D029C" w14:textId="1A123A36" w:rsidR="00117835" w:rsidRPr="00C45701" w:rsidRDefault="00117835" w:rsidP="00C45701">
      <w:pPr>
        <w:spacing w:line="276" w:lineRule="auto"/>
        <w:rPr>
          <w:bCs/>
        </w:rPr>
      </w:pPr>
      <w:r>
        <w:t>We consider electric Haber-Bosch and electrocatalysis as candidate technologies which could be deployed for distributed ammonia production</w:t>
      </w:r>
      <w:r w:rsidR="00C45701">
        <w:t xml:space="preserve">. </w:t>
      </w:r>
      <w:r w:rsidR="00C45701">
        <w:rPr>
          <w:b/>
        </w:rPr>
        <w:t>Table S2</w:t>
      </w:r>
      <w:r w:rsidR="00C45701">
        <w:rPr>
          <w:b/>
        </w:rPr>
        <w:t xml:space="preserve"> </w:t>
      </w:r>
      <w:r w:rsidR="00C45701">
        <w:rPr>
          <w:bCs/>
        </w:rPr>
        <w:t xml:space="preserve">summarizes the values of energy demand required to supply the demand of ammonia from the two technologies. </w:t>
      </w:r>
      <w:r>
        <w:t xml:space="preserve">Low-carbon production of ammonia requires any of these technologies to be fed with renewable electricity, here assumed to be provided by small-scale solar panels. We compute the energy demand for ammonia production for all cells, </w:t>
      </w:r>
      <w:r>
        <w:rPr>
          <w:i/>
        </w:rPr>
        <w:t>N</w:t>
      </w:r>
      <w:r>
        <w:t xml:space="preserve">, for all technologies, </w:t>
      </w:r>
      <w:r>
        <w:rPr>
          <w:i/>
        </w:rPr>
        <w:t xml:space="preserve">T </w:t>
      </w:r>
      <w:r>
        <w:t>as:</w:t>
      </w:r>
    </w:p>
    <w:p w14:paraId="3B99E2D4" w14:textId="77777777" w:rsidR="00117835" w:rsidRDefault="00117835" w:rsidP="0087754C">
      <w:pPr>
        <w:spacing w:line="276" w:lineRule="auto"/>
        <w:ind w:firstLine="0"/>
      </w:pPr>
    </w:p>
    <w:p w14:paraId="199FB5C9" w14:textId="77777777" w:rsidR="00117835" w:rsidRDefault="00117835" w:rsidP="0087754C">
      <w:pPr>
        <w:spacing w:line="276" w:lineRule="auto"/>
        <w:ind w:firstLine="0"/>
        <w:jc w:val="center"/>
      </w:pPr>
      <w:r>
        <w:t xml:space="preserve"> </w:t>
      </w:r>
      <w:proofErr w:type="spellStart"/>
      <w:proofErr w:type="gramStart"/>
      <w:r>
        <w:rPr>
          <w:i/>
        </w:rPr>
        <w:t>D</w:t>
      </w:r>
      <w:r>
        <w:rPr>
          <w:vertAlign w:val="subscript"/>
        </w:rPr>
        <w:t>t,i</w:t>
      </w:r>
      <w:proofErr w:type="spellEnd"/>
      <w:proofErr w:type="gramEnd"/>
      <w:r>
        <w:rPr>
          <w:i/>
        </w:rPr>
        <w:t xml:space="preserve"> </w:t>
      </w:r>
      <w:r>
        <w:rPr>
          <w:i/>
          <w:vertAlign w:val="subscript"/>
        </w:rPr>
        <w:t xml:space="preserve"> </w:t>
      </w:r>
      <w:r>
        <w:rPr>
          <w:i/>
        </w:rPr>
        <w:t xml:space="preserve">= </w:t>
      </w:r>
      <w:proofErr w:type="spellStart"/>
      <w:r>
        <w:rPr>
          <w:i/>
        </w:rPr>
        <w:t>c</w:t>
      </w:r>
      <w:r>
        <w:rPr>
          <w:vertAlign w:val="subscript"/>
        </w:rPr>
        <w:t>t</w:t>
      </w:r>
      <w:proofErr w:type="spellEnd"/>
      <w:r>
        <w:rPr>
          <w:i/>
        </w:rPr>
        <w:t xml:space="preserve"> F</w:t>
      </w:r>
      <w:r>
        <w:rPr>
          <w:vertAlign w:val="subscript"/>
        </w:rPr>
        <w:t>i</w:t>
      </w:r>
      <w:r>
        <w:tab/>
      </w:r>
      <w:r>
        <w:tab/>
      </w:r>
      <m:oMath>
        <m:r>
          <w:rPr>
            <w:rFonts w:ascii="Cambria Math" w:hAnsi="Cambria Math"/>
          </w:rPr>
          <m:t>∀</m:t>
        </m:r>
      </m:oMath>
      <w:r>
        <w:t xml:space="preserve"> i </w:t>
      </w:r>
      <m:oMath>
        <m:r>
          <w:rPr>
            <w:rFonts w:ascii="Cambria Math" w:hAnsi="Cambria Math"/>
          </w:rPr>
          <m:t>∈</m:t>
        </m:r>
      </m:oMath>
      <w:r>
        <w:t xml:space="preserve"> </w:t>
      </w:r>
      <w:r>
        <w:rPr>
          <w:i/>
        </w:rPr>
        <w:t xml:space="preserve">N, </w:t>
      </w:r>
      <m:oMath>
        <m:r>
          <w:rPr>
            <w:rFonts w:ascii="Cambria Math" w:hAnsi="Cambria Math"/>
          </w:rPr>
          <m:t>∀</m:t>
        </m:r>
      </m:oMath>
      <w:r>
        <w:t xml:space="preserve"> t </w:t>
      </w:r>
      <m:oMath>
        <m:r>
          <w:rPr>
            <w:rFonts w:ascii="Cambria Math" w:hAnsi="Cambria Math"/>
          </w:rPr>
          <m:t>∈</m:t>
        </m:r>
      </m:oMath>
      <w:r>
        <w:t xml:space="preserve"> </w:t>
      </w:r>
      <w:r>
        <w:rPr>
          <w:i/>
        </w:rPr>
        <w:t>T</w:t>
      </w:r>
      <w:r>
        <w:tab/>
      </w:r>
      <w:r>
        <w:tab/>
        <w:t>(1)</w:t>
      </w:r>
    </w:p>
    <w:p w14:paraId="1F0DA089" w14:textId="77777777" w:rsidR="00117835" w:rsidRDefault="00117835" w:rsidP="0087754C">
      <w:pPr>
        <w:spacing w:line="276" w:lineRule="auto"/>
        <w:ind w:firstLine="0"/>
        <w:jc w:val="center"/>
      </w:pPr>
    </w:p>
    <w:p w14:paraId="68D46A4E" w14:textId="77777777" w:rsidR="00117835" w:rsidRDefault="00117835" w:rsidP="001A5EEF">
      <w:pPr>
        <w:spacing w:line="276" w:lineRule="auto"/>
        <w:ind w:firstLine="0"/>
      </w:pPr>
      <w:r>
        <w:t>with:</w:t>
      </w:r>
    </w:p>
    <w:p w14:paraId="37FF1791" w14:textId="77777777" w:rsidR="00117835" w:rsidRDefault="00117835" w:rsidP="001A5EEF">
      <w:pPr>
        <w:numPr>
          <w:ilvl w:val="0"/>
          <w:numId w:val="5"/>
        </w:numPr>
        <w:spacing w:line="276" w:lineRule="auto"/>
        <w:jc w:val="left"/>
      </w:pPr>
      <w:proofErr w:type="spellStart"/>
      <w:proofErr w:type="gramStart"/>
      <w:r>
        <w:rPr>
          <w:i/>
        </w:rPr>
        <w:t>D</w:t>
      </w:r>
      <w:r>
        <w:rPr>
          <w:vertAlign w:val="subscript"/>
        </w:rPr>
        <w:t>t,i</w:t>
      </w:r>
      <w:proofErr w:type="spellEnd"/>
      <w:proofErr w:type="gramEnd"/>
      <w:r>
        <w:rPr>
          <w:i/>
        </w:rPr>
        <w:t xml:space="preserve">  </w:t>
      </w:r>
      <w:r>
        <w:t>(TWh/y) yearly demand of energy for ammonia production with technology t in grid cell i,</w:t>
      </w:r>
    </w:p>
    <w:p w14:paraId="5037D85C" w14:textId="77777777" w:rsidR="00117835" w:rsidRDefault="00117835" w:rsidP="001A5EEF">
      <w:pPr>
        <w:numPr>
          <w:ilvl w:val="0"/>
          <w:numId w:val="5"/>
        </w:numPr>
        <w:spacing w:line="276" w:lineRule="auto"/>
        <w:jc w:val="left"/>
      </w:pPr>
      <w:proofErr w:type="spellStart"/>
      <w:r>
        <w:rPr>
          <w:i/>
        </w:rPr>
        <w:t>c</w:t>
      </w:r>
      <w:r>
        <w:rPr>
          <w:vertAlign w:val="subscript"/>
        </w:rPr>
        <w:t>t</w:t>
      </w:r>
      <w:proofErr w:type="spellEnd"/>
      <w:r>
        <w:t xml:space="preserve"> (TWh/Mt</w:t>
      </w:r>
      <w:r>
        <w:rPr>
          <w:vertAlign w:val="subscript"/>
        </w:rPr>
        <w:t>NH3</w:t>
      </w:r>
      <w:r>
        <w:t>) energy requirement for technology t (</w:t>
      </w:r>
      <w:r>
        <w:rPr>
          <w:b/>
          <w:color w:val="212121"/>
        </w:rPr>
        <w:t>Table S2</w:t>
      </w:r>
      <w:r>
        <w:t>),</w:t>
      </w:r>
    </w:p>
    <w:p w14:paraId="09743497" w14:textId="484CF93F" w:rsidR="00117835" w:rsidRDefault="00117835" w:rsidP="001A5EEF">
      <w:pPr>
        <w:numPr>
          <w:ilvl w:val="0"/>
          <w:numId w:val="5"/>
        </w:numPr>
        <w:spacing w:line="276" w:lineRule="auto"/>
        <w:jc w:val="left"/>
      </w:pPr>
      <w:r>
        <w:rPr>
          <w:i/>
        </w:rPr>
        <w:t>F</w:t>
      </w:r>
      <w:r>
        <w:rPr>
          <w:vertAlign w:val="subscript"/>
        </w:rPr>
        <w:t>i</w:t>
      </w:r>
      <w:r>
        <w:t xml:space="preserve"> (Mt</w:t>
      </w:r>
      <w:r>
        <w:rPr>
          <w:vertAlign w:val="subscript"/>
        </w:rPr>
        <w:t>NH3</w:t>
      </w:r>
      <w:r>
        <w:t>/y) yearly average demand of ammonia used as fertilizer in cell i (</w:t>
      </w:r>
      <w:r w:rsidR="00E75507">
        <w:rPr>
          <w:b/>
          <w:color w:val="212121"/>
        </w:rPr>
        <w:t>Methods – Section 4.1</w:t>
      </w:r>
      <w:r>
        <w:t>).</w:t>
      </w:r>
    </w:p>
    <w:p w14:paraId="4A123F4D" w14:textId="77777777" w:rsidR="00117835" w:rsidRDefault="00117835" w:rsidP="00117835">
      <w:pPr>
        <w:ind w:firstLine="0"/>
      </w:pPr>
    </w:p>
    <w:p w14:paraId="39133A86" w14:textId="5478FCFA" w:rsidR="00117835" w:rsidRDefault="00117835" w:rsidP="001A5EEF">
      <w:pPr>
        <w:spacing w:line="240" w:lineRule="auto"/>
        <w:ind w:firstLine="0"/>
        <w:rPr>
          <w:rFonts w:ascii="Calibri" w:eastAsia="Calibri" w:hAnsi="Calibri" w:cs="Calibri"/>
        </w:rPr>
      </w:pPr>
      <w:r>
        <w:rPr>
          <w:rFonts w:ascii="Calibri" w:eastAsia="Calibri" w:hAnsi="Calibri" w:cs="Calibri"/>
          <w:b/>
        </w:rPr>
        <w:t xml:space="preserve">Table S2. Energy density of technologies for distributed ammonia production considered in this study. </w:t>
      </w:r>
      <w:r>
        <w:rPr>
          <w:rFonts w:ascii="Calibri" w:eastAsia="Calibri" w:hAnsi="Calibri" w:cs="Calibri"/>
        </w:rPr>
        <w:t>For electrocatalysis, the energy density and the energy efficiency correspond to (</w:t>
      </w:r>
      <w:proofErr w:type="spellStart"/>
      <w:r>
        <w:rPr>
          <w:rFonts w:ascii="Calibri" w:eastAsia="Calibri" w:hAnsi="Calibri" w:cs="Calibri"/>
          <w:i/>
        </w:rPr>
        <w:t>e</w:t>
      </w:r>
      <w:r>
        <w:rPr>
          <w:rFonts w:ascii="Calibri" w:eastAsia="Calibri" w:hAnsi="Calibri" w:cs="Calibri"/>
          <w:vertAlign w:val="superscript"/>
        </w:rPr>
        <w:t>DER</w:t>
      </w:r>
      <w:proofErr w:type="spellEnd"/>
      <w:r>
        <w:rPr>
          <w:rFonts w:ascii="Calibri" w:eastAsia="Calibri" w:hAnsi="Calibri" w:cs="Calibri"/>
        </w:rPr>
        <w:t>/</w:t>
      </w:r>
      <w:r>
        <w:rPr>
          <w:rFonts w:ascii="Calibri" w:eastAsia="Calibri" w:hAnsi="Calibri" w:cs="Calibri"/>
          <w:i/>
        </w:rPr>
        <w:t>EE</w:t>
      </w:r>
      <w:r>
        <w:rPr>
          <w:rFonts w:ascii="Calibri" w:eastAsia="Calibri" w:hAnsi="Calibri" w:cs="Calibri"/>
          <w:vertAlign w:val="superscript"/>
        </w:rPr>
        <w:t>DER</w:t>
      </w:r>
      <w:r>
        <w:rPr>
          <w:rFonts w:ascii="Calibri" w:eastAsia="Calibri" w:hAnsi="Calibri" w:cs="Calibri"/>
        </w:rPr>
        <w:t xml:space="preserve">) and </w:t>
      </w:r>
      <w:r>
        <w:rPr>
          <w:rFonts w:ascii="Calibri" w:eastAsia="Calibri" w:hAnsi="Calibri" w:cs="Calibri"/>
          <w:i/>
        </w:rPr>
        <w:t>EE</w:t>
      </w:r>
      <w:r>
        <w:rPr>
          <w:rFonts w:ascii="Calibri" w:eastAsia="Calibri" w:hAnsi="Calibri" w:cs="Calibri"/>
          <w:vertAlign w:val="superscript"/>
        </w:rPr>
        <w:t>DER</w:t>
      </w:r>
      <w:r>
        <w:rPr>
          <w:rFonts w:ascii="Calibri" w:eastAsia="Calibri" w:hAnsi="Calibri" w:cs="Calibri"/>
        </w:rPr>
        <w:t xml:space="preserve">, respectively, in </w:t>
      </w:r>
      <w:r>
        <w:rPr>
          <w:rFonts w:ascii="Calibri" w:eastAsia="Calibri" w:hAnsi="Calibri" w:cs="Calibri"/>
          <w:b/>
        </w:rPr>
        <w:t xml:space="preserve">Equation </w:t>
      </w:r>
      <w:r w:rsidR="00E75507">
        <w:rPr>
          <w:rFonts w:ascii="Calibri" w:eastAsia="Calibri" w:hAnsi="Calibri" w:cs="Calibri"/>
          <w:b/>
        </w:rPr>
        <w:t xml:space="preserve">6 </w:t>
      </w:r>
      <w:r w:rsidR="00E75507">
        <w:rPr>
          <w:rFonts w:ascii="Calibri" w:eastAsia="Calibri" w:hAnsi="Calibri" w:cs="Calibri"/>
          <w:bCs/>
        </w:rPr>
        <w:t xml:space="preserve">of </w:t>
      </w:r>
      <w:r w:rsidR="00E75507">
        <w:rPr>
          <w:rFonts w:ascii="Calibri" w:eastAsia="Calibri" w:hAnsi="Calibri" w:cs="Calibri"/>
          <w:b/>
        </w:rPr>
        <w:t>Methods – Section 4.6</w:t>
      </w:r>
      <w:r>
        <w:rPr>
          <w:rFonts w:ascii="Calibri" w:eastAsia="Calibri" w:hAnsi="Calibri" w:cs="Calibri"/>
        </w:rPr>
        <w:t>. For electric Haber-Bosch, the energy density and the energy efficiency correspond to (</w:t>
      </w:r>
      <m:oMath>
        <m:sSup>
          <m:sSupPr>
            <m:ctrlPr>
              <w:rPr>
                <w:rFonts w:ascii="Cambria Math" w:eastAsia="Calibri" w:hAnsi="Cambria Math" w:cs="Calibri"/>
              </w:rPr>
            </m:ctrlPr>
          </m:sSupPr>
          <m:e>
            <m:r>
              <w:rPr>
                <w:rFonts w:ascii="Cambria Math" w:eastAsia="Calibri" w:hAnsi="Cambria Math" w:cs="Calibri"/>
              </w:rPr>
              <m:t>e</m:t>
            </m:r>
          </m:e>
          <m:sup>
            <m:r>
              <w:rPr>
                <w:rFonts w:ascii="Cambria Math" w:eastAsia="Calibri" w:hAnsi="Cambria Math" w:cs="Calibri"/>
              </w:rPr>
              <m:t>electr</m:t>
            </m:r>
          </m:sup>
        </m:sSup>
      </m:oMath>
      <w:r>
        <w:rPr>
          <w:rFonts w:ascii="Calibri" w:eastAsia="Calibri" w:hAnsi="Calibri" w:cs="Calibri"/>
        </w:rPr>
        <w:t>/</w:t>
      </w:r>
      <m:oMath>
        <m:sSup>
          <m:sSupPr>
            <m:ctrlPr>
              <w:rPr>
                <w:rFonts w:ascii="Cambria Math" w:eastAsia="Calibri" w:hAnsi="Cambria Math" w:cs="Calibri"/>
              </w:rPr>
            </m:ctrlPr>
          </m:sSupPr>
          <m:e>
            <m:r>
              <w:rPr>
                <w:rFonts w:ascii="Cambria Math" w:eastAsia="Calibri" w:hAnsi="Cambria Math" w:cs="Calibri"/>
              </w:rPr>
              <m:t>EE</m:t>
            </m:r>
          </m:e>
          <m:sup>
            <m:r>
              <w:rPr>
                <w:rFonts w:ascii="Cambria Math" w:eastAsia="Calibri" w:hAnsi="Cambria Math" w:cs="Calibri"/>
              </w:rPr>
              <m:t>HB</m:t>
            </m:r>
          </m:sup>
        </m:sSup>
      </m:oMath>
      <w:r>
        <w:rPr>
          <w:rFonts w:ascii="Calibri" w:eastAsia="Calibri" w:hAnsi="Calibri" w:cs="Calibri"/>
        </w:rPr>
        <w:t>+</w:t>
      </w:r>
      <m:oMath>
        <m:sSup>
          <m:sSupPr>
            <m:ctrlPr>
              <w:rPr>
                <w:rFonts w:ascii="Cambria Math" w:eastAsia="Calibri" w:hAnsi="Cambria Math" w:cs="Calibri"/>
              </w:rPr>
            </m:ctrlPr>
          </m:sSupPr>
          <m:e>
            <m:r>
              <w:rPr>
                <w:rFonts w:ascii="Cambria Math" w:eastAsia="Calibri" w:hAnsi="Cambria Math" w:cs="Calibri"/>
              </w:rPr>
              <m:t>e</m:t>
            </m:r>
          </m:e>
          <m:sup>
            <m:r>
              <w:rPr>
                <w:rFonts w:ascii="Cambria Math" w:eastAsia="Calibri" w:hAnsi="Cambria Math" w:cs="Calibri"/>
              </w:rPr>
              <m:t>HB</m:t>
            </m:r>
          </m:sup>
        </m:sSup>
      </m:oMath>
      <w:r>
        <w:rPr>
          <w:rFonts w:ascii="Calibri" w:eastAsia="Calibri" w:hAnsi="Calibri" w:cs="Calibri"/>
        </w:rPr>
        <w:t xml:space="preserve">) and </w:t>
      </w:r>
      <m:oMath>
        <m:sSup>
          <m:sSupPr>
            <m:ctrlPr>
              <w:rPr>
                <w:rFonts w:ascii="Cambria Math" w:eastAsia="Calibri" w:hAnsi="Cambria Math" w:cs="Calibri"/>
              </w:rPr>
            </m:ctrlPr>
          </m:sSupPr>
          <m:e>
            <m:r>
              <w:rPr>
                <w:rFonts w:ascii="Cambria Math" w:eastAsia="Calibri" w:hAnsi="Cambria Math" w:cs="Calibri"/>
              </w:rPr>
              <m:t>EE</m:t>
            </m:r>
          </m:e>
          <m:sup>
            <m:r>
              <w:rPr>
                <w:rFonts w:ascii="Cambria Math" w:eastAsia="Calibri" w:hAnsi="Cambria Math" w:cs="Calibri"/>
              </w:rPr>
              <m:t>HB</m:t>
            </m:r>
          </m:sup>
        </m:sSup>
      </m:oMath>
      <w:r>
        <w:rPr>
          <w:rFonts w:ascii="Calibri" w:eastAsia="Calibri" w:hAnsi="Calibri" w:cs="Calibri"/>
        </w:rPr>
        <w:t xml:space="preserve">, respectively, in </w:t>
      </w:r>
      <w:r>
        <w:rPr>
          <w:rFonts w:ascii="Calibri" w:eastAsia="Calibri" w:hAnsi="Calibri" w:cs="Calibri"/>
          <w:b/>
        </w:rPr>
        <w:t xml:space="preserve">Equation </w:t>
      </w:r>
      <w:r w:rsidR="007D7B50">
        <w:rPr>
          <w:rFonts w:ascii="Calibri" w:eastAsia="Calibri" w:hAnsi="Calibri" w:cs="Calibri"/>
          <w:b/>
        </w:rPr>
        <w:t xml:space="preserve">5 </w:t>
      </w:r>
      <w:r w:rsidR="007D7B50">
        <w:rPr>
          <w:rFonts w:ascii="Calibri" w:eastAsia="Calibri" w:hAnsi="Calibri" w:cs="Calibri"/>
          <w:bCs/>
        </w:rPr>
        <w:t xml:space="preserve">of </w:t>
      </w:r>
      <w:r w:rsidR="007D7B50">
        <w:rPr>
          <w:rFonts w:ascii="Calibri" w:eastAsia="Calibri" w:hAnsi="Calibri" w:cs="Calibri"/>
          <w:b/>
        </w:rPr>
        <w:t>Methods – Section 4.6</w:t>
      </w:r>
      <w:r>
        <w:rPr>
          <w:rFonts w:ascii="Calibri" w:eastAsia="Calibri" w:hAnsi="Calibri" w:cs="Calibri"/>
        </w:rPr>
        <w:t>.</w:t>
      </w:r>
    </w:p>
    <w:p w14:paraId="31B90072" w14:textId="77777777" w:rsidR="00117835" w:rsidRDefault="00117835" w:rsidP="00117835">
      <w:pPr>
        <w:spacing w:line="276" w:lineRule="auto"/>
        <w:ind w:firstLine="0"/>
      </w:pPr>
    </w:p>
    <w:tbl>
      <w:tblPr>
        <w:tblW w:w="7920" w:type="dxa"/>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235"/>
        <w:gridCol w:w="2895"/>
        <w:gridCol w:w="2790"/>
      </w:tblGrid>
      <w:tr w:rsidR="00117835" w14:paraId="6C1266E9" w14:textId="77777777" w:rsidTr="00D6551D">
        <w:trPr>
          <w:jc w:val="center"/>
        </w:trPr>
        <w:tc>
          <w:tcPr>
            <w:tcW w:w="2235" w:type="dxa"/>
            <w:shd w:val="clear" w:color="auto" w:fill="auto"/>
            <w:tcMar>
              <w:top w:w="100" w:type="dxa"/>
              <w:left w:w="100" w:type="dxa"/>
              <w:bottom w:w="100" w:type="dxa"/>
              <w:right w:w="100" w:type="dxa"/>
            </w:tcMar>
            <w:vAlign w:val="center"/>
          </w:tcPr>
          <w:p w14:paraId="2152E01F" w14:textId="77777777" w:rsidR="00117835" w:rsidRDefault="00117835" w:rsidP="00D6551D">
            <w:pPr>
              <w:widowControl w:val="0"/>
              <w:spacing w:line="240" w:lineRule="auto"/>
              <w:ind w:firstLine="0"/>
              <w:jc w:val="center"/>
              <w:rPr>
                <w:b/>
              </w:rPr>
            </w:pPr>
            <w:r>
              <w:rPr>
                <w:b/>
              </w:rPr>
              <w:t>technology</w:t>
            </w:r>
          </w:p>
        </w:tc>
        <w:tc>
          <w:tcPr>
            <w:tcW w:w="2895" w:type="dxa"/>
            <w:shd w:val="clear" w:color="auto" w:fill="auto"/>
            <w:tcMar>
              <w:top w:w="100" w:type="dxa"/>
              <w:left w:w="100" w:type="dxa"/>
              <w:bottom w:w="100" w:type="dxa"/>
              <w:right w:w="100" w:type="dxa"/>
            </w:tcMar>
            <w:vAlign w:val="center"/>
          </w:tcPr>
          <w:p w14:paraId="036CBC6A" w14:textId="77777777" w:rsidR="00117835" w:rsidRDefault="00117835" w:rsidP="00D6551D">
            <w:pPr>
              <w:widowControl w:val="0"/>
              <w:spacing w:line="240" w:lineRule="auto"/>
              <w:ind w:firstLine="0"/>
              <w:jc w:val="center"/>
              <w:rPr>
                <w:b/>
              </w:rPr>
            </w:pPr>
            <w:r>
              <w:rPr>
                <w:b/>
              </w:rPr>
              <w:t>energy density (TWh/Mt</w:t>
            </w:r>
            <w:r>
              <w:rPr>
                <w:b/>
                <w:vertAlign w:val="subscript"/>
              </w:rPr>
              <w:t>NH3</w:t>
            </w:r>
            <w:r>
              <w:rPr>
                <w:b/>
              </w:rPr>
              <w:t>)</w:t>
            </w:r>
          </w:p>
        </w:tc>
        <w:tc>
          <w:tcPr>
            <w:tcW w:w="2790" w:type="dxa"/>
            <w:shd w:val="clear" w:color="auto" w:fill="auto"/>
            <w:tcMar>
              <w:top w:w="100" w:type="dxa"/>
              <w:left w:w="100" w:type="dxa"/>
              <w:bottom w:w="100" w:type="dxa"/>
              <w:right w:w="100" w:type="dxa"/>
            </w:tcMar>
            <w:vAlign w:val="center"/>
          </w:tcPr>
          <w:p w14:paraId="7D84D5FE" w14:textId="77777777" w:rsidR="00117835" w:rsidRDefault="00117835" w:rsidP="00D6551D">
            <w:pPr>
              <w:widowControl w:val="0"/>
              <w:spacing w:line="240" w:lineRule="auto"/>
              <w:ind w:firstLine="0"/>
              <w:jc w:val="center"/>
              <w:rPr>
                <w:b/>
              </w:rPr>
            </w:pPr>
            <w:r>
              <w:rPr>
                <w:b/>
              </w:rPr>
              <w:t>energy efficiency (-)</w:t>
            </w:r>
          </w:p>
        </w:tc>
      </w:tr>
      <w:tr w:rsidR="00117835" w14:paraId="54D69AA8" w14:textId="77777777" w:rsidTr="00D6551D">
        <w:trPr>
          <w:jc w:val="center"/>
        </w:trPr>
        <w:tc>
          <w:tcPr>
            <w:tcW w:w="2235" w:type="dxa"/>
            <w:shd w:val="clear" w:color="auto" w:fill="auto"/>
            <w:tcMar>
              <w:top w:w="100" w:type="dxa"/>
              <w:left w:w="100" w:type="dxa"/>
              <w:bottom w:w="100" w:type="dxa"/>
              <w:right w:w="100" w:type="dxa"/>
            </w:tcMar>
            <w:vAlign w:val="center"/>
          </w:tcPr>
          <w:p w14:paraId="1902D961" w14:textId="77777777" w:rsidR="00117835" w:rsidRDefault="00117835" w:rsidP="00D6551D">
            <w:pPr>
              <w:widowControl w:val="0"/>
              <w:spacing w:line="240" w:lineRule="auto"/>
              <w:ind w:firstLine="0"/>
              <w:jc w:val="center"/>
            </w:pPr>
            <w:r>
              <w:rPr>
                <w:b/>
              </w:rPr>
              <w:t>electrocatalysis</w:t>
            </w:r>
            <w:r>
              <w:t xml:space="preserve"> </w:t>
            </w:r>
          </w:p>
        </w:tc>
        <w:tc>
          <w:tcPr>
            <w:tcW w:w="2895" w:type="dxa"/>
            <w:shd w:val="clear" w:color="auto" w:fill="auto"/>
            <w:tcMar>
              <w:top w:w="100" w:type="dxa"/>
              <w:left w:w="100" w:type="dxa"/>
              <w:bottom w:w="100" w:type="dxa"/>
              <w:right w:w="100" w:type="dxa"/>
            </w:tcMar>
            <w:vAlign w:val="center"/>
          </w:tcPr>
          <w:p w14:paraId="1D5A24E6" w14:textId="77777777" w:rsidR="00117835" w:rsidRDefault="00117835" w:rsidP="00D6551D">
            <w:pPr>
              <w:widowControl w:val="0"/>
              <w:spacing w:line="240" w:lineRule="auto"/>
              <w:ind w:firstLine="0"/>
              <w:jc w:val="center"/>
            </w:pPr>
            <w:r>
              <w:rPr>
                <w:b/>
              </w:rPr>
              <w:t>2020:</w:t>
            </w:r>
            <w:r>
              <w:t xml:space="preserve"> 20.2 (14.9, 28.2)</w:t>
            </w:r>
          </w:p>
          <w:p w14:paraId="26464A0C" w14:textId="77777777" w:rsidR="00117835" w:rsidRDefault="00117835" w:rsidP="00D6551D">
            <w:pPr>
              <w:widowControl w:val="0"/>
              <w:spacing w:line="240" w:lineRule="auto"/>
              <w:ind w:firstLine="0"/>
              <w:jc w:val="center"/>
            </w:pPr>
            <w:r>
              <w:rPr>
                <w:b/>
              </w:rPr>
              <w:t>2030</w:t>
            </w:r>
            <w:r>
              <w:t>: 16.8 (12.7, 22.5)</w:t>
            </w:r>
          </w:p>
          <w:p w14:paraId="71937491" w14:textId="77777777" w:rsidR="00117835" w:rsidRDefault="00117835" w:rsidP="00D6551D">
            <w:pPr>
              <w:widowControl w:val="0"/>
              <w:spacing w:line="240" w:lineRule="auto"/>
              <w:ind w:firstLine="0"/>
              <w:jc w:val="center"/>
            </w:pPr>
            <w:r>
              <w:rPr>
                <w:b/>
              </w:rPr>
              <w:t>2050:</w:t>
            </w:r>
            <w:r>
              <w:t xml:space="preserve"> 11.2 (9.4, 13.3)</w:t>
            </w:r>
          </w:p>
        </w:tc>
        <w:tc>
          <w:tcPr>
            <w:tcW w:w="2790" w:type="dxa"/>
            <w:shd w:val="clear" w:color="auto" w:fill="auto"/>
            <w:tcMar>
              <w:top w:w="100" w:type="dxa"/>
              <w:left w:w="100" w:type="dxa"/>
              <w:bottom w:w="100" w:type="dxa"/>
              <w:right w:w="100" w:type="dxa"/>
            </w:tcMar>
            <w:vAlign w:val="center"/>
          </w:tcPr>
          <w:p w14:paraId="40EBC015" w14:textId="77777777" w:rsidR="00117835" w:rsidRDefault="00117835" w:rsidP="00D6551D">
            <w:pPr>
              <w:widowControl w:val="0"/>
              <w:spacing w:line="240" w:lineRule="auto"/>
              <w:ind w:firstLine="0"/>
              <w:jc w:val="center"/>
            </w:pPr>
            <w:r>
              <w:rPr>
                <w:b/>
              </w:rPr>
              <w:t>2020:</w:t>
            </w:r>
            <w:r>
              <w:t xml:space="preserve"> 0.27 (0.19, 0.36)</w:t>
            </w:r>
          </w:p>
          <w:p w14:paraId="2F34C490" w14:textId="77777777" w:rsidR="00117835" w:rsidRDefault="00117835" w:rsidP="00D6551D">
            <w:pPr>
              <w:widowControl w:val="0"/>
              <w:spacing w:line="240" w:lineRule="auto"/>
              <w:ind w:firstLine="0"/>
              <w:jc w:val="center"/>
            </w:pPr>
            <w:r>
              <w:rPr>
                <w:b/>
              </w:rPr>
              <w:t>2030:</w:t>
            </w:r>
            <w:r>
              <w:t xml:space="preserve"> 0.32 (0.24, 0.42)</w:t>
            </w:r>
          </w:p>
          <w:p w14:paraId="1665A779" w14:textId="77777777" w:rsidR="00117835" w:rsidRDefault="00117835" w:rsidP="00D6551D">
            <w:pPr>
              <w:spacing w:line="240" w:lineRule="auto"/>
              <w:ind w:firstLine="0"/>
              <w:jc w:val="center"/>
            </w:pPr>
            <w:r>
              <w:rPr>
                <w:b/>
              </w:rPr>
              <w:t>2050:</w:t>
            </w:r>
            <w:r>
              <w:t xml:space="preserve"> 0.48 (0.40, 0.57)</w:t>
            </w:r>
          </w:p>
        </w:tc>
      </w:tr>
      <w:tr w:rsidR="00117835" w14:paraId="2BE85F79" w14:textId="77777777" w:rsidTr="00D6551D">
        <w:trPr>
          <w:jc w:val="center"/>
        </w:trPr>
        <w:tc>
          <w:tcPr>
            <w:tcW w:w="2235" w:type="dxa"/>
            <w:shd w:val="clear" w:color="auto" w:fill="auto"/>
            <w:tcMar>
              <w:top w:w="100" w:type="dxa"/>
              <w:left w:w="100" w:type="dxa"/>
              <w:bottom w:w="100" w:type="dxa"/>
              <w:right w:w="100" w:type="dxa"/>
            </w:tcMar>
            <w:vAlign w:val="center"/>
          </w:tcPr>
          <w:p w14:paraId="47F806BB" w14:textId="77777777" w:rsidR="00117835" w:rsidRDefault="00117835" w:rsidP="00D6551D">
            <w:pPr>
              <w:widowControl w:val="0"/>
              <w:spacing w:line="240" w:lineRule="auto"/>
              <w:ind w:firstLine="0"/>
              <w:jc w:val="center"/>
              <w:rPr>
                <w:b/>
              </w:rPr>
            </w:pPr>
            <w:r>
              <w:rPr>
                <w:b/>
              </w:rPr>
              <w:t>electric Haber-Bosch</w:t>
            </w:r>
          </w:p>
        </w:tc>
        <w:tc>
          <w:tcPr>
            <w:tcW w:w="2895" w:type="dxa"/>
            <w:shd w:val="clear" w:color="auto" w:fill="auto"/>
            <w:tcMar>
              <w:top w:w="100" w:type="dxa"/>
              <w:left w:w="100" w:type="dxa"/>
              <w:bottom w:w="100" w:type="dxa"/>
              <w:right w:w="100" w:type="dxa"/>
            </w:tcMar>
            <w:vAlign w:val="center"/>
          </w:tcPr>
          <w:p w14:paraId="11271CC3" w14:textId="77777777" w:rsidR="00117835" w:rsidRDefault="00117835" w:rsidP="00D6551D">
            <w:pPr>
              <w:widowControl w:val="0"/>
              <w:spacing w:line="240" w:lineRule="auto"/>
              <w:ind w:firstLine="0"/>
              <w:jc w:val="center"/>
            </w:pPr>
            <w:r>
              <w:rPr>
                <w:b/>
              </w:rPr>
              <w:t>2020:</w:t>
            </w:r>
            <w:r>
              <w:t xml:space="preserve"> 12.6 (11.8, 14.3)</w:t>
            </w:r>
          </w:p>
          <w:p w14:paraId="24871CBD" w14:textId="77777777" w:rsidR="00117835" w:rsidRDefault="00117835" w:rsidP="00D6551D">
            <w:pPr>
              <w:widowControl w:val="0"/>
              <w:spacing w:line="240" w:lineRule="auto"/>
              <w:ind w:firstLine="0"/>
              <w:jc w:val="center"/>
            </w:pPr>
            <w:r>
              <w:rPr>
                <w:b/>
              </w:rPr>
              <w:t>2030:</w:t>
            </w:r>
            <w:r>
              <w:t xml:space="preserve"> 12.0 (11.3, 14.5)</w:t>
            </w:r>
          </w:p>
          <w:p w14:paraId="6E664577" w14:textId="77777777" w:rsidR="00117835" w:rsidRDefault="00117835" w:rsidP="00D6551D">
            <w:pPr>
              <w:widowControl w:val="0"/>
              <w:spacing w:line="240" w:lineRule="auto"/>
              <w:ind w:firstLine="0"/>
              <w:jc w:val="center"/>
            </w:pPr>
            <w:r>
              <w:rPr>
                <w:b/>
              </w:rPr>
              <w:t>2050:</w:t>
            </w:r>
            <w:r>
              <w:t xml:space="preserve"> 11.2 (11.1, 11.3)</w:t>
            </w:r>
          </w:p>
        </w:tc>
        <w:tc>
          <w:tcPr>
            <w:tcW w:w="2790" w:type="dxa"/>
            <w:shd w:val="clear" w:color="auto" w:fill="auto"/>
            <w:tcMar>
              <w:top w:w="100" w:type="dxa"/>
              <w:left w:w="100" w:type="dxa"/>
              <w:bottom w:w="100" w:type="dxa"/>
              <w:right w:w="100" w:type="dxa"/>
            </w:tcMar>
            <w:vAlign w:val="center"/>
          </w:tcPr>
          <w:p w14:paraId="6483D905" w14:textId="77777777" w:rsidR="00117835" w:rsidRDefault="00117835" w:rsidP="00D6551D">
            <w:pPr>
              <w:widowControl w:val="0"/>
              <w:spacing w:line="240" w:lineRule="auto"/>
              <w:ind w:firstLine="0"/>
              <w:jc w:val="center"/>
            </w:pPr>
            <w:r>
              <w:rPr>
                <w:b/>
              </w:rPr>
              <w:t>2020:</w:t>
            </w:r>
            <w:r>
              <w:t xml:space="preserve"> 0.62 (0.54, 0.67)</w:t>
            </w:r>
          </w:p>
          <w:p w14:paraId="31297926" w14:textId="77777777" w:rsidR="00117835" w:rsidRDefault="00117835" w:rsidP="00D6551D">
            <w:pPr>
              <w:widowControl w:val="0"/>
              <w:spacing w:line="240" w:lineRule="auto"/>
              <w:ind w:firstLine="0"/>
              <w:jc w:val="center"/>
            </w:pPr>
            <w:r>
              <w:rPr>
                <w:b/>
              </w:rPr>
              <w:t>2030:</w:t>
            </w:r>
            <w:r>
              <w:t xml:space="preserve"> 0.66 (0.53, 0.70)</w:t>
            </w:r>
          </w:p>
          <w:p w14:paraId="1F19629A" w14:textId="77777777" w:rsidR="00117835" w:rsidRDefault="00117835" w:rsidP="00D6551D">
            <w:pPr>
              <w:spacing w:line="240" w:lineRule="auto"/>
              <w:ind w:firstLine="0"/>
              <w:jc w:val="center"/>
            </w:pPr>
            <w:r>
              <w:rPr>
                <w:b/>
              </w:rPr>
              <w:t>2050:</w:t>
            </w:r>
            <w:r>
              <w:t xml:space="preserve"> 0.71 (0.70, 0.72)</w:t>
            </w:r>
          </w:p>
        </w:tc>
      </w:tr>
    </w:tbl>
    <w:p w14:paraId="0CA38146" w14:textId="77777777" w:rsidR="00117835" w:rsidRDefault="00117835" w:rsidP="00117835">
      <w:pPr>
        <w:ind w:firstLine="0"/>
        <w:rPr>
          <w:b/>
        </w:rPr>
      </w:pPr>
    </w:p>
    <w:p w14:paraId="70653352" w14:textId="77777777" w:rsidR="00117835" w:rsidRDefault="00117835" w:rsidP="00117835">
      <w:pPr>
        <w:ind w:firstLine="0"/>
        <w:rPr>
          <w:b/>
        </w:rPr>
      </w:pPr>
      <w:bookmarkStart w:id="2" w:name="_1xflldsh3hez" w:colFirst="0" w:colLast="0"/>
      <w:bookmarkEnd w:id="2"/>
    </w:p>
    <w:p w14:paraId="692B3653" w14:textId="77777777" w:rsidR="00A15DDA" w:rsidRDefault="00A15DDA">
      <w:pPr>
        <w:spacing w:line="240" w:lineRule="auto"/>
        <w:ind w:firstLine="284"/>
        <w:rPr>
          <w:b/>
          <w:highlight w:val="none"/>
        </w:rPr>
      </w:pPr>
      <w:bookmarkStart w:id="3" w:name="_g37z994t5g1y" w:colFirst="0" w:colLast="0"/>
      <w:bookmarkEnd w:id="3"/>
      <w:r>
        <w:br w:type="page"/>
      </w:r>
    </w:p>
    <w:p w14:paraId="756ECD18" w14:textId="4A097DC8" w:rsidR="00117835" w:rsidRDefault="00117835" w:rsidP="00D40BDC">
      <w:pPr>
        <w:pStyle w:val="Heading2"/>
      </w:pPr>
      <w:r>
        <w:lastRenderedPageBreak/>
        <w:t>S.</w:t>
      </w:r>
      <w:r w:rsidR="00F44208">
        <w:t>3</w:t>
      </w:r>
      <w:r>
        <w:t xml:space="preserve"> Land availability</w:t>
      </w:r>
    </w:p>
    <w:p w14:paraId="36BEF8BF" w14:textId="77777777" w:rsidR="00117835" w:rsidRDefault="00117835" w:rsidP="00F37632">
      <w:pPr>
        <w:spacing w:line="276" w:lineRule="auto"/>
        <w:ind w:firstLine="0"/>
      </w:pPr>
      <w:r>
        <w:tab/>
        <w:t>We quantify the amount of land required for the production of ammonia from agrivoltaic systems to assess whether the installation of PV panels only on croplands allows a sufficient production of electricity to satisfy the local demand of ammonia as fertilizer. The total area required to be covered by solar panels is computed from the technology-specific energy requirements to satisfy the local demand of ammonia:</w:t>
      </w:r>
    </w:p>
    <w:p w14:paraId="575987EF" w14:textId="77777777" w:rsidR="00117835" w:rsidRDefault="00117835" w:rsidP="0087754C">
      <w:pPr>
        <w:spacing w:line="276" w:lineRule="auto"/>
        <w:ind w:firstLine="0"/>
        <w:jc w:val="center"/>
      </w:pPr>
    </w:p>
    <w:p w14:paraId="20C0BFC8" w14:textId="506EB352" w:rsidR="00117835" w:rsidRDefault="00117835" w:rsidP="0087754C">
      <w:pPr>
        <w:spacing w:line="276" w:lineRule="auto"/>
        <w:ind w:firstLine="0"/>
        <w:jc w:val="center"/>
      </w:pPr>
      <w:proofErr w:type="spellStart"/>
      <w:proofErr w:type="gramStart"/>
      <w:r>
        <w:rPr>
          <w:i/>
        </w:rPr>
        <w:t>A</w:t>
      </w:r>
      <w:r>
        <w:rPr>
          <w:vertAlign w:val="subscript"/>
        </w:rPr>
        <w:t>i,t</w:t>
      </w:r>
      <w:proofErr w:type="spellEnd"/>
      <w:proofErr w:type="gramEnd"/>
      <w:r>
        <w:rPr>
          <w:i/>
        </w:rPr>
        <w:t xml:space="preserve">  = </w:t>
      </w:r>
      <w:proofErr w:type="spellStart"/>
      <w:r>
        <w:rPr>
          <w:i/>
        </w:rPr>
        <w:t>D</w:t>
      </w:r>
      <w:r>
        <w:rPr>
          <w:vertAlign w:val="subscript"/>
        </w:rPr>
        <w:t>t,i</w:t>
      </w:r>
      <w:proofErr w:type="spellEnd"/>
      <w:r>
        <w:t xml:space="preserve"> </w:t>
      </w:r>
      <w:r>
        <w:rPr>
          <w:vertAlign w:val="subscript"/>
        </w:rPr>
        <w:t xml:space="preserve"> </w:t>
      </w:r>
      <w:r>
        <w:t xml:space="preserve">/ </w:t>
      </w:r>
      <w:r>
        <w:rPr>
          <w:i/>
        </w:rPr>
        <w:t>S</w:t>
      </w:r>
      <w:r>
        <w:rPr>
          <w:vertAlign w:val="subscript"/>
        </w:rPr>
        <w:t>i</w:t>
      </w:r>
      <w:r>
        <w:rPr>
          <w:i/>
        </w:rPr>
        <w:t xml:space="preserve"> </w:t>
      </w:r>
      <w:r>
        <w:rPr>
          <w:i/>
          <w:vertAlign w:val="superscript"/>
        </w:rPr>
        <w:t>solar</w:t>
      </w:r>
      <w:r>
        <w:rPr>
          <w:i/>
        </w:rPr>
        <w:tab/>
      </w:r>
      <w:r>
        <w:rPr>
          <w:i/>
        </w:rPr>
        <w:tab/>
      </w:r>
      <m:oMath>
        <m:r>
          <w:rPr>
            <w:rFonts w:ascii="Cambria Math" w:hAnsi="Cambria Math"/>
          </w:rPr>
          <m:t>∀</m:t>
        </m:r>
      </m:oMath>
      <w:r>
        <w:t xml:space="preserve"> i </w:t>
      </w:r>
      <m:oMath>
        <m:r>
          <w:rPr>
            <w:rFonts w:ascii="Cambria Math" w:hAnsi="Cambria Math"/>
          </w:rPr>
          <m:t>∈</m:t>
        </m:r>
      </m:oMath>
      <w:r>
        <w:t xml:space="preserve"> </w:t>
      </w:r>
      <w:r>
        <w:rPr>
          <w:i/>
        </w:rPr>
        <w:t xml:space="preserve">N, </w:t>
      </w:r>
      <m:oMath>
        <m:r>
          <w:rPr>
            <w:rFonts w:ascii="Cambria Math" w:hAnsi="Cambria Math"/>
          </w:rPr>
          <m:t>∀</m:t>
        </m:r>
      </m:oMath>
      <w:r>
        <w:t xml:space="preserve"> t </w:t>
      </w:r>
      <m:oMath>
        <m:r>
          <w:rPr>
            <w:rFonts w:ascii="Cambria Math" w:hAnsi="Cambria Math"/>
          </w:rPr>
          <m:t>∈</m:t>
        </m:r>
      </m:oMath>
      <w:r>
        <w:t xml:space="preserve"> </w:t>
      </w:r>
      <w:r>
        <w:rPr>
          <w:i/>
        </w:rPr>
        <w:t>T</w:t>
      </w:r>
      <w:r>
        <w:tab/>
      </w:r>
      <w:r>
        <w:tab/>
        <w:t>(</w:t>
      </w:r>
      <w:r w:rsidR="00C45701">
        <w:t>2</w:t>
      </w:r>
      <w:r>
        <w:t>)</w:t>
      </w:r>
    </w:p>
    <w:p w14:paraId="1D8A1AF9" w14:textId="77777777" w:rsidR="00117835" w:rsidRDefault="00117835" w:rsidP="0087754C">
      <w:pPr>
        <w:spacing w:line="276" w:lineRule="auto"/>
        <w:jc w:val="left"/>
      </w:pPr>
    </w:p>
    <w:p w14:paraId="56398897" w14:textId="619426B7" w:rsidR="00117835" w:rsidRDefault="00117835" w:rsidP="0087754C">
      <w:pPr>
        <w:spacing w:line="276" w:lineRule="auto"/>
        <w:ind w:firstLine="0"/>
        <w:jc w:val="left"/>
      </w:pPr>
      <w:r>
        <w:t xml:space="preserve">The coverage area, </w:t>
      </w:r>
      <w:proofErr w:type="spellStart"/>
      <w:r>
        <w:rPr>
          <w:i/>
        </w:rPr>
        <w:t>A</w:t>
      </w:r>
      <w:r>
        <w:rPr>
          <w:i/>
          <w:vertAlign w:val="superscript"/>
        </w:rPr>
        <w:t>coverage</w:t>
      </w:r>
      <w:proofErr w:type="spellEnd"/>
      <w:r>
        <w:rPr>
          <w:i/>
        </w:rPr>
        <w:t>,</w:t>
      </w:r>
      <w:r w:rsidR="0087754C">
        <w:rPr>
          <w:i/>
        </w:rPr>
        <w:t xml:space="preserve"> </w:t>
      </w:r>
      <w:r>
        <w:t>used for installation of agrivoltaic systems in cell i is defined as:</w:t>
      </w:r>
    </w:p>
    <w:p w14:paraId="7839E34A" w14:textId="77777777" w:rsidR="00117835" w:rsidRDefault="00117835" w:rsidP="0087754C">
      <w:pPr>
        <w:spacing w:line="276" w:lineRule="auto"/>
        <w:ind w:firstLine="0"/>
        <w:jc w:val="center"/>
      </w:pPr>
    </w:p>
    <w:p w14:paraId="5FD1974D" w14:textId="1DC0A632" w:rsidR="00117835" w:rsidRDefault="00117835" w:rsidP="0087754C">
      <w:pPr>
        <w:spacing w:line="276" w:lineRule="auto"/>
        <w:ind w:firstLine="0"/>
        <w:jc w:val="center"/>
      </w:pPr>
      <w:proofErr w:type="spellStart"/>
      <w:r>
        <w:rPr>
          <w:i/>
        </w:rPr>
        <w:t>A</w:t>
      </w:r>
      <w:r>
        <w:rPr>
          <w:i/>
          <w:vertAlign w:val="superscript"/>
        </w:rPr>
        <w:t>coverage</w:t>
      </w:r>
      <w:r>
        <w:rPr>
          <w:vertAlign w:val="subscript"/>
        </w:rPr>
        <w:t>i</w:t>
      </w:r>
      <w:proofErr w:type="spellEnd"/>
      <w:r>
        <w:rPr>
          <w:i/>
        </w:rPr>
        <w:t xml:space="preserve"> </w:t>
      </w:r>
      <w:r>
        <w:t xml:space="preserve">= γ </w:t>
      </w:r>
      <w:proofErr w:type="spellStart"/>
      <w:r>
        <w:rPr>
          <w:i/>
        </w:rPr>
        <w:t>A</w:t>
      </w:r>
      <w:r>
        <w:rPr>
          <w:i/>
          <w:vertAlign w:val="superscript"/>
        </w:rPr>
        <w:t>cropland</w:t>
      </w:r>
      <w:r>
        <w:rPr>
          <w:vertAlign w:val="subscript"/>
        </w:rPr>
        <w:t>i</w:t>
      </w:r>
      <w:proofErr w:type="spellEnd"/>
      <w:r>
        <w:t xml:space="preserve"> </w:t>
      </w:r>
      <w:r>
        <w:tab/>
      </w:r>
      <w:r>
        <w:tab/>
      </w:r>
      <m:oMath>
        <m:r>
          <w:rPr>
            <w:rFonts w:ascii="Cambria Math" w:hAnsi="Cambria Math"/>
          </w:rPr>
          <m:t>∀</m:t>
        </m:r>
      </m:oMath>
      <w:r>
        <w:t xml:space="preserve"> i </w:t>
      </w:r>
      <m:oMath>
        <m:r>
          <w:rPr>
            <w:rFonts w:ascii="Cambria Math" w:hAnsi="Cambria Math"/>
          </w:rPr>
          <m:t>∈</m:t>
        </m:r>
      </m:oMath>
      <w:r>
        <w:t xml:space="preserve"> </w:t>
      </w:r>
      <w:r>
        <w:rPr>
          <w:i/>
        </w:rPr>
        <w:t>N</w:t>
      </w:r>
      <w:r>
        <w:rPr>
          <w:i/>
        </w:rPr>
        <w:tab/>
      </w:r>
      <w:r>
        <w:rPr>
          <w:i/>
        </w:rPr>
        <w:tab/>
      </w:r>
      <w:r>
        <w:rPr>
          <w:i/>
        </w:rPr>
        <w:tab/>
      </w:r>
      <w:r>
        <w:t>(</w:t>
      </w:r>
      <w:r w:rsidR="00C45701">
        <w:t>3</w:t>
      </w:r>
      <w:r>
        <w:t>)</w:t>
      </w:r>
    </w:p>
    <w:p w14:paraId="06A643E9" w14:textId="77777777" w:rsidR="00117835" w:rsidRDefault="00117835" w:rsidP="0087754C">
      <w:pPr>
        <w:spacing w:line="276" w:lineRule="auto"/>
        <w:ind w:firstLine="0"/>
        <w:jc w:val="left"/>
      </w:pPr>
    </w:p>
    <w:p w14:paraId="3387FA71" w14:textId="77777777" w:rsidR="00117835" w:rsidRDefault="00117835" w:rsidP="00F37632">
      <w:pPr>
        <w:spacing w:line="276" w:lineRule="auto"/>
        <w:ind w:firstLine="0"/>
        <w:jc w:val="left"/>
      </w:pPr>
      <w:r>
        <w:t>with:</w:t>
      </w:r>
    </w:p>
    <w:p w14:paraId="029F8EC1" w14:textId="73B72303" w:rsidR="00117835" w:rsidRDefault="00117835" w:rsidP="00F37632">
      <w:pPr>
        <w:numPr>
          <w:ilvl w:val="0"/>
          <w:numId w:val="1"/>
        </w:numPr>
        <w:spacing w:line="276" w:lineRule="auto"/>
      </w:pPr>
      <w:r>
        <w:t>γ (-) ground cover ratio, representing the ratio of the surface occupied by the photovoltaic cells to the total area occupied by the agrivoltaic system</w:t>
      </w:r>
      <w:r w:rsidR="00E65E9A">
        <w:rPr>
          <w:vertAlign w:val="superscript"/>
        </w:rPr>
        <w:t>3</w:t>
      </w:r>
      <w:r>
        <w:t>,</w:t>
      </w:r>
    </w:p>
    <w:p w14:paraId="3E344374" w14:textId="7728CFB1" w:rsidR="00117835" w:rsidRDefault="00117835" w:rsidP="00F37632">
      <w:pPr>
        <w:numPr>
          <w:ilvl w:val="0"/>
          <w:numId w:val="1"/>
        </w:numPr>
        <w:spacing w:line="276" w:lineRule="auto"/>
        <w:jc w:val="left"/>
      </w:pPr>
      <w:proofErr w:type="spellStart"/>
      <w:r>
        <w:rPr>
          <w:i/>
        </w:rPr>
        <w:t>A</w:t>
      </w:r>
      <w:r>
        <w:rPr>
          <w:i/>
          <w:vertAlign w:val="superscript"/>
        </w:rPr>
        <w:t>cropland</w:t>
      </w:r>
      <w:r>
        <w:rPr>
          <w:vertAlign w:val="subscript"/>
        </w:rPr>
        <w:t>i</w:t>
      </w:r>
      <w:proofErr w:type="spellEnd"/>
      <w:r>
        <w:t xml:space="preserve"> (km</w:t>
      </w:r>
      <w:r>
        <w:rPr>
          <w:vertAlign w:val="superscript"/>
        </w:rPr>
        <w:t>2</w:t>
      </w:r>
      <w:r>
        <w:t>) sum of harvested area for 16 major crops</w:t>
      </w:r>
      <w:r w:rsidR="00EE298F">
        <w:t xml:space="preserve"> (</w:t>
      </w:r>
      <w:r w:rsidR="00EE298F">
        <w:rPr>
          <w:b/>
          <w:bCs/>
        </w:rPr>
        <w:t xml:space="preserve">Table S1 </w:t>
      </w:r>
      <w:r w:rsidR="00EE298F">
        <w:t>in</w:t>
      </w:r>
      <w:r w:rsidR="00EE298F">
        <w:rPr>
          <w:b/>
          <w:bCs/>
        </w:rPr>
        <w:t xml:space="preserve"> Suppl. Inf. – Section S.1</w:t>
      </w:r>
      <w:r w:rsidR="00EE298F">
        <w:t>)</w:t>
      </w:r>
      <w:r w:rsidR="00DA53E0">
        <w:t xml:space="preserve"> </w:t>
      </w:r>
      <w:r>
        <w:t>in cell i.</w:t>
      </w:r>
    </w:p>
    <w:p w14:paraId="760C7B9A" w14:textId="055EE037" w:rsidR="00117835" w:rsidRDefault="00117835" w:rsidP="00F37632">
      <w:pPr>
        <w:spacing w:line="276" w:lineRule="auto"/>
        <w:ind w:firstLine="0"/>
      </w:pPr>
      <w:r>
        <w:t xml:space="preserve">Land availability (LA) is assessed based on the ratio of land demand, </w:t>
      </w:r>
      <w:proofErr w:type="spellStart"/>
      <w:proofErr w:type="gramStart"/>
      <w:r>
        <w:rPr>
          <w:i/>
        </w:rPr>
        <w:t>A</w:t>
      </w:r>
      <w:r>
        <w:rPr>
          <w:vertAlign w:val="subscript"/>
        </w:rPr>
        <w:t>i,t</w:t>
      </w:r>
      <w:proofErr w:type="spellEnd"/>
      <w:proofErr w:type="gramEnd"/>
      <w:r>
        <w:t>, representing the land requirements to meet ammonia demand (</w:t>
      </w:r>
      <w:r>
        <w:rPr>
          <w:b/>
        </w:rPr>
        <w:t xml:space="preserve">Equation </w:t>
      </w:r>
      <w:r w:rsidR="00C45701">
        <w:rPr>
          <w:b/>
        </w:rPr>
        <w:t>2</w:t>
      </w:r>
      <w:r>
        <w:rPr>
          <w:b/>
        </w:rPr>
        <w:t xml:space="preserve">) </w:t>
      </w:r>
      <w:r>
        <w:t>and land coverage, representing the land used for the contemporary production of electricity from solar panels and crops harvesting (</w:t>
      </w:r>
      <w:r>
        <w:rPr>
          <w:b/>
        </w:rPr>
        <w:t xml:space="preserve">Equation </w:t>
      </w:r>
      <w:r w:rsidR="00C45701">
        <w:rPr>
          <w:b/>
        </w:rPr>
        <w:t>3</w:t>
      </w:r>
      <w:r w:rsidR="00C45701" w:rsidRPr="00C45701">
        <w:rPr>
          <w:bCs/>
        </w:rPr>
        <w:t>)</w:t>
      </w:r>
      <w:r>
        <w:t>:</w:t>
      </w:r>
    </w:p>
    <w:p w14:paraId="57EEB835" w14:textId="77777777" w:rsidR="00117835" w:rsidRDefault="00117835" w:rsidP="0087754C">
      <w:pPr>
        <w:spacing w:line="276" w:lineRule="auto"/>
        <w:ind w:firstLine="0"/>
        <w:jc w:val="left"/>
      </w:pPr>
    </w:p>
    <w:p w14:paraId="7C1DAD6E" w14:textId="63CAAEA4" w:rsidR="00117835" w:rsidRDefault="00117835" w:rsidP="0087754C">
      <w:pPr>
        <w:spacing w:line="276" w:lineRule="auto"/>
        <w:ind w:firstLine="0"/>
        <w:jc w:val="center"/>
      </w:pPr>
      <w:proofErr w:type="spellStart"/>
      <w:proofErr w:type="gramStart"/>
      <w:r>
        <w:rPr>
          <w:i/>
        </w:rPr>
        <w:t>LA</w:t>
      </w:r>
      <w:r>
        <w:rPr>
          <w:vertAlign w:val="subscript"/>
        </w:rPr>
        <w:t>i,t</w:t>
      </w:r>
      <w:proofErr w:type="spellEnd"/>
      <w:proofErr w:type="gramEnd"/>
      <w:r>
        <w:rPr>
          <w:i/>
        </w:rPr>
        <w:t xml:space="preserve"> = </w:t>
      </w:r>
      <w:proofErr w:type="spellStart"/>
      <w:r>
        <w:rPr>
          <w:i/>
        </w:rPr>
        <w:t>A</w:t>
      </w:r>
      <w:r>
        <w:rPr>
          <w:vertAlign w:val="subscript"/>
        </w:rPr>
        <w:t>i,t</w:t>
      </w:r>
      <w:proofErr w:type="spellEnd"/>
      <w:r>
        <w:rPr>
          <w:i/>
          <w:vertAlign w:val="subscript"/>
        </w:rPr>
        <w:t xml:space="preserve">  </w:t>
      </w:r>
      <w:r>
        <w:rPr>
          <w:i/>
        </w:rPr>
        <w:t xml:space="preserve">/ </w:t>
      </w:r>
      <w:proofErr w:type="spellStart"/>
      <w:r>
        <w:rPr>
          <w:i/>
        </w:rPr>
        <w:t>A</w:t>
      </w:r>
      <w:r>
        <w:rPr>
          <w:vertAlign w:val="subscript"/>
        </w:rPr>
        <w:t>i</w:t>
      </w:r>
      <w:r>
        <w:rPr>
          <w:i/>
          <w:vertAlign w:val="superscript"/>
        </w:rPr>
        <w:t>coverage</w:t>
      </w:r>
      <w:proofErr w:type="spellEnd"/>
      <w:r>
        <w:t xml:space="preserve"> </w:t>
      </w:r>
      <w:r>
        <w:rPr>
          <w:i/>
        </w:rPr>
        <w:tab/>
      </w:r>
      <w:r>
        <w:rPr>
          <w:i/>
        </w:rPr>
        <w:tab/>
      </w:r>
      <m:oMath>
        <m:r>
          <w:rPr>
            <w:rFonts w:ascii="Cambria Math" w:hAnsi="Cambria Math"/>
          </w:rPr>
          <m:t>∀</m:t>
        </m:r>
      </m:oMath>
      <w:r>
        <w:t xml:space="preserve"> i </w:t>
      </w:r>
      <m:oMath>
        <m:r>
          <w:rPr>
            <w:rFonts w:ascii="Cambria Math" w:hAnsi="Cambria Math"/>
          </w:rPr>
          <m:t>∈</m:t>
        </m:r>
      </m:oMath>
      <w:r>
        <w:t xml:space="preserve"> </w:t>
      </w:r>
      <w:r>
        <w:rPr>
          <w:i/>
        </w:rPr>
        <w:t xml:space="preserve">N, </w:t>
      </w:r>
      <m:oMath>
        <m:r>
          <w:rPr>
            <w:rFonts w:ascii="Cambria Math" w:hAnsi="Cambria Math"/>
          </w:rPr>
          <m:t>∀</m:t>
        </m:r>
      </m:oMath>
      <w:r>
        <w:t xml:space="preserve"> t </w:t>
      </w:r>
      <m:oMath>
        <m:r>
          <w:rPr>
            <w:rFonts w:ascii="Cambria Math" w:hAnsi="Cambria Math"/>
          </w:rPr>
          <m:t>∈</m:t>
        </m:r>
      </m:oMath>
      <w:r>
        <w:t xml:space="preserve"> </w:t>
      </w:r>
      <w:r>
        <w:rPr>
          <w:i/>
        </w:rPr>
        <w:t>T</w:t>
      </w:r>
      <w:r>
        <w:tab/>
      </w:r>
      <w:r>
        <w:tab/>
        <w:t>(</w:t>
      </w:r>
      <w:r w:rsidR="00C45701">
        <w:t>4</w:t>
      </w:r>
      <w:r>
        <w:t>)</w:t>
      </w:r>
    </w:p>
    <w:p w14:paraId="383D7239" w14:textId="77777777" w:rsidR="00F37632" w:rsidRDefault="00F37632" w:rsidP="0087754C">
      <w:pPr>
        <w:spacing w:line="276" w:lineRule="auto"/>
        <w:ind w:firstLine="0"/>
        <w:jc w:val="left"/>
      </w:pPr>
    </w:p>
    <w:p w14:paraId="19934F8C" w14:textId="624312EB" w:rsidR="00D40BDC" w:rsidRDefault="00117835" w:rsidP="00117835">
      <w:pPr>
        <w:spacing w:line="276" w:lineRule="auto"/>
        <w:ind w:firstLine="0"/>
        <w:jc w:val="left"/>
        <w:sectPr w:rsidR="00D40BDC" w:rsidSect="00D526F3">
          <w:footerReference w:type="even" r:id="rId9"/>
          <w:footerReference w:type="default" r:id="rId10"/>
          <w:pgSz w:w="12240" w:h="15840"/>
          <w:pgMar w:top="1440" w:right="1440" w:bottom="1440" w:left="1440" w:header="720" w:footer="720" w:gutter="0"/>
          <w:cols w:space="720"/>
          <w:docGrid w:linePitch="299"/>
        </w:sectPr>
      </w:pPr>
      <w:r>
        <w:t>Based on the energy density considered in this study (</w:t>
      </w:r>
      <w:r>
        <w:rPr>
          <w:b/>
        </w:rPr>
        <w:t xml:space="preserve">Suppl. Inf. </w:t>
      </w:r>
      <w:r w:rsidR="008E1C2B">
        <w:rPr>
          <w:b/>
        </w:rPr>
        <w:t xml:space="preserve">– Section </w:t>
      </w:r>
      <w:r>
        <w:rPr>
          <w:b/>
        </w:rPr>
        <w:t>S.2</w:t>
      </w:r>
      <w:r>
        <w:t>), LA is always greater than one, indicating that all the electricity required to satisfy the local demand for ammonia can be generated by agrivoltaic systems on croplands.</w:t>
      </w:r>
    </w:p>
    <w:p w14:paraId="42F1902B" w14:textId="77777777" w:rsidR="00821BDC" w:rsidRDefault="00821BDC" w:rsidP="00117835">
      <w:pPr>
        <w:spacing w:line="276" w:lineRule="auto"/>
        <w:ind w:firstLine="0"/>
        <w:sectPr w:rsidR="00821BDC" w:rsidSect="00D526F3">
          <w:type w:val="continuous"/>
          <w:pgSz w:w="12240" w:h="15840"/>
          <w:pgMar w:top="1440" w:right="1440" w:bottom="1440" w:left="1440" w:header="720" w:footer="720" w:gutter="0"/>
          <w:cols w:space="720"/>
          <w:docGrid w:linePitch="299"/>
        </w:sectPr>
      </w:pPr>
      <w:bookmarkStart w:id="4" w:name="_4jmlzqo6acuj" w:colFirst="0" w:colLast="0"/>
      <w:bookmarkEnd w:id="4"/>
    </w:p>
    <w:p w14:paraId="7CA4E4EB" w14:textId="77777777" w:rsidR="00A15DDA" w:rsidRDefault="00A15DDA">
      <w:pPr>
        <w:spacing w:line="240" w:lineRule="auto"/>
        <w:ind w:firstLine="284"/>
        <w:rPr>
          <w:b/>
          <w:highlight w:val="none"/>
        </w:rPr>
      </w:pPr>
      <w:bookmarkStart w:id="5" w:name="_mjv8ubmomp20" w:colFirst="0" w:colLast="0"/>
      <w:bookmarkEnd w:id="5"/>
      <w:r>
        <w:br w:type="page"/>
      </w:r>
    </w:p>
    <w:p w14:paraId="48348A9A" w14:textId="035C07D3" w:rsidR="00117835" w:rsidRPr="00D40BDC" w:rsidRDefault="00117835" w:rsidP="00D40BDC">
      <w:pPr>
        <w:pStyle w:val="Heading2"/>
      </w:pPr>
      <w:r w:rsidRPr="00D40BDC">
        <w:lastRenderedPageBreak/>
        <w:t>S.</w:t>
      </w:r>
      <w:r w:rsidR="00F44208">
        <w:t>4</w:t>
      </w:r>
      <w:r w:rsidRPr="00D40BDC">
        <w:t xml:space="preserve"> Sensitivity analysis</w:t>
      </w:r>
    </w:p>
    <w:p w14:paraId="22B60CA4" w14:textId="3028310C" w:rsidR="00117835" w:rsidRDefault="00117835" w:rsidP="00F37632">
      <w:pPr>
        <w:spacing w:line="276" w:lineRule="auto"/>
        <w:ind w:firstLine="0"/>
      </w:pPr>
      <w:r>
        <w:tab/>
        <w:t>We carry out a sensitivity analysis to quantify the impact of uncertainty on some of the main parameters involved in the calculation of the cost of ammonia (</w:t>
      </w:r>
      <w:r w:rsidR="00EE298F">
        <w:rPr>
          <w:b/>
        </w:rPr>
        <w:t>Methods – Section 4.6</w:t>
      </w:r>
      <w:r>
        <w:t xml:space="preserve">) based on the total and the </w:t>
      </w:r>
      <w:proofErr w:type="spellStart"/>
      <w:r>
        <w:t>Sobol</w:t>
      </w:r>
      <w:proofErr w:type="spellEnd"/>
      <w:r>
        <w:t xml:space="preserve"> indices. The sources of uncertainty are both the global geographical coverage of the analysis and the temporal coverage of the scenarios considered (from 2020 to 2050). </w:t>
      </w:r>
      <w:r w:rsidR="003D6ED4">
        <w:t>While in this study we used a simplified model of the capital and operating costs, local conditions and uncertainties (like variable energy supply, temperature management) should be taken into consideration for more accurate analyses of decentralized production</w:t>
      </w:r>
      <w:r w:rsidR="00E65E9A">
        <w:rPr>
          <w:bCs/>
          <w:vertAlign w:val="superscript"/>
        </w:rPr>
        <w:t>4</w:t>
      </w:r>
      <w:r w:rsidR="003D6ED4" w:rsidRPr="00664E46">
        <w:rPr>
          <w:bCs/>
          <w:vertAlign w:val="superscript"/>
        </w:rPr>
        <w:t>,</w:t>
      </w:r>
      <w:r w:rsidR="00E65E9A">
        <w:rPr>
          <w:bCs/>
          <w:vertAlign w:val="superscript"/>
        </w:rPr>
        <w:t>5</w:t>
      </w:r>
      <w:r w:rsidR="003D6ED4">
        <w:t>.</w:t>
      </w:r>
      <w:r w:rsidR="003D6ED4">
        <w:t xml:space="preserve"> </w:t>
      </w:r>
      <w:r>
        <w:rPr>
          <w:b/>
        </w:rPr>
        <w:t xml:space="preserve">Table S3 </w:t>
      </w:r>
      <w:r>
        <w:t xml:space="preserve">reports the reference values and the range of variation of the parameters involved in the calculation. </w:t>
      </w:r>
      <w:r>
        <w:rPr>
          <w:b/>
        </w:rPr>
        <w:t>Figure S2 (</w:t>
      </w:r>
      <w:proofErr w:type="spellStart"/>
      <w:proofErr w:type="gramStart"/>
      <w:r>
        <w:rPr>
          <w:b/>
        </w:rPr>
        <w:t>a,b</w:t>
      </w:r>
      <w:proofErr w:type="spellEnd"/>
      <w:proofErr w:type="gramEnd"/>
      <w:r>
        <w:rPr>
          <w:b/>
        </w:rPr>
        <w:t xml:space="preserve">) </w:t>
      </w:r>
      <w:r>
        <w:t xml:space="preserve">indicate that, both in case of ammonia production from electric Haber-Bosch and electrocatalysis, the main parameters affecting the median of the global distribution of ammonia is the local cost of electricity, dependent on the capital expenditures and the discount rate of solar photovoltaics. For electrocatalysis, the median of the cost of ammonia is also affected by the energy efficiency of electrocatalysis </w:t>
      </w:r>
      <w:r>
        <w:rPr>
          <w:b/>
        </w:rPr>
        <w:t>Figure S2 (b)</w:t>
      </w:r>
      <w:r>
        <w:t xml:space="preserve">. According to </w:t>
      </w:r>
      <w:r>
        <w:rPr>
          <w:b/>
        </w:rPr>
        <w:t xml:space="preserve">Equation </w:t>
      </w:r>
      <w:r w:rsidR="00EE298F">
        <w:rPr>
          <w:b/>
        </w:rPr>
        <w:t xml:space="preserve">7 </w:t>
      </w:r>
      <w:r w:rsidR="00EE298F">
        <w:rPr>
          <w:bCs/>
        </w:rPr>
        <w:t xml:space="preserve">in </w:t>
      </w:r>
      <w:r w:rsidR="00EE298F">
        <w:rPr>
          <w:b/>
        </w:rPr>
        <w:t>Methods – Section 4.6</w:t>
      </w:r>
      <w:r>
        <w:t>, the energy efficiency depends on the Faradaic efficiency and the overpotential of the catalyst, whose range of variation is still large, due to the low maturity of the technology (TRL 1-3)</w:t>
      </w:r>
      <w:r w:rsidR="00947808">
        <w:rPr>
          <w:vertAlign w:val="superscript"/>
        </w:rPr>
        <w:t>6</w:t>
      </w:r>
      <w:r>
        <w:t>.</w:t>
      </w:r>
    </w:p>
    <w:p w14:paraId="3D0FA920" w14:textId="77777777" w:rsidR="00117835" w:rsidRDefault="00117835" w:rsidP="00117835">
      <w:pPr>
        <w:ind w:firstLine="0"/>
      </w:pPr>
    </w:p>
    <w:p w14:paraId="1CD7F749" w14:textId="77777777" w:rsidR="00117835" w:rsidRDefault="00117835" w:rsidP="00117835">
      <w:pPr>
        <w:ind w:firstLine="0"/>
        <w:jc w:val="center"/>
      </w:pPr>
      <w:r>
        <w:rPr>
          <w:noProof/>
        </w:rPr>
        <w:drawing>
          <wp:inline distT="114300" distB="114300" distL="114300" distR="114300" wp14:anchorId="63D1A634" wp14:editId="7CE20A54">
            <wp:extent cx="5567363" cy="2417877"/>
            <wp:effectExtent l="0" t="0" r="0" b="0"/>
            <wp:docPr id="3"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11"/>
                    <a:srcRect/>
                    <a:stretch>
                      <a:fillRect/>
                    </a:stretch>
                  </pic:blipFill>
                  <pic:spPr>
                    <a:xfrm>
                      <a:off x="0" y="0"/>
                      <a:ext cx="5567363" cy="2417877"/>
                    </a:xfrm>
                    <a:prstGeom prst="rect">
                      <a:avLst/>
                    </a:prstGeom>
                    <a:ln/>
                  </pic:spPr>
                </pic:pic>
              </a:graphicData>
            </a:graphic>
          </wp:inline>
        </w:drawing>
      </w:r>
    </w:p>
    <w:p w14:paraId="24366A03" w14:textId="6C2F574B" w:rsidR="00117835" w:rsidRDefault="00117835" w:rsidP="00F37632">
      <w:pPr>
        <w:spacing w:line="240" w:lineRule="auto"/>
        <w:ind w:firstLine="0"/>
        <w:rPr>
          <w:rFonts w:ascii="Calibri" w:eastAsia="Calibri" w:hAnsi="Calibri" w:cs="Calibri"/>
          <w:b/>
        </w:rPr>
      </w:pPr>
      <w:r>
        <w:rPr>
          <w:rFonts w:ascii="Calibri" w:eastAsia="Calibri" w:hAnsi="Calibri" w:cs="Calibri"/>
          <w:b/>
        </w:rPr>
        <w:t xml:space="preserve">Figure S2. Impact of uncertainty on median of the global distribution of the cost of ammonia. </w:t>
      </w:r>
      <w:r>
        <w:rPr>
          <w:rFonts w:ascii="Calibri" w:eastAsia="Calibri" w:hAnsi="Calibri" w:cs="Calibri"/>
        </w:rPr>
        <w:t>The main parameters affecting the median of the cost of ammonia are the capital expenditures of photovoltaic panels and the discount rate over the lifetime of the panels which determine the local levelized cost of electricity. Additionally, the median of the cost of ammonia in case of electrocatalysis is mainly affected by the energy efficiency of the technology (EE</w:t>
      </w:r>
      <w:r>
        <w:rPr>
          <w:rFonts w:ascii="Calibri" w:eastAsia="Calibri" w:hAnsi="Calibri" w:cs="Calibri"/>
          <w:vertAlign w:val="superscript"/>
        </w:rPr>
        <w:t>DER</w:t>
      </w:r>
      <w:r>
        <w:rPr>
          <w:rFonts w:ascii="Calibri" w:eastAsia="Calibri" w:hAnsi="Calibri" w:cs="Calibri"/>
        </w:rPr>
        <w:t xml:space="preserve"> in </w:t>
      </w:r>
      <w:r w:rsidR="008E1C2B">
        <w:rPr>
          <w:b/>
        </w:rPr>
        <w:t xml:space="preserve">Equation 7 </w:t>
      </w:r>
      <w:r w:rsidR="008E1C2B">
        <w:rPr>
          <w:bCs/>
        </w:rPr>
        <w:t xml:space="preserve">in </w:t>
      </w:r>
      <w:r w:rsidR="008E1C2B">
        <w:rPr>
          <w:b/>
        </w:rPr>
        <w:t>Methods – Section 4.6</w:t>
      </w:r>
      <w:r>
        <w:rPr>
          <w:rFonts w:ascii="Calibri" w:eastAsia="Calibri" w:hAnsi="Calibri" w:cs="Calibri"/>
        </w:rPr>
        <w:t>).</w:t>
      </w:r>
    </w:p>
    <w:p w14:paraId="568DBB4C" w14:textId="77777777" w:rsidR="00117835" w:rsidRDefault="00117835" w:rsidP="00117835">
      <w:pPr>
        <w:ind w:firstLine="0"/>
        <w:rPr>
          <w:b/>
        </w:rPr>
      </w:pPr>
    </w:p>
    <w:p w14:paraId="16573405" w14:textId="77777777" w:rsidR="00117835" w:rsidRDefault="00117835" w:rsidP="00117835">
      <w:pPr>
        <w:ind w:firstLine="0"/>
        <w:rPr>
          <w:b/>
        </w:rPr>
        <w:sectPr w:rsidR="00117835" w:rsidSect="00D526F3">
          <w:type w:val="continuous"/>
          <w:pgSz w:w="12240" w:h="15840"/>
          <w:pgMar w:top="1440" w:right="1440" w:bottom="1440" w:left="1440" w:header="720" w:footer="720" w:gutter="0"/>
          <w:cols w:space="720"/>
          <w:docGrid w:linePitch="299"/>
        </w:sectPr>
      </w:pPr>
    </w:p>
    <w:p w14:paraId="57C18D90" w14:textId="77777777" w:rsidR="00A15DDA" w:rsidRDefault="00A15DDA">
      <w:pPr>
        <w:spacing w:line="240" w:lineRule="auto"/>
        <w:ind w:firstLine="284"/>
        <w:rPr>
          <w:b/>
          <w:highlight w:val="none"/>
        </w:rPr>
      </w:pPr>
      <w:bookmarkStart w:id="6" w:name="_kmuxibwgjk5i" w:colFirst="0" w:colLast="0"/>
      <w:bookmarkEnd w:id="6"/>
      <w:r>
        <w:br w:type="page"/>
      </w:r>
    </w:p>
    <w:p w14:paraId="2A735C64" w14:textId="5CEEFF35" w:rsidR="00117835" w:rsidRPr="00D40BDC" w:rsidRDefault="00117835" w:rsidP="00D40BDC">
      <w:pPr>
        <w:pStyle w:val="Heading2"/>
      </w:pPr>
      <w:r w:rsidRPr="00D40BDC">
        <w:lastRenderedPageBreak/>
        <w:t>S.</w:t>
      </w:r>
      <w:r w:rsidR="00F44208">
        <w:t>5</w:t>
      </w:r>
      <w:r w:rsidRPr="00D40BDC">
        <w:t xml:space="preserve"> Assumptions in cost and performance of the technologies</w:t>
      </w:r>
    </w:p>
    <w:p w14:paraId="26AC2120" w14:textId="64B4C2BF" w:rsidR="00117835" w:rsidRDefault="00117835" w:rsidP="00F37632">
      <w:pPr>
        <w:spacing w:line="276" w:lineRule="auto"/>
        <w:ind w:firstLine="0"/>
      </w:pPr>
      <w:r>
        <w:tab/>
      </w:r>
      <w:r>
        <w:rPr>
          <w:b/>
        </w:rPr>
        <w:t xml:space="preserve">Table </w:t>
      </w:r>
      <w:r w:rsidR="00F44208">
        <w:rPr>
          <w:b/>
        </w:rPr>
        <w:t>S</w:t>
      </w:r>
      <w:r>
        <w:rPr>
          <w:b/>
        </w:rPr>
        <w:t xml:space="preserve">3 </w:t>
      </w:r>
      <w:r>
        <w:t>collects the values of the coefficients used in the cost-analysis (</w:t>
      </w:r>
      <w:r w:rsidR="00653E1D">
        <w:rPr>
          <w:b/>
        </w:rPr>
        <w:t>Methods – Section 4.5, 4.6</w:t>
      </w:r>
      <w:r>
        <w:t>) relative to the evolution of the performance of the technology, its capital and its operating expenditures.</w:t>
      </w:r>
    </w:p>
    <w:p w14:paraId="347F9654" w14:textId="77777777" w:rsidR="00117835" w:rsidRDefault="00117835" w:rsidP="00117835">
      <w:pPr>
        <w:ind w:firstLine="0"/>
      </w:pPr>
    </w:p>
    <w:p w14:paraId="0A36F506" w14:textId="2F74CAF9" w:rsidR="00117835" w:rsidRDefault="00117835" w:rsidP="00A15DDA">
      <w:pPr>
        <w:spacing w:line="240" w:lineRule="auto"/>
        <w:ind w:firstLine="0"/>
        <w:rPr>
          <w:rFonts w:ascii="Calibri" w:eastAsia="Calibri" w:hAnsi="Calibri" w:cs="Calibri"/>
        </w:rPr>
      </w:pPr>
      <w:r>
        <w:rPr>
          <w:rFonts w:ascii="Calibri" w:eastAsia="Calibri" w:hAnsi="Calibri" w:cs="Calibri"/>
          <w:b/>
        </w:rPr>
        <w:t xml:space="preserve">Table S3. Coefficients used in the calculation of energy potential. </w:t>
      </w:r>
      <w:r>
        <w:rPr>
          <w:rFonts w:ascii="Calibri" w:eastAsia="Calibri" w:hAnsi="Calibri" w:cs="Calibri"/>
        </w:rPr>
        <w:t>Costs are presented in EUR based on the conversion rate</w:t>
      </w:r>
      <w:r w:rsidR="00947808">
        <w:rPr>
          <w:rFonts w:ascii="Calibri" w:eastAsia="Calibri" w:hAnsi="Calibri" w:cs="Calibri"/>
          <w:vertAlign w:val="superscript"/>
        </w:rPr>
        <w:t>9</w:t>
      </w:r>
      <w:r>
        <w:rPr>
          <w:rFonts w:ascii="Calibri" w:eastAsia="Calibri" w:hAnsi="Calibri" w:cs="Calibri"/>
        </w:rPr>
        <w:t xml:space="preserve"> of 1 USD = 0.95 EUR.</w:t>
      </w:r>
    </w:p>
    <w:p w14:paraId="0569DD13" w14:textId="77777777" w:rsidR="00A15DDA" w:rsidRPr="00A15DDA" w:rsidRDefault="00A15DDA" w:rsidP="00A15DDA">
      <w:pPr>
        <w:spacing w:line="240" w:lineRule="auto"/>
        <w:ind w:firstLine="0"/>
        <w:rPr>
          <w:rFonts w:ascii="Calibri" w:eastAsia="Calibri" w:hAnsi="Calibri" w:cs="Calibri"/>
        </w:rPr>
      </w:pPr>
    </w:p>
    <w:tbl>
      <w:tblPr>
        <w:tblW w:w="9225" w:type="dxa"/>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408"/>
        <w:gridCol w:w="2551"/>
        <w:gridCol w:w="2694"/>
        <w:gridCol w:w="2572"/>
      </w:tblGrid>
      <w:tr w:rsidR="00B16334" w14:paraId="44663684" w14:textId="77777777" w:rsidTr="00A15DDA">
        <w:trPr>
          <w:trHeight w:val="176"/>
          <w:jc w:val="center"/>
        </w:trPr>
        <w:tc>
          <w:tcPr>
            <w:tcW w:w="1408" w:type="dxa"/>
            <w:shd w:val="clear" w:color="auto" w:fill="auto"/>
            <w:tcMar>
              <w:top w:w="100" w:type="dxa"/>
              <w:left w:w="100" w:type="dxa"/>
              <w:bottom w:w="100" w:type="dxa"/>
              <w:right w:w="100" w:type="dxa"/>
            </w:tcMar>
          </w:tcPr>
          <w:p w14:paraId="79629F13" w14:textId="77777777" w:rsidR="00117835" w:rsidRDefault="00117835" w:rsidP="00D6551D">
            <w:pPr>
              <w:widowControl w:val="0"/>
              <w:spacing w:line="240" w:lineRule="auto"/>
              <w:ind w:firstLine="0"/>
              <w:jc w:val="center"/>
              <w:rPr>
                <w:b/>
              </w:rPr>
            </w:pPr>
            <w:r>
              <w:rPr>
                <w:b/>
              </w:rPr>
              <w:t>symbol</w:t>
            </w:r>
          </w:p>
        </w:tc>
        <w:tc>
          <w:tcPr>
            <w:tcW w:w="2551" w:type="dxa"/>
            <w:shd w:val="clear" w:color="auto" w:fill="auto"/>
            <w:tcMar>
              <w:top w:w="100" w:type="dxa"/>
              <w:left w:w="100" w:type="dxa"/>
              <w:bottom w:w="100" w:type="dxa"/>
              <w:right w:w="100" w:type="dxa"/>
            </w:tcMar>
          </w:tcPr>
          <w:p w14:paraId="577D8912" w14:textId="77777777" w:rsidR="00117835" w:rsidRDefault="00117835" w:rsidP="00D6551D">
            <w:pPr>
              <w:widowControl w:val="0"/>
              <w:spacing w:line="240" w:lineRule="auto"/>
              <w:ind w:firstLine="0"/>
              <w:jc w:val="center"/>
              <w:rPr>
                <w:b/>
              </w:rPr>
            </w:pPr>
            <w:r>
              <w:rPr>
                <w:b/>
              </w:rPr>
              <w:t>description</w:t>
            </w:r>
          </w:p>
        </w:tc>
        <w:tc>
          <w:tcPr>
            <w:tcW w:w="2694" w:type="dxa"/>
            <w:shd w:val="clear" w:color="auto" w:fill="auto"/>
            <w:tcMar>
              <w:top w:w="100" w:type="dxa"/>
              <w:left w:w="100" w:type="dxa"/>
              <w:bottom w:w="100" w:type="dxa"/>
              <w:right w:w="100" w:type="dxa"/>
            </w:tcMar>
          </w:tcPr>
          <w:p w14:paraId="06006A68" w14:textId="77777777" w:rsidR="00117835" w:rsidRDefault="00117835" w:rsidP="00D6551D">
            <w:pPr>
              <w:widowControl w:val="0"/>
              <w:spacing w:line="240" w:lineRule="auto"/>
              <w:ind w:firstLine="0"/>
              <w:jc w:val="center"/>
              <w:rPr>
                <w:b/>
              </w:rPr>
            </w:pPr>
            <w:r>
              <w:rPr>
                <w:b/>
              </w:rPr>
              <w:t>value</w:t>
            </w:r>
          </w:p>
        </w:tc>
        <w:tc>
          <w:tcPr>
            <w:tcW w:w="2572" w:type="dxa"/>
            <w:shd w:val="clear" w:color="auto" w:fill="auto"/>
            <w:tcMar>
              <w:top w:w="100" w:type="dxa"/>
              <w:left w:w="100" w:type="dxa"/>
              <w:bottom w:w="100" w:type="dxa"/>
              <w:right w:w="100" w:type="dxa"/>
            </w:tcMar>
          </w:tcPr>
          <w:p w14:paraId="58FEDCB7" w14:textId="5E9442AC" w:rsidR="00117835" w:rsidRDefault="00576580" w:rsidP="00D6551D">
            <w:pPr>
              <w:widowControl w:val="0"/>
              <w:spacing w:line="240" w:lineRule="auto"/>
              <w:ind w:firstLine="0"/>
              <w:jc w:val="center"/>
              <w:rPr>
                <w:b/>
              </w:rPr>
            </w:pPr>
            <w:r>
              <w:rPr>
                <w:b/>
              </w:rPr>
              <w:t>reference</w:t>
            </w:r>
          </w:p>
        </w:tc>
      </w:tr>
      <w:tr w:rsidR="00B16334" w14:paraId="7E3D3CF6" w14:textId="77777777" w:rsidTr="00A15DDA">
        <w:trPr>
          <w:trHeight w:val="1416"/>
          <w:jc w:val="center"/>
        </w:trPr>
        <w:tc>
          <w:tcPr>
            <w:tcW w:w="1408" w:type="dxa"/>
            <w:shd w:val="clear" w:color="auto" w:fill="auto"/>
            <w:tcMar>
              <w:top w:w="100" w:type="dxa"/>
              <w:left w:w="100" w:type="dxa"/>
              <w:bottom w:w="100" w:type="dxa"/>
              <w:right w:w="100" w:type="dxa"/>
            </w:tcMar>
            <w:vAlign w:val="center"/>
          </w:tcPr>
          <w:p w14:paraId="20463E39" w14:textId="77777777" w:rsidR="00117835" w:rsidRDefault="00117835" w:rsidP="00D6551D">
            <w:pPr>
              <w:ind w:firstLine="0"/>
              <w:jc w:val="center"/>
            </w:pPr>
            <m:oMath>
              <m:r>
                <w:rPr>
                  <w:rFonts w:ascii="Cambria Math" w:hAnsi="Cambria Math"/>
                </w:rPr>
                <m:t>C</m:t>
              </m:r>
            </m:oMath>
            <w:r>
              <w:t xml:space="preserve"> </w:t>
            </w:r>
          </w:p>
          <w:p w14:paraId="41CDC322" w14:textId="77777777" w:rsidR="00117835" w:rsidRDefault="00117835" w:rsidP="00D6551D">
            <w:pPr>
              <w:ind w:firstLine="0"/>
              <w:jc w:val="center"/>
            </w:pPr>
            <w:r>
              <w:t>(EUR/kW)</w:t>
            </w:r>
          </w:p>
        </w:tc>
        <w:tc>
          <w:tcPr>
            <w:tcW w:w="2551" w:type="dxa"/>
            <w:shd w:val="clear" w:color="auto" w:fill="auto"/>
            <w:tcMar>
              <w:top w:w="100" w:type="dxa"/>
              <w:left w:w="100" w:type="dxa"/>
              <w:bottom w:w="100" w:type="dxa"/>
              <w:right w:w="100" w:type="dxa"/>
            </w:tcMar>
            <w:vAlign w:val="center"/>
          </w:tcPr>
          <w:p w14:paraId="0DC3D28F" w14:textId="77777777" w:rsidR="00117835" w:rsidRDefault="00117835" w:rsidP="00D6551D">
            <w:pPr>
              <w:widowControl w:val="0"/>
              <w:spacing w:line="240" w:lineRule="auto"/>
              <w:ind w:firstLine="0"/>
              <w:jc w:val="center"/>
            </w:pPr>
            <w:r>
              <w:t>capital expenditure for distributed commercial solar panels including cost of balance of plant</w:t>
            </w:r>
          </w:p>
        </w:tc>
        <w:tc>
          <w:tcPr>
            <w:tcW w:w="2694" w:type="dxa"/>
            <w:shd w:val="clear" w:color="auto" w:fill="auto"/>
            <w:tcMar>
              <w:top w:w="100" w:type="dxa"/>
              <w:left w:w="100" w:type="dxa"/>
              <w:bottom w:w="100" w:type="dxa"/>
              <w:right w:w="100" w:type="dxa"/>
            </w:tcMar>
            <w:vAlign w:val="center"/>
          </w:tcPr>
          <w:p w14:paraId="2C717E4F" w14:textId="3FB41723" w:rsidR="00117835" w:rsidRDefault="00117835" w:rsidP="00D6551D">
            <w:pPr>
              <w:widowControl w:val="0"/>
              <w:spacing w:line="240" w:lineRule="auto"/>
              <w:ind w:firstLine="0"/>
              <w:jc w:val="center"/>
            </w:pPr>
            <w:r>
              <w:rPr>
                <w:b/>
              </w:rPr>
              <w:t>2020:</w:t>
            </w:r>
            <w:r>
              <w:t xml:space="preserve"> 1674.</w:t>
            </w:r>
            <w:r w:rsidR="00D40BDC">
              <w:t>3</w:t>
            </w:r>
            <w:r>
              <w:t xml:space="preserve"> (1172.0, 2176.6)</w:t>
            </w:r>
          </w:p>
          <w:p w14:paraId="190765AF" w14:textId="77777777" w:rsidR="00117835" w:rsidRDefault="00117835" w:rsidP="00D6551D">
            <w:pPr>
              <w:widowControl w:val="0"/>
              <w:spacing w:line="240" w:lineRule="auto"/>
              <w:ind w:firstLine="0"/>
              <w:jc w:val="center"/>
            </w:pPr>
            <w:r>
              <w:rPr>
                <w:b/>
              </w:rPr>
              <w:t>2030:</w:t>
            </w:r>
            <w:r>
              <w:t xml:space="preserve"> 866.4 (606.5, 1126.3)</w:t>
            </w:r>
          </w:p>
          <w:p w14:paraId="4BD49AE7" w14:textId="77777777" w:rsidR="00117835" w:rsidRDefault="00117835" w:rsidP="00D6551D">
            <w:pPr>
              <w:widowControl w:val="0"/>
              <w:spacing w:line="240" w:lineRule="auto"/>
              <w:ind w:firstLine="0"/>
              <w:jc w:val="center"/>
            </w:pPr>
            <w:r>
              <w:rPr>
                <w:b/>
              </w:rPr>
              <w:t>2050:</w:t>
            </w:r>
            <w:r>
              <w:t xml:space="preserve"> 665.0 (465.5, 864.5)</w:t>
            </w:r>
          </w:p>
        </w:tc>
        <w:tc>
          <w:tcPr>
            <w:tcW w:w="2572" w:type="dxa"/>
            <w:shd w:val="clear" w:color="auto" w:fill="auto"/>
            <w:tcMar>
              <w:top w:w="100" w:type="dxa"/>
              <w:left w:w="100" w:type="dxa"/>
              <w:bottom w:w="100" w:type="dxa"/>
              <w:right w:w="100" w:type="dxa"/>
            </w:tcMar>
            <w:vAlign w:val="center"/>
          </w:tcPr>
          <w:p w14:paraId="6D99DEAC" w14:textId="1C9C3CBD" w:rsidR="00117835" w:rsidRDefault="00117835" w:rsidP="000B0D87">
            <w:pPr>
              <w:spacing w:line="240" w:lineRule="auto"/>
              <w:ind w:firstLine="0"/>
              <w:jc w:val="center"/>
              <w:rPr>
                <w:color w:val="212121"/>
              </w:rPr>
            </w:pPr>
            <w:r>
              <w:rPr>
                <w:color w:val="212121"/>
              </w:rPr>
              <w:t>central value</w:t>
            </w:r>
            <w:r w:rsidR="000B0D87">
              <w:rPr>
                <w:color w:val="212121"/>
              </w:rPr>
              <w:t xml:space="preserve"> [1</w:t>
            </w:r>
            <w:r w:rsidR="00947808">
              <w:rPr>
                <w:color w:val="212121"/>
              </w:rPr>
              <w:t>0</w:t>
            </w:r>
            <w:r w:rsidR="000B0D87">
              <w:rPr>
                <w:color w:val="212121"/>
              </w:rPr>
              <w:t>]</w:t>
            </w:r>
            <w:r>
              <w:rPr>
                <w:color w:val="212121"/>
              </w:rPr>
              <w:t>;</w:t>
            </w:r>
          </w:p>
          <w:p w14:paraId="5E2E3472" w14:textId="77777777" w:rsidR="000B0D87" w:rsidRDefault="00117835" w:rsidP="00D6551D">
            <w:pPr>
              <w:spacing w:line="240" w:lineRule="auto"/>
              <w:ind w:firstLine="0"/>
              <w:jc w:val="center"/>
              <w:rPr>
                <w:color w:val="212121"/>
              </w:rPr>
            </w:pPr>
            <w:r>
              <w:rPr>
                <w:color w:val="212121"/>
              </w:rPr>
              <w:t xml:space="preserve">relative variation compared to </w:t>
            </w:r>
          </w:p>
          <w:p w14:paraId="43005157" w14:textId="234D14F5" w:rsidR="00117835" w:rsidRDefault="00117835" w:rsidP="00D6551D">
            <w:pPr>
              <w:spacing w:line="240" w:lineRule="auto"/>
              <w:ind w:firstLine="0"/>
              <w:jc w:val="center"/>
              <w:rPr>
                <w:color w:val="212121"/>
              </w:rPr>
            </w:pPr>
            <w:r>
              <w:rPr>
                <w:color w:val="212121"/>
              </w:rPr>
              <w:t xml:space="preserve">central value </w:t>
            </w:r>
            <w:r w:rsidR="000B0D87">
              <w:rPr>
                <w:color w:val="212121"/>
              </w:rPr>
              <w:t>[1</w:t>
            </w:r>
            <w:r w:rsidR="00947808">
              <w:rPr>
                <w:color w:val="212121"/>
              </w:rPr>
              <w:t>1</w:t>
            </w:r>
            <w:r w:rsidR="000B0D87">
              <w:rPr>
                <w:color w:val="212121"/>
              </w:rPr>
              <w:t>]</w:t>
            </w:r>
          </w:p>
        </w:tc>
      </w:tr>
      <w:tr w:rsidR="00B16334" w14:paraId="6F8A0AE4" w14:textId="77777777" w:rsidTr="00A15DDA">
        <w:trPr>
          <w:jc w:val="center"/>
        </w:trPr>
        <w:tc>
          <w:tcPr>
            <w:tcW w:w="1408" w:type="dxa"/>
            <w:shd w:val="clear" w:color="auto" w:fill="auto"/>
            <w:tcMar>
              <w:top w:w="100" w:type="dxa"/>
              <w:left w:w="100" w:type="dxa"/>
              <w:bottom w:w="100" w:type="dxa"/>
              <w:right w:w="100" w:type="dxa"/>
            </w:tcMar>
            <w:vAlign w:val="center"/>
          </w:tcPr>
          <w:p w14:paraId="0E5898B7" w14:textId="77777777" w:rsidR="00117835" w:rsidRDefault="00117835" w:rsidP="00D6551D">
            <w:pPr>
              <w:ind w:firstLine="0"/>
              <w:jc w:val="center"/>
            </w:pPr>
            <w:r>
              <w:t xml:space="preserve">O </w:t>
            </w:r>
          </w:p>
          <w:p w14:paraId="77E754F5" w14:textId="77777777" w:rsidR="00117835" w:rsidRDefault="00117835" w:rsidP="00D6551D">
            <w:pPr>
              <w:ind w:firstLine="0"/>
              <w:jc w:val="center"/>
            </w:pPr>
            <w:r>
              <w:t>(EUR/kW/y)</w:t>
            </w:r>
          </w:p>
        </w:tc>
        <w:tc>
          <w:tcPr>
            <w:tcW w:w="2551" w:type="dxa"/>
            <w:shd w:val="clear" w:color="auto" w:fill="auto"/>
            <w:tcMar>
              <w:top w:w="100" w:type="dxa"/>
              <w:left w:w="100" w:type="dxa"/>
              <w:bottom w:w="100" w:type="dxa"/>
              <w:right w:w="100" w:type="dxa"/>
            </w:tcMar>
            <w:vAlign w:val="center"/>
          </w:tcPr>
          <w:p w14:paraId="00B328DA" w14:textId="77777777" w:rsidR="00117835" w:rsidRDefault="00117835" w:rsidP="00D6551D">
            <w:pPr>
              <w:widowControl w:val="0"/>
              <w:spacing w:line="240" w:lineRule="auto"/>
              <w:ind w:firstLine="0"/>
              <w:jc w:val="center"/>
            </w:pPr>
            <w:r>
              <w:t>fixed operation and maintenance expenses for commercial photovoltaic panels</w:t>
            </w:r>
          </w:p>
        </w:tc>
        <w:tc>
          <w:tcPr>
            <w:tcW w:w="2694" w:type="dxa"/>
            <w:shd w:val="clear" w:color="auto" w:fill="auto"/>
            <w:tcMar>
              <w:top w:w="100" w:type="dxa"/>
              <w:left w:w="100" w:type="dxa"/>
              <w:bottom w:w="100" w:type="dxa"/>
              <w:right w:w="100" w:type="dxa"/>
            </w:tcMar>
            <w:vAlign w:val="center"/>
          </w:tcPr>
          <w:p w14:paraId="7432F1C2" w14:textId="77777777" w:rsidR="00117835" w:rsidRDefault="00117835" w:rsidP="00D6551D">
            <w:pPr>
              <w:widowControl w:val="0"/>
              <w:spacing w:line="240" w:lineRule="auto"/>
              <w:ind w:firstLine="0"/>
              <w:jc w:val="center"/>
            </w:pPr>
            <w:r>
              <w:rPr>
                <w:b/>
              </w:rPr>
              <w:t>2020:</w:t>
            </w:r>
            <w:r>
              <w:t xml:space="preserve"> 18.1</w:t>
            </w:r>
          </w:p>
          <w:p w14:paraId="61719304" w14:textId="77777777" w:rsidR="00117835" w:rsidRDefault="00117835" w:rsidP="00D6551D">
            <w:pPr>
              <w:widowControl w:val="0"/>
              <w:spacing w:line="240" w:lineRule="auto"/>
              <w:ind w:firstLine="0"/>
              <w:jc w:val="center"/>
            </w:pPr>
            <w:r>
              <w:rPr>
                <w:b/>
              </w:rPr>
              <w:t>2030:</w:t>
            </w:r>
            <w:r>
              <w:t xml:space="preserve"> 11.40</w:t>
            </w:r>
          </w:p>
          <w:p w14:paraId="5D21E947" w14:textId="77777777" w:rsidR="00117835" w:rsidRDefault="00117835" w:rsidP="00D6551D">
            <w:pPr>
              <w:widowControl w:val="0"/>
              <w:spacing w:line="240" w:lineRule="auto"/>
              <w:ind w:firstLine="0"/>
              <w:jc w:val="center"/>
            </w:pPr>
            <w:r>
              <w:rPr>
                <w:b/>
              </w:rPr>
              <w:t>2050:</w:t>
            </w:r>
            <w:r>
              <w:t xml:space="preserve"> 10.5</w:t>
            </w:r>
          </w:p>
        </w:tc>
        <w:tc>
          <w:tcPr>
            <w:tcW w:w="2572" w:type="dxa"/>
            <w:shd w:val="clear" w:color="auto" w:fill="auto"/>
            <w:tcMar>
              <w:top w:w="100" w:type="dxa"/>
              <w:left w:w="100" w:type="dxa"/>
              <w:bottom w:w="100" w:type="dxa"/>
              <w:right w:w="100" w:type="dxa"/>
            </w:tcMar>
            <w:vAlign w:val="center"/>
          </w:tcPr>
          <w:p w14:paraId="78FF270D" w14:textId="7A6B2D79" w:rsidR="00117835" w:rsidRDefault="000B0D87" w:rsidP="00D6551D">
            <w:pPr>
              <w:spacing w:line="240" w:lineRule="auto"/>
              <w:ind w:firstLine="0"/>
              <w:jc w:val="center"/>
              <w:rPr>
                <w:b/>
                <w:color w:val="212121"/>
              </w:rPr>
            </w:pPr>
            <w:r>
              <w:rPr>
                <w:color w:val="212121"/>
              </w:rPr>
              <w:t>[</w:t>
            </w:r>
            <w:r w:rsidR="00936C19">
              <w:rPr>
                <w:color w:val="212121"/>
              </w:rPr>
              <w:t>1</w:t>
            </w:r>
            <w:r w:rsidR="00947808">
              <w:rPr>
                <w:color w:val="212121"/>
              </w:rPr>
              <w:t>0</w:t>
            </w:r>
            <w:r>
              <w:rPr>
                <w:color w:val="212121"/>
              </w:rPr>
              <w:t>]</w:t>
            </w:r>
          </w:p>
        </w:tc>
      </w:tr>
      <w:tr w:rsidR="00B16334" w14:paraId="6131F76F" w14:textId="77777777" w:rsidTr="00A15DDA">
        <w:trPr>
          <w:jc w:val="center"/>
        </w:trPr>
        <w:tc>
          <w:tcPr>
            <w:tcW w:w="1408" w:type="dxa"/>
            <w:shd w:val="clear" w:color="auto" w:fill="auto"/>
            <w:tcMar>
              <w:top w:w="100" w:type="dxa"/>
              <w:left w:w="100" w:type="dxa"/>
              <w:bottom w:w="100" w:type="dxa"/>
              <w:right w:w="100" w:type="dxa"/>
            </w:tcMar>
            <w:vAlign w:val="center"/>
          </w:tcPr>
          <w:p w14:paraId="1DD0BFB2" w14:textId="77777777" w:rsidR="00117835" w:rsidRDefault="00117835" w:rsidP="00D6551D">
            <w:pPr>
              <w:ind w:firstLine="0"/>
              <w:jc w:val="center"/>
            </w:pPr>
            <m:oMathPara>
              <m:oMath>
                <m:r>
                  <w:rPr>
                    <w:rFonts w:ascii="Cambria Math" w:hAnsi="Cambria Math"/>
                  </w:rPr>
                  <m:t>r</m:t>
                </m:r>
              </m:oMath>
            </m:oMathPara>
          </w:p>
          <w:p w14:paraId="6C56D4AC" w14:textId="77777777" w:rsidR="00117835" w:rsidRDefault="00117835" w:rsidP="00D6551D">
            <w:pPr>
              <w:ind w:firstLine="0"/>
              <w:jc w:val="center"/>
            </w:pPr>
            <w:r>
              <w:t xml:space="preserve"> (-)</w:t>
            </w:r>
          </w:p>
        </w:tc>
        <w:tc>
          <w:tcPr>
            <w:tcW w:w="2551" w:type="dxa"/>
            <w:shd w:val="clear" w:color="auto" w:fill="auto"/>
            <w:tcMar>
              <w:top w:w="100" w:type="dxa"/>
              <w:left w:w="100" w:type="dxa"/>
              <w:bottom w:w="100" w:type="dxa"/>
              <w:right w:w="100" w:type="dxa"/>
            </w:tcMar>
            <w:vAlign w:val="center"/>
          </w:tcPr>
          <w:p w14:paraId="5A29AF7D" w14:textId="77777777" w:rsidR="00117835" w:rsidRDefault="00117835" w:rsidP="00D6551D">
            <w:pPr>
              <w:widowControl w:val="0"/>
              <w:spacing w:line="240" w:lineRule="auto"/>
              <w:ind w:firstLine="0"/>
              <w:jc w:val="center"/>
            </w:pPr>
            <w:r>
              <w:t>nominal discount rate</w:t>
            </w:r>
          </w:p>
        </w:tc>
        <w:tc>
          <w:tcPr>
            <w:tcW w:w="2694" w:type="dxa"/>
            <w:shd w:val="clear" w:color="auto" w:fill="auto"/>
            <w:tcMar>
              <w:top w:w="100" w:type="dxa"/>
              <w:left w:w="100" w:type="dxa"/>
              <w:bottom w:w="100" w:type="dxa"/>
              <w:right w:w="100" w:type="dxa"/>
            </w:tcMar>
            <w:vAlign w:val="center"/>
          </w:tcPr>
          <w:p w14:paraId="0C3E228F" w14:textId="77777777" w:rsidR="00117835" w:rsidRDefault="00117835" w:rsidP="00D6551D">
            <w:pPr>
              <w:widowControl w:val="0"/>
              <w:spacing w:line="240" w:lineRule="auto"/>
              <w:ind w:firstLine="0"/>
              <w:jc w:val="center"/>
            </w:pPr>
            <w:r>
              <w:t>0.089</w:t>
            </w:r>
          </w:p>
        </w:tc>
        <w:tc>
          <w:tcPr>
            <w:tcW w:w="2572" w:type="dxa"/>
            <w:shd w:val="clear" w:color="auto" w:fill="auto"/>
            <w:tcMar>
              <w:top w:w="100" w:type="dxa"/>
              <w:left w:w="100" w:type="dxa"/>
              <w:bottom w:w="100" w:type="dxa"/>
              <w:right w:w="100" w:type="dxa"/>
            </w:tcMar>
            <w:vAlign w:val="center"/>
          </w:tcPr>
          <w:p w14:paraId="46C07AC0" w14:textId="6726AD0C" w:rsidR="00117835" w:rsidRDefault="000B0D87" w:rsidP="00D6551D">
            <w:pPr>
              <w:spacing w:line="240" w:lineRule="auto"/>
              <w:ind w:firstLine="0"/>
              <w:jc w:val="center"/>
              <w:rPr>
                <w:color w:val="212121"/>
              </w:rPr>
            </w:pPr>
            <w:r>
              <w:rPr>
                <w:color w:val="212121"/>
              </w:rPr>
              <w:t>[</w:t>
            </w:r>
            <w:r w:rsidR="00936C19">
              <w:rPr>
                <w:color w:val="212121"/>
              </w:rPr>
              <w:t>1</w:t>
            </w:r>
            <w:r w:rsidR="00947808">
              <w:rPr>
                <w:color w:val="212121"/>
              </w:rPr>
              <w:t>0</w:t>
            </w:r>
            <w:r>
              <w:rPr>
                <w:color w:val="212121"/>
              </w:rPr>
              <w:t>]</w:t>
            </w:r>
          </w:p>
        </w:tc>
      </w:tr>
      <w:tr w:rsidR="00B16334" w14:paraId="15C6BBEA" w14:textId="77777777" w:rsidTr="00A15DDA">
        <w:trPr>
          <w:jc w:val="center"/>
        </w:trPr>
        <w:tc>
          <w:tcPr>
            <w:tcW w:w="1408" w:type="dxa"/>
            <w:shd w:val="clear" w:color="auto" w:fill="auto"/>
            <w:tcMar>
              <w:top w:w="100" w:type="dxa"/>
              <w:left w:w="100" w:type="dxa"/>
              <w:bottom w:w="100" w:type="dxa"/>
              <w:right w:w="100" w:type="dxa"/>
            </w:tcMar>
            <w:vAlign w:val="center"/>
          </w:tcPr>
          <w:p w14:paraId="54EE3570" w14:textId="3E6E396C" w:rsidR="00117835" w:rsidRPr="00E10132" w:rsidRDefault="00E10132" w:rsidP="00D6551D">
            <w:pPr>
              <w:ind w:firstLine="0"/>
              <w:jc w:val="center"/>
              <w:rPr>
                <w:i/>
              </w:rPr>
            </w:pPr>
            <m:oMath>
              <m:r>
                <w:rPr>
                  <w:rFonts w:ascii="Cambria Math" w:hAnsi="Cambria Math"/>
                </w:rPr>
                <m:t>I</m:t>
              </m:r>
            </m:oMath>
            <w:r w:rsidR="00117835" w:rsidRPr="00E10132">
              <w:rPr>
                <w:i/>
              </w:rPr>
              <w:t xml:space="preserve"> </w:t>
            </w:r>
          </w:p>
          <w:p w14:paraId="5184FAE7" w14:textId="77777777" w:rsidR="00117835" w:rsidRDefault="00117835" w:rsidP="00D6551D">
            <w:pPr>
              <w:ind w:firstLine="0"/>
              <w:jc w:val="center"/>
            </w:pPr>
            <w:r>
              <w:t>(MWh/y)</w:t>
            </w:r>
          </w:p>
        </w:tc>
        <w:tc>
          <w:tcPr>
            <w:tcW w:w="2551" w:type="dxa"/>
            <w:shd w:val="clear" w:color="auto" w:fill="auto"/>
            <w:tcMar>
              <w:top w:w="100" w:type="dxa"/>
              <w:left w:w="100" w:type="dxa"/>
              <w:bottom w:w="100" w:type="dxa"/>
              <w:right w:w="100" w:type="dxa"/>
            </w:tcMar>
            <w:vAlign w:val="center"/>
          </w:tcPr>
          <w:p w14:paraId="759A5B5D" w14:textId="77777777" w:rsidR="00117835" w:rsidRDefault="00117835" w:rsidP="00D6551D">
            <w:pPr>
              <w:widowControl w:val="0"/>
              <w:spacing w:line="240" w:lineRule="auto"/>
              <w:ind w:firstLine="0"/>
              <w:jc w:val="center"/>
            </w:pPr>
            <w:r>
              <w:t>yearly-average spatially-explicit solar potential</w:t>
            </w:r>
          </w:p>
        </w:tc>
        <w:tc>
          <w:tcPr>
            <w:tcW w:w="2694" w:type="dxa"/>
            <w:shd w:val="clear" w:color="auto" w:fill="auto"/>
            <w:tcMar>
              <w:top w:w="100" w:type="dxa"/>
              <w:left w:w="100" w:type="dxa"/>
              <w:bottom w:w="100" w:type="dxa"/>
              <w:right w:w="100" w:type="dxa"/>
            </w:tcMar>
            <w:vAlign w:val="center"/>
          </w:tcPr>
          <w:p w14:paraId="3DAFEAC2" w14:textId="77777777" w:rsidR="00117835" w:rsidRDefault="00117835" w:rsidP="00D6551D">
            <w:pPr>
              <w:widowControl w:val="0"/>
              <w:spacing w:line="240" w:lineRule="auto"/>
              <w:ind w:firstLine="0"/>
              <w:jc w:val="center"/>
            </w:pPr>
            <w:r>
              <w:t>-</w:t>
            </w:r>
          </w:p>
        </w:tc>
        <w:tc>
          <w:tcPr>
            <w:tcW w:w="2572" w:type="dxa"/>
            <w:shd w:val="clear" w:color="auto" w:fill="auto"/>
            <w:tcMar>
              <w:top w:w="100" w:type="dxa"/>
              <w:left w:w="100" w:type="dxa"/>
              <w:bottom w:w="100" w:type="dxa"/>
              <w:right w:w="100" w:type="dxa"/>
            </w:tcMar>
            <w:vAlign w:val="center"/>
          </w:tcPr>
          <w:p w14:paraId="20CDE494" w14:textId="3F18200A" w:rsidR="00117835" w:rsidRDefault="000B0D87" w:rsidP="00D6551D">
            <w:pPr>
              <w:spacing w:line="240" w:lineRule="auto"/>
              <w:ind w:firstLine="0"/>
              <w:jc w:val="center"/>
              <w:rPr>
                <w:b/>
                <w:color w:val="212121"/>
              </w:rPr>
            </w:pPr>
            <w:r>
              <w:rPr>
                <w:color w:val="212121"/>
              </w:rPr>
              <w:t>[</w:t>
            </w:r>
            <w:r w:rsidR="00936C19">
              <w:rPr>
                <w:color w:val="212121"/>
              </w:rPr>
              <w:t>1</w:t>
            </w:r>
            <w:r w:rsidR="00947808">
              <w:rPr>
                <w:color w:val="212121"/>
              </w:rPr>
              <w:t>2</w:t>
            </w:r>
            <w:r>
              <w:rPr>
                <w:color w:val="212121"/>
              </w:rPr>
              <w:t>]</w:t>
            </w:r>
          </w:p>
        </w:tc>
      </w:tr>
      <w:tr w:rsidR="00B16334" w14:paraId="45C8F46C" w14:textId="77777777" w:rsidTr="00A15DDA">
        <w:trPr>
          <w:jc w:val="center"/>
        </w:trPr>
        <w:tc>
          <w:tcPr>
            <w:tcW w:w="1408" w:type="dxa"/>
            <w:shd w:val="clear" w:color="auto" w:fill="auto"/>
            <w:tcMar>
              <w:top w:w="100" w:type="dxa"/>
              <w:left w:w="100" w:type="dxa"/>
              <w:bottom w:w="100" w:type="dxa"/>
              <w:right w:w="100" w:type="dxa"/>
            </w:tcMar>
            <w:vAlign w:val="center"/>
          </w:tcPr>
          <w:p w14:paraId="0423B1B0" w14:textId="77777777" w:rsidR="00117835" w:rsidRDefault="00117835" w:rsidP="00D6551D">
            <w:pPr>
              <w:ind w:firstLine="0"/>
              <w:jc w:val="center"/>
            </w:pPr>
            <m:oMathPara>
              <m:oMath>
                <m:r>
                  <w:rPr>
                    <w:rFonts w:ascii="Cambria Math" w:hAnsi="Cambria Math"/>
                  </w:rPr>
                  <m:t>T</m:t>
                </m:r>
              </m:oMath>
            </m:oMathPara>
          </w:p>
          <w:p w14:paraId="686470D2" w14:textId="77777777" w:rsidR="00117835" w:rsidRDefault="00117835" w:rsidP="00D6551D">
            <w:pPr>
              <w:ind w:firstLine="0"/>
              <w:jc w:val="center"/>
            </w:pPr>
            <w:r>
              <w:t>(y)</w:t>
            </w:r>
          </w:p>
        </w:tc>
        <w:tc>
          <w:tcPr>
            <w:tcW w:w="2551" w:type="dxa"/>
            <w:shd w:val="clear" w:color="auto" w:fill="auto"/>
            <w:tcMar>
              <w:top w:w="100" w:type="dxa"/>
              <w:left w:w="100" w:type="dxa"/>
              <w:bottom w:w="100" w:type="dxa"/>
              <w:right w:w="100" w:type="dxa"/>
            </w:tcMar>
            <w:vAlign w:val="center"/>
          </w:tcPr>
          <w:p w14:paraId="704917DB" w14:textId="77777777" w:rsidR="00117835" w:rsidRDefault="00117835" w:rsidP="00D6551D">
            <w:pPr>
              <w:widowControl w:val="0"/>
              <w:spacing w:line="240" w:lineRule="auto"/>
              <w:ind w:firstLine="0"/>
              <w:jc w:val="center"/>
            </w:pPr>
            <w:r>
              <w:t>solar panels lifetime</w:t>
            </w:r>
          </w:p>
        </w:tc>
        <w:tc>
          <w:tcPr>
            <w:tcW w:w="2694" w:type="dxa"/>
            <w:shd w:val="clear" w:color="auto" w:fill="auto"/>
            <w:tcMar>
              <w:top w:w="100" w:type="dxa"/>
              <w:left w:w="100" w:type="dxa"/>
              <w:bottom w:w="100" w:type="dxa"/>
              <w:right w:w="100" w:type="dxa"/>
            </w:tcMar>
            <w:vAlign w:val="center"/>
          </w:tcPr>
          <w:p w14:paraId="3F251828" w14:textId="77777777" w:rsidR="00117835" w:rsidRDefault="00117835" w:rsidP="00D6551D">
            <w:pPr>
              <w:widowControl w:val="0"/>
              <w:spacing w:line="240" w:lineRule="auto"/>
              <w:ind w:firstLine="0"/>
              <w:jc w:val="center"/>
            </w:pPr>
            <w:r>
              <w:rPr>
                <w:b/>
              </w:rPr>
              <w:t xml:space="preserve">2020: </w:t>
            </w:r>
            <w:r>
              <w:t>30</w:t>
            </w:r>
          </w:p>
          <w:p w14:paraId="0D1C8A14" w14:textId="77777777" w:rsidR="00117835" w:rsidRDefault="00117835" w:rsidP="00D6551D">
            <w:pPr>
              <w:widowControl w:val="0"/>
              <w:spacing w:line="240" w:lineRule="auto"/>
              <w:ind w:firstLine="0"/>
              <w:jc w:val="center"/>
            </w:pPr>
            <w:r>
              <w:rPr>
                <w:b/>
              </w:rPr>
              <w:t xml:space="preserve">2030: </w:t>
            </w:r>
            <w:r>
              <w:t>35</w:t>
            </w:r>
          </w:p>
          <w:p w14:paraId="1AE9E90D" w14:textId="77777777" w:rsidR="00117835" w:rsidRDefault="00117835" w:rsidP="00D6551D">
            <w:pPr>
              <w:widowControl w:val="0"/>
              <w:spacing w:line="240" w:lineRule="auto"/>
              <w:ind w:firstLine="0"/>
              <w:jc w:val="center"/>
            </w:pPr>
            <w:r>
              <w:rPr>
                <w:b/>
              </w:rPr>
              <w:t xml:space="preserve">2050: </w:t>
            </w:r>
            <w:r>
              <w:t>35</w:t>
            </w:r>
          </w:p>
        </w:tc>
        <w:tc>
          <w:tcPr>
            <w:tcW w:w="2572" w:type="dxa"/>
            <w:shd w:val="clear" w:color="auto" w:fill="auto"/>
            <w:tcMar>
              <w:top w:w="100" w:type="dxa"/>
              <w:left w:w="100" w:type="dxa"/>
              <w:bottom w:w="100" w:type="dxa"/>
              <w:right w:w="100" w:type="dxa"/>
            </w:tcMar>
            <w:vAlign w:val="center"/>
          </w:tcPr>
          <w:p w14:paraId="1A9E4BA7" w14:textId="47480938" w:rsidR="00117835" w:rsidRDefault="00576580" w:rsidP="00D6551D">
            <w:pPr>
              <w:widowControl w:val="0"/>
              <w:spacing w:line="240" w:lineRule="auto"/>
              <w:ind w:firstLine="0"/>
              <w:jc w:val="center"/>
              <w:rPr>
                <w:b/>
                <w:color w:val="212121"/>
              </w:rPr>
            </w:pPr>
            <w:r>
              <w:rPr>
                <w:color w:val="212121"/>
              </w:rPr>
              <w:t>[1</w:t>
            </w:r>
            <w:r w:rsidR="00947808">
              <w:rPr>
                <w:color w:val="212121"/>
              </w:rPr>
              <w:t>3</w:t>
            </w:r>
            <w:r>
              <w:rPr>
                <w:color w:val="212121"/>
              </w:rPr>
              <w:t>]</w:t>
            </w:r>
          </w:p>
        </w:tc>
      </w:tr>
      <w:tr w:rsidR="00AE60AD" w14:paraId="57486CE4" w14:textId="77777777" w:rsidTr="00A15DDA">
        <w:trPr>
          <w:jc w:val="center"/>
        </w:trPr>
        <w:tc>
          <w:tcPr>
            <w:tcW w:w="1408" w:type="dxa"/>
            <w:shd w:val="clear" w:color="auto" w:fill="auto"/>
            <w:tcMar>
              <w:top w:w="100" w:type="dxa"/>
              <w:left w:w="100" w:type="dxa"/>
              <w:bottom w:w="100" w:type="dxa"/>
              <w:right w:w="100" w:type="dxa"/>
            </w:tcMar>
            <w:vAlign w:val="center"/>
          </w:tcPr>
          <w:p w14:paraId="5EE3E1D9" w14:textId="77777777" w:rsidR="00AE60AD" w:rsidRDefault="00AE60AD" w:rsidP="00D6551D">
            <w:pPr>
              <w:ind w:firstLine="0"/>
              <w:jc w:val="center"/>
            </w:pPr>
            <w:r>
              <w:t xml:space="preserve">CF </w:t>
            </w:r>
          </w:p>
          <w:p w14:paraId="78D76CCF" w14:textId="675C2EED" w:rsidR="00AE60AD" w:rsidRDefault="00AE60AD" w:rsidP="00D6551D">
            <w:pPr>
              <w:ind w:firstLine="0"/>
              <w:jc w:val="center"/>
            </w:pPr>
            <w:r>
              <w:t>(-)</w:t>
            </w:r>
          </w:p>
        </w:tc>
        <w:tc>
          <w:tcPr>
            <w:tcW w:w="2551" w:type="dxa"/>
            <w:shd w:val="clear" w:color="auto" w:fill="auto"/>
            <w:tcMar>
              <w:top w:w="100" w:type="dxa"/>
              <w:left w:w="100" w:type="dxa"/>
              <w:bottom w:w="100" w:type="dxa"/>
              <w:right w:w="100" w:type="dxa"/>
            </w:tcMar>
            <w:vAlign w:val="center"/>
          </w:tcPr>
          <w:p w14:paraId="7B76448C" w14:textId="568125EB" w:rsidR="00AE60AD" w:rsidRDefault="00AE60AD" w:rsidP="00D6551D">
            <w:pPr>
              <w:widowControl w:val="0"/>
              <w:spacing w:line="240" w:lineRule="auto"/>
              <w:ind w:firstLine="0"/>
              <w:jc w:val="center"/>
            </w:pPr>
            <w:r>
              <w:t>spatially-explicit capacity factor</w:t>
            </w:r>
          </w:p>
        </w:tc>
        <w:tc>
          <w:tcPr>
            <w:tcW w:w="2694" w:type="dxa"/>
            <w:shd w:val="clear" w:color="auto" w:fill="auto"/>
            <w:tcMar>
              <w:top w:w="100" w:type="dxa"/>
              <w:left w:w="100" w:type="dxa"/>
              <w:bottom w:w="100" w:type="dxa"/>
              <w:right w:w="100" w:type="dxa"/>
            </w:tcMar>
            <w:vAlign w:val="center"/>
          </w:tcPr>
          <w:p w14:paraId="033098BD" w14:textId="339890D2" w:rsidR="00AE60AD" w:rsidRDefault="00AE60AD" w:rsidP="00D6551D">
            <w:pPr>
              <w:widowControl w:val="0"/>
              <w:spacing w:line="240" w:lineRule="auto"/>
              <w:ind w:firstLine="0"/>
              <w:jc w:val="center"/>
            </w:pPr>
            <w:r>
              <w:t>-</w:t>
            </w:r>
          </w:p>
        </w:tc>
        <w:tc>
          <w:tcPr>
            <w:tcW w:w="2572" w:type="dxa"/>
            <w:shd w:val="clear" w:color="auto" w:fill="auto"/>
            <w:tcMar>
              <w:top w:w="100" w:type="dxa"/>
              <w:left w:w="100" w:type="dxa"/>
              <w:bottom w:w="100" w:type="dxa"/>
              <w:right w:w="100" w:type="dxa"/>
            </w:tcMar>
            <w:vAlign w:val="center"/>
          </w:tcPr>
          <w:p w14:paraId="7A603118" w14:textId="7EF8AA11" w:rsidR="00AE60AD" w:rsidRDefault="00AE60AD" w:rsidP="00D6551D">
            <w:pPr>
              <w:widowControl w:val="0"/>
              <w:spacing w:line="240" w:lineRule="auto"/>
              <w:ind w:firstLine="0"/>
              <w:jc w:val="center"/>
              <w:rPr>
                <w:b/>
                <w:color w:val="212121"/>
              </w:rPr>
            </w:pPr>
            <w:r>
              <w:rPr>
                <w:color w:val="212121"/>
              </w:rPr>
              <w:t>[14]</w:t>
            </w:r>
          </w:p>
        </w:tc>
      </w:tr>
      <w:tr w:rsidR="006F30B4" w14:paraId="5ED6BD03" w14:textId="77777777" w:rsidTr="00A15DDA">
        <w:trPr>
          <w:jc w:val="center"/>
        </w:trPr>
        <w:tc>
          <w:tcPr>
            <w:tcW w:w="1408" w:type="dxa"/>
            <w:shd w:val="clear" w:color="auto" w:fill="auto"/>
            <w:tcMar>
              <w:top w:w="100" w:type="dxa"/>
              <w:left w:w="100" w:type="dxa"/>
              <w:bottom w:w="100" w:type="dxa"/>
              <w:right w:w="100" w:type="dxa"/>
            </w:tcMar>
            <w:vAlign w:val="center"/>
          </w:tcPr>
          <w:p w14:paraId="24D19F2C" w14:textId="77777777" w:rsidR="006F30B4" w:rsidRDefault="006F30B4" w:rsidP="006F30B4">
            <w:pPr>
              <w:ind w:firstLine="0"/>
              <w:jc w:val="center"/>
            </w:pPr>
            <m:oMath>
              <m:r>
                <w:rPr>
                  <w:rFonts w:ascii="Cambria Math" w:hAnsi="Cambria Math"/>
                </w:rPr>
                <m:t>d</m:t>
              </m:r>
            </m:oMath>
            <w:r>
              <w:t xml:space="preserve"> </w:t>
            </w:r>
          </w:p>
          <w:p w14:paraId="18AD2378" w14:textId="18D42025" w:rsidR="006F30B4" w:rsidRDefault="006F30B4" w:rsidP="006F30B4">
            <w:pPr>
              <w:ind w:firstLine="0"/>
              <w:jc w:val="center"/>
            </w:pPr>
            <w:r>
              <w:t>(-)</w:t>
            </w:r>
          </w:p>
        </w:tc>
        <w:tc>
          <w:tcPr>
            <w:tcW w:w="2551" w:type="dxa"/>
            <w:shd w:val="clear" w:color="auto" w:fill="auto"/>
            <w:tcMar>
              <w:top w:w="100" w:type="dxa"/>
              <w:left w:w="100" w:type="dxa"/>
              <w:bottom w:w="100" w:type="dxa"/>
              <w:right w:w="100" w:type="dxa"/>
            </w:tcMar>
            <w:vAlign w:val="center"/>
          </w:tcPr>
          <w:p w14:paraId="45366D1D" w14:textId="1CE1F805" w:rsidR="006F30B4" w:rsidRDefault="006F30B4" w:rsidP="006F30B4">
            <w:pPr>
              <w:widowControl w:val="0"/>
              <w:spacing w:line="240" w:lineRule="auto"/>
              <w:ind w:firstLine="0"/>
              <w:jc w:val="center"/>
            </w:pPr>
            <w:r>
              <w:t>degradation rate</w:t>
            </w:r>
          </w:p>
        </w:tc>
        <w:tc>
          <w:tcPr>
            <w:tcW w:w="2694" w:type="dxa"/>
            <w:shd w:val="clear" w:color="auto" w:fill="auto"/>
            <w:tcMar>
              <w:top w:w="100" w:type="dxa"/>
              <w:left w:w="100" w:type="dxa"/>
              <w:bottom w:w="100" w:type="dxa"/>
              <w:right w:w="100" w:type="dxa"/>
            </w:tcMar>
            <w:vAlign w:val="center"/>
          </w:tcPr>
          <w:p w14:paraId="5404C60E" w14:textId="23F4A3B9" w:rsidR="006F30B4" w:rsidRDefault="006F30B4" w:rsidP="006F30B4">
            <w:pPr>
              <w:widowControl w:val="0"/>
              <w:spacing w:line="240" w:lineRule="auto"/>
              <w:ind w:firstLine="0"/>
              <w:jc w:val="center"/>
            </w:pPr>
            <w:r>
              <w:t>0.005</w:t>
            </w:r>
          </w:p>
        </w:tc>
        <w:tc>
          <w:tcPr>
            <w:tcW w:w="2572" w:type="dxa"/>
            <w:shd w:val="clear" w:color="auto" w:fill="auto"/>
            <w:tcMar>
              <w:top w:w="100" w:type="dxa"/>
              <w:left w:w="100" w:type="dxa"/>
              <w:bottom w:w="100" w:type="dxa"/>
              <w:right w:w="100" w:type="dxa"/>
            </w:tcMar>
            <w:vAlign w:val="center"/>
          </w:tcPr>
          <w:p w14:paraId="562EDCBA" w14:textId="7B39A3C1" w:rsidR="006F30B4" w:rsidRDefault="006F30B4" w:rsidP="006F30B4">
            <w:pPr>
              <w:widowControl w:val="0"/>
              <w:spacing w:line="240" w:lineRule="auto"/>
              <w:ind w:firstLine="0"/>
              <w:jc w:val="center"/>
              <w:rPr>
                <w:color w:val="212121"/>
              </w:rPr>
            </w:pPr>
            <w:r>
              <w:rPr>
                <w:color w:val="212121"/>
              </w:rPr>
              <w:t>[14]</w:t>
            </w:r>
          </w:p>
        </w:tc>
      </w:tr>
      <w:tr w:rsidR="006F30B4" w14:paraId="59E309D7" w14:textId="77777777" w:rsidTr="00A15DDA">
        <w:trPr>
          <w:jc w:val="center"/>
        </w:trPr>
        <w:tc>
          <w:tcPr>
            <w:tcW w:w="1408" w:type="dxa"/>
            <w:shd w:val="clear" w:color="auto" w:fill="auto"/>
            <w:tcMar>
              <w:top w:w="100" w:type="dxa"/>
              <w:left w:w="100" w:type="dxa"/>
              <w:bottom w:w="100" w:type="dxa"/>
              <w:right w:w="100" w:type="dxa"/>
            </w:tcMar>
            <w:vAlign w:val="center"/>
          </w:tcPr>
          <w:p w14:paraId="5B850E31" w14:textId="77777777" w:rsidR="006F30B4" w:rsidRDefault="006F30B4" w:rsidP="006F30B4">
            <w:pPr>
              <w:ind w:firstLine="0"/>
              <w:jc w:val="center"/>
            </w:pPr>
            <m:oMath>
              <m:sSup>
                <m:sSupPr>
                  <m:ctrlPr>
                    <w:rPr>
                      <w:rFonts w:ascii="Cambria Math" w:hAnsi="Cambria Math"/>
                    </w:rPr>
                  </m:ctrlPr>
                </m:sSupPr>
                <m:e>
                  <m:r>
                    <w:rPr>
                      <w:rFonts w:ascii="Cambria Math" w:hAnsi="Cambria Math"/>
                    </w:rPr>
                    <m:t>e</m:t>
                  </m:r>
                </m:e>
                <m:sup>
                  <m:r>
                    <w:rPr>
                      <w:rFonts w:ascii="Cambria Math" w:hAnsi="Cambria Math"/>
                    </w:rPr>
                    <m:t>electr</m:t>
                  </m:r>
                </m:sup>
              </m:sSup>
            </m:oMath>
            <w:r>
              <w:t xml:space="preserve"> </w:t>
            </w:r>
          </w:p>
          <w:p w14:paraId="0B099F2C" w14:textId="1A7E63BE" w:rsidR="006F30B4" w:rsidRDefault="006F30B4" w:rsidP="006F30B4">
            <w:pPr>
              <w:ind w:firstLine="0"/>
              <w:jc w:val="center"/>
            </w:pPr>
            <w:r>
              <w:t>(MWh/t</w:t>
            </w:r>
            <w:r>
              <w:rPr>
                <w:vertAlign w:val="subscript"/>
              </w:rPr>
              <w:t>NH3</w:t>
            </w:r>
            <w:r>
              <w:t>)</w:t>
            </w:r>
          </w:p>
        </w:tc>
        <w:tc>
          <w:tcPr>
            <w:tcW w:w="2551" w:type="dxa"/>
            <w:shd w:val="clear" w:color="auto" w:fill="auto"/>
            <w:tcMar>
              <w:top w:w="100" w:type="dxa"/>
              <w:left w:w="100" w:type="dxa"/>
              <w:bottom w:w="100" w:type="dxa"/>
              <w:right w:w="100" w:type="dxa"/>
            </w:tcMar>
            <w:vAlign w:val="center"/>
          </w:tcPr>
          <w:p w14:paraId="0B2C2265" w14:textId="0E5FFDA4" w:rsidR="006F30B4" w:rsidRDefault="006F30B4" w:rsidP="006F30B4">
            <w:pPr>
              <w:widowControl w:val="0"/>
              <w:spacing w:line="240" w:lineRule="auto"/>
              <w:ind w:firstLine="0"/>
              <w:jc w:val="center"/>
            </w:pPr>
            <w:r>
              <w:t>electrolyser chemical energy demand</w:t>
            </w:r>
          </w:p>
        </w:tc>
        <w:tc>
          <w:tcPr>
            <w:tcW w:w="2694" w:type="dxa"/>
            <w:shd w:val="clear" w:color="auto" w:fill="auto"/>
            <w:tcMar>
              <w:top w:w="100" w:type="dxa"/>
              <w:left w:w="100" w:type="dxa"/>
              <w:bottom w:w="100" w:type="dxa"/>
              <w:right w:w="100" w:type="dxa"/>
            </w:tcMar>
            <w:vAlign w:val="center"/>
          </w:tcPr>
          <w:p w14:paraId="37303424" w14:textId="6C5B42F6" w:rsidR="006F30B4" w:rsidRDefault="006F30B4" w:rsidP="006F30B4">
            <w:pPr>
              <w:widowControl w:val="0"/>
              <w:spacing w:line="240" w:lineRule="auto"/>
              <w:ind w:firstLine="0"/>
              <w:jc w:val="center"/>
            </w:pPr>
            <w:r>
              <w:t>7.0</w:t>
            </w:r>
          </w:p>
        </w:tc>
        <w:tc>
          <w:tcPr>
            <w:tcW w:w="2572" w:type="dxa"/>
            <w:shd w:val="clear" w:color="auto" w:fill="auto"/>
            <w:tcMar>
              <w:top w:w="100" w:type="dxa"/>
              <w:left w:w="100" w:type="dxa"/>
              <w:bottom w:w="100" w:type="dxa"/>
              <w:right w:w="100" w:type="dxa"/>
            </w:tcMar>
            <w:vAlign w:val="center"/>
          </w:tcPr>
          <w:p w14:paraId="4F4D0C70" w14:textId="0FF6C143" w:rsidR="006F30B4" w:rsidRDefault="006F30B4" w:rsidP="006F30B4">
            <w:pPr>
              <w:spacing w:line="240" w:lineRule="auto"/>
              <w:ind w:firstLine="0"/>
              <w:jc w:val="center"/>
              <w:rPr>
                <w:b/>
                <w:color w:val="212121"/>
              </w:rPr>
            </w:pPr>
            <w:r w:rsidRPr="00576580">
              <w:rPr>
                <w:bCs/>
                <w:color w:val="212121"/>
              </w:rPr>
              <w:t>[</w:t>
            </w:r>
            <w:r>
              <w:rPr>
                <w:bCs/>
                <w:color w:val="212121"/>
              </w:rPr>
              <w:t>15</w:t>
            </w:r>
            <w:r w:rsidRPr="00576580">
              <w:rPr>
                <w:bCs/>
                <w:color w:val="212121"/>
              </w:rPr>
              <w:t>]</w:t>
            </w:r>
          </w:p>
        </w:tc>
      </w:tr>
      <w:tr w:rsidR="006F30B4" w14:paraId="4B31AA91" w14:textId="77777777" w:rsidTr="00A15DDA">
        <w:trPr>
          <w:jc w:val="center"/>
        </w:trPr>
        <w:tc>
          <w:tcPr>
            <w:tcW w:w="1408" w:type="dxa"/>
            <w:shd w:val="clear" w:color="auto" w:fill="auto"/>
            <w:tcMar>
              <w:top w:w="100" w:type="dxa"/>
              <w:left w:w="100" w:type="dxa"/>
              <w:bottom w:w="100" w:type="dxa"/>
              <w:right w:w="100" w:type="dxa"/>
            </w:tcMar>
            <w:vAlign w:val="center"/>
          </w:tcPr>
          <w:p w14:paraId="06473AA5" w14:textId="77777777" w:rsidR="006F30B4" w:rsidRDefault="006F30B4" w:rsidP="006F30B4">
            <w:pPr>
              <w:ind w:firstLine="0"/>
              <w:jc w:val="center"/>
            </w:pPr>
            <m:oMathPara>
              <m:oMath>
                <m:sSup>
                  <m:sSupPr>
                    <m:ctrlPr>
                      <w:rPr>
                        <w:rFonts w:ascii="Cambria Math" w:hAnsi="Cambria Math"/>
                      </w:rPr>
                    </m:ctrlPr>
                  </m:sSupPr>
                  <m:e>
                    <m:r>
                      <w:rPr>
                        <w:rFonts w:ascii="Cambria Math" w:hAnsi="Cambria Math"/>
                      </w:rPr>
                      <m:t>EE</m:t>
                    </m:r>
                  </m:e>
                  <m:sup>
                    <m:r>
                      <w:rPr>
                        <w:rFonts w:ascii="Cambria Math" w:hAnsi="Cambria Math"/>
                      </w:rPr>
                      <m:t>HB</m:t>
                    </m:r>
                  </m:sup>
                </m:sSup>
              </m:oMath>
            </m:oMathPara>
          </w:p>
          <w:p w14:paraId="1439855D" w14:textId="75A1863C" w:rsidR="006F30B4" w:rsidRDefault="006F30B4" w:rsidP="006F30B4">
            <w:pPr>
              <w:ind w:firstLine="0"/>
              <w:jc w:val="center"/>
            </w:pPr>
            <w:r>
              <w:t>(-)</w:t>
            </w:r>
          </w:p>
        </w:tc>
        <w:tc>
          <w:tcPr>
            <w:tcW w:w="2551" w:type="dxa"/>
            <w:shd w:val="clear" w:color="auto" w:fill="auto"/>
            <w:tcMar>
              <w:top w:w="100" w:type="dxa"/>
              <w:left w:w="100" w:type="dxa"/>
              <w:bottom w:w="100" w:type="dxa"/>
              <w:right w:w="100" w:type="dxa"/>
            </w:tcMar>
            <w:vAlign w:val="center"/>
          </w:tcPr>
          <w:p w14:paraId="7DBDFADA" w14:textId="47903B03" w:rsidR="006F30B4" w:rsidRDefault="006F30B4" w:rsidP="006F30B4">
            <w:pPr>
              <w:widowControl w:val="0"/>
              <w:spacing w:line="240" w:lineRule="auto"/>
              <w:ind w:firstLine="0"/>
              <w:jc w:val="center"/>
            </w:pPr>
            <w:r>
              <w:t xml:space="preserve">energy efficiency of the electrolyser </w:t>
            </w:r>
          </w:p>
        </w:tc>
        <w:tc>
          <w:tcPr>
            <w:tcW w:w="2694" w:type="dxa"/>
            <w:shd w:val="clear" w:color="auto" w:fill="auto"/>
            <w:tcMar>
              <w:top w:w="100" w:type="dxa"/>
              <w:left w:w="100" w:type="dxa"/>
              <w:bottom w:w="100" w:type="dxa"/>
              <w:right w:w="100" w:type="dxa"/>
            </w:tcMar>
            <w:vAlign w:val="center"/>
          </w:tcPr>
          <w:p w14:paraId="17C45A86" w14:textId="77777777" w:rsidR="006F30B4" w:rsidRDefault="006F30B4" w:rsidP="006F30B4">
            <w:pPr>
              <w:widowControl w:val="0"/>
              <w:spacing w:line="240" w:lineRule="auto"/>
              <w:ind w:firstLine="0"/>
              <w:jc w:val="center"/>
            </w:pPr>
            <w:r>
              <w:rPr>
                <w:b/>
              </w:rPr>
              <w:t xml:space="preserve">2020: </w:t>
            </w:r>
            <w:r>
              <w:t>0.62 (0.54, 0.67)</w:t>
            </w:r>
          </w:p>
          <w:p w14:paraId="62D197C1" w14:textId="77777777" w:rsidR="006F30B4" w:rsidRDefault="006F30B4" w:rsidP="006F30B4">
            <w:pPr>
              <w:widowControl w:val="0"/>
              <w:spacing w:line="240" w:lineRule="auto"/>
              <w:ind w:firstLine="0"/>
              <w:jc w:val="center"/>
            </w:pPr>
            <w:r>
              <w:rPr>
                <w:b/>
              </w:rPr>
              <w:t xml:space="preserve">2030: </w:t>
            </w:r>
            <w:r>
              <w:t>0.66 (0.53, 0.70)</w:t>
            </w:r>
          </w:p>
          <w:p w14:paraId="7C4D74A1" w14:textId="1DB7A620" w:rsidR="006F30B4" w:rsidRDefault="006F30B4" w:rsidP="006F30B4">
            <w:pPr>
              <w:widowControl w:val="0"/>
              <w:spacing w:line="240" w:lineRule="auto"/>
              <w:ind w:firstLine="0"/>
              <w:jc w:val="center"/>
            </w:pPr>
            <w:r>
              <w:rPr>
                <w:b/>
              </w:rPr>
              <w:t xml:space="preserve">2050: </w:t>
            </w:r>
            <w:r>
              <w:t>0.71 (0.70, 0.72)</w:t>
            </w:r>
          </w:p>
        </w:tc>
        <w:tc>
          <w:tcPr>
            <w:tcW w:w="2572" w:type="dxa"/>
            <w:shd w:val="clear" w:color="auto" w:fill="auto"/>
            <w:tcMar>
              <w:top w:w="100" w:type="dxa"/>
              <w:left w:w="100" w:type="dxa"/>
              <w:bottom w:w="100" w:type="dxa"/>
              <w:right w:w="100" w:type="dxa"/>
            </w:tcMar>
            <w:vAlign w:val="center"/>
          </w:tcPr>
          <w:p w14:paraId="42803302" w14:textId="4FDC9AE8" w:rsidR="006F30B4" w:rsidRPr="00576580" w:rsidRDefault="006F30B4" w:rsidP="006F30B4">
            <w:pPr>
              <w:widowControl w:val="0"/>
              <w:spacing w:line="240" w:lineRule="auto"/>
              <w:ind w:firstLine="0"/>
              <w:jc w:val="center"/>
              <w:rPr>
                <w:bCs/>
                <w:color w:val="212121"/>
              </w:rPr>
            </w:pPr>
            <w:r w:rsidRPr="00576580">
              <w:rPr>
                <w:bCs/>
                <w:color w:val="212121"/>
              </w:rPr>
              <w:t>[</w:t>
            </w:r>
            <w:r>
              <w:rPr>
                <w:bCs/>
                <w:color w:val="212121"/>
              </w:rPr>
              <w:t>16</w:t>
            </w:r>
            <w:r w:rsidRPr="00576580">
              <w:rPr>
                <w:bCs/>
                <w:color w:val="212121"/>
              </w:rPr>
              <w:t>]</w:t>
            </w:r>
          </w:p>
        </w:tc>
      </w:tr>
      <w:tr w:rsidR="006F30B4" w14:paraId="3DF26CA6" w14:textId="77777777" w:rsidTr="00A15DDA">
        <w:trPr>
          <w:jc w:val="center"/>
        </w:trPr>
        <w:tc>
          <w:tcPr>
            <w:tcW w:w="1408" w:type="dxa"/>
            <w:shd w:val="clear" w:color="auto" w:fill="auto"/>
            <w:tcMar>
              <w:top w:w="100" w:type="dxa"/>
              <w:left w:w="100" w:type="dxa"/>
              <w:bottom w:w="100" w:type="dxa"/>
              <w:right w:w="100" w:type="dxa"/>
            </w:tcMar>
            <w:vAlign w:val="center"/>
          </w:tcPr>
          <w:p w14:paraId="06DAEE5E" w14:textId="77777777" w:rsidR="006F30B4" w:rsidRDefault="006F30B4" w:rsidP="006F30B4">
            <w:pPr>
              <w:ind w:firstLine="0"/>
              <w:jc w:val="center"/>
            </w:pPr>
            <m:oMath>
              <m:sSup>
                <m:sSupPr>
                  <m:ctrlPr>
                    <w:rPr>
                      <w:rFonts w:ascii="Cambria Math" w:hAnsi="Cambria Math"/>
                    </w:rPr>
                  </m:ctrlPr>
                </m:sSupPr>
                <m:e>
                  <m:r>
                    <w:rPr>
                      <w:rFonts w:ascii="Cambria Math" w:hAnsi="Cambria Math"/>
                    </w:rPr>
                    <m:t>FC</m:t>
                  </m:r>
                </m:e>
                <m:sup>
                  <m:r>
                    <w:rPr>
                      <w:rFonts w:ascii="Cambria Math" w:hAnsi="Cambria Math"/>
                    </w:rPr>
                    <m:t>HB</m:t>
                  </m:r>
                </m:sup>
              </m:sSup>
            </m:oMath>
            <w:r>
              <w:t xml:space="preserve"> </w:t>
            </w:r>
          </w:p>
          <w:p w14:paraId="26285519" w14:textId="17F72F71" w:rsidR="006F30B4" w:rsidRDefault="006F30B4" w:rsidP="006F30B4">
            <w:pPr>
              <w:ind w:firstLine="0"/>
              <w:jc w:val="center"/>
            </w:pPr>
            <w:r>
              <w:t>(EUR/t</w:t>
            </w:r>
            <w:r>
              <w:rPr>
                <w:vertAlign w:val="subscript"/>
              </w:rPr>
              <w:t>NH3</w:t>
            </w:r>
            <w:r>
              <w:t>)</w:t>
            </w:r>
          </w:p>
        </w:tc>
        <w:tc>
          <w:tcPr>
            <w:tcW w:w="2551" w:type="dxa"/>
            <w:shd w:val="clear" w:color="auto" w:fill="auto"/>
            <w:tcMar>
              <w:top w:w="100" w:type="dxa"/>
              <w:left w:w="100" w:type="dxa"/>
              <w:bottom w:w="100" w:type="dxa"/>
              <w:right w:w="100" w:type="dxa"/>
            </w:tcMar>
            <w:vAlign w:val="center"/>
          </w:tcPr>
          <w:p w14:paraId="3DE5491E" w14:textId="77777777" w:rsidR="006F30B4" w:rsidRDefault="006F30B4" w:rsidP="006F30B4">
            <w:pPr>
              <w:widowControl w:val="0"/>
              <w:spacing w:line="240" w:lineRule="auto"/>
              <w:ind w:firstLine="0"/>
              <w:jc w:val="center"/>
            </w:pPr>
            <w:r>
              <w:t xml:space="preserve">fixed costs of Haber-Bosch coupled with electrolyser and air separation based on capex and fixed O&amp;M </w:t>
            </w:r>
          </w:p>
          <w:p w14:paraId="74555F52" w14:textId="2032CDEE" w:rsidR="006F30B4" w:rsidRDefault="006F30B4" w:rsidP="006F30B4">
            <w:pPr>
              <w:widowControl w:val="0"/>
              <w:spacing w:line="240" w:lineRule="auto"/>
              <w:ind w:firstLine="0"/>
              <w:jc w:val="center"/>
            </w:pPr>
            <w:r>
              <w:t>(2% of capex)</w:t>
            </w:r>
          </w:p>
        </w:tc>
        <w:tc>
          <w:tcPr>
            <w:tcW w:w="2694" w:type="dxa"/>
            <w:shd w:val="clear" w:color="auto" w:fill="auto"/>
            <w:tcMar>
              <w:top w:w="100" w:type="dxa"/>
              <w:left w:w="100" w:type="dxa"/>
              <w:bottom w:w="100" w:type="dxa"/>
              <w:right w:w="100" w:type="dxa"/>
            </w:tcMar>
            <w:vAlign w:val="center"/>
          </w:tcPr>
          <w:p w14:paraId="6A2AB48D" w14:textId="77777777" w:rsidR="006F30B4" w:rsidRDefault="006F30B4" w:rsidP="006F30B4">
            <w:pPr>
              <w:widowControl w:val="0"/>
              <w:spacing w:line="240" w:lineRule="auto"/>
              <w:ind w:firstLine="0"/>
              <w:jc w:val="center"/>
            </w:pPr>
            <w:r>
              <w:rPr>
                <w:b/>
              </w:rPr>
              <w:t xml:space="preserve">2020: </w:t>
            </w:r>
            <w:r>
              <w:t>74 (64, 85)</w:t>
            </w:r>
          </w:p>
          <w:p w14:paraId="035D66C9" w14:textId="77777777" w:rsidR="006F30B4" w:rsidRDefault="006F30B4" w:rsidP="006F30B4">
            <w:pPr>
              <w:widowControl w:val="0"/>
              <w:spacing w:line="240" w:lineRule="auto"/>
              <w:ind w:firstLine="0"/>
              <w:jc w:val="center"/>
            </w:pPr>
            <w:r>
              <w:rPr>
                <w:b/>
              </w:rPr>
              <w:t xml:space="preserve">2030: </w:t>
            </w:r>
            <w:r>
              <w:t>57 (48, 72)</w:t>
            </w:r>
          </w:p>
          <w:p w14:paraId="5DCCA519" w14:textId="313CCD2A" w:rsidR="006F30B4" w:rsidRDefault="006F30B4" w:rsidP="006F30B4">
            <w:pPr>
              <w:widowControl w:val="0"/>
              <w:spacing w:line="240" w:lineRule="auto"/>
              <w:ind w:firstLine="0"/>
              <w:jc w:val="center"/>
            </w:pPr>
            <w:r>
              <w:rPr>
                <w:b/>
              </w:rPr>
              <w:t xml:space="preserve">2050: </w:t>
            </w:r>
            <w:r>
              <w:t>45 (37, 49)</w:t>
            </w:r>
          </w:p>
        </w:tc>
        <w:tc>
          <w:tcPr>
            <w:tcW w:w="2572" w:type="dxa"/>
            <w:shd w:val="clear" w:color="auto" w:fill="auto"/>
            <w:tcMar>
              <w:top w:w="100" w:type="dxa"/>
              <w:left w:w="100" w:type="dxa"/>
              <w:bottom w:w="100" w:type="dxa"/>
              <w:right w:w="100" w:type="dxa"/>
            </w:tcMar>
            <w:vAlign w:val="center"/>
          </w:tcPr>
          <w:p w14:paraId="0EE68E6C" w14:textId="4728DBCC" w:rsidR="006F30B4" w:rsidRPr="00576580" w:rsidRDefault="006F30B4" w:rsidP="006F30B4">
            <w:pPr>
              <w:widowControl w:val="0"/>
              <w:spacing w:line="240" w:lineRule="auto"/>
              <w:ind w:firstLine="0"/>
              <w:jc w:val="center"/>
              <w:rPr>
                <w:bCs/>
                <w:color w:val="212121"/>
              </w:rPr>
            </w:pPr>
            <w:r w:rsidRPr="00576580">
              <w:rPr>
                <w:bCs/>
                <w:color w:val="212121"/>
              </w:rPr>
              <w:t>[</w:t>
            </w:r>
            <w:r>
              <w:rPr>
                <w:bCs/>
                <w:color w:val="212121"/>
              </w:rPr>
              <w:t>13, 16, 17</w:t>
            </w:r>
            <w:r w:rsidRPr="00576580">
              <w:rPr>
                <w:bCs/>
                <w:color w:val="212121"/>
              </w:rPr>
              <w:t>]</w:t>
            </w:r>
          </w:p>
        </w:tc>
      </w:tr>
      <w:tr w:rsidR="006F30B4" w14:paraId="43B3B693" w14:textId="77777777" w:rsidTr="00A15DDA">
        <w:trPr>
          <w:jc w:val="center"/>
        </w:trPr>
        <w:tc>
          <w:tcPr>
            <w:tcW w:w="1408" w:type="dxa"/>
            <w:shd w:val="clear" w:color="auto" w:fill="auto"/>
            <w:tcMar>
              <w:top w:w="100" w:type="dxa"/>
              <w:left w:w="100" w:type="dxa"/>
              <w:bottom w:w="100" w:type="dxa"/>
              <w:right w:w="100" w:type="dxa"/>
            </w:tcMar>
            <w:vAlign w:val="center"/>
          </w:tcPr>
          <w:p w14:paraId="7EEB8523" w14:textId="77777777" w:rsidR="006F30B4" w:rsidRDefault="006F30B4" w:rsidP="006F30B4">
            <w:pPr>
              <w:widowControl w:val="0"/>
              <w:spacing w:line="240" w:lineRule="auto"/>
              <w:ind w:firstLine="0"/>
              <w:jc w:val="center"/>
            </w:pPr>
            <m:oMath>
              <m:r>
                <w:rPr>
                  <w:rFonts w:ascii="Cambria Math" w:hAnsi="Cambria Math"/>
                </w:rPr>
                <m:t>η</m:t>
              </m:r>
            </m:oMath>
            <w:r>
              <w:t xml:space="preserve"> </w:t>
            </w:r>
          </w:p>
          <w:p w14:paraId="7361BB84" w14:textId="2C5F7937" w:rsidR="006F30B4" w:rsidRDefault="006F30B4" w:rsidP="006F30B4">
            <w:pPr>
              <w:ind w:firstLine="0"/>
              <w:jc w:val="center"/>
            </w:pPr>
            <w:r>
              <w:t>(-)</w:t>
            </w:r>
          </w:p>
        </w:tc>
        <w:tc>
          <w:tcPr>
            <w:tcW w:w="2551" w:type="dxa"/>
            <w:shd w:val="clear" w:color="auto" w:fill="auto"/>
            <w:tcMar>
              <w:top w:w="100" w:type="dxa"/>
              <w:left w:w="100" w:type="dxa"/>
              <w:bottom w:w="100" w:type="dxa"/>
              <w:right w:w="100" w:type="dxa"/>
            </w:tcMar>
            <w:vAlign w:val="center"/>
          </w:tcPr>
          <w:p w14:paraId="0763AC98" w14:textId="2C1AB684" w:rsidR="006F30B4" w:rsidRDefault="006F30B4" w:rsidP="006F30B4">
            <w:pPr>
              <w:widowControl w:val="0"/>
              <w:spacing w:line="240" w:lineRule="auto"/>
              <w:ind w:firstLine="0"/>
              <w:jc w:val="center"/>
            </w:pPr>
            <w:r>
              <w:t>PV panels conversion efficiency from solar radiation to electricity</w:t>
            </w:r>
          </w:p>
        </w:tc>
        <w:tc>
          <w:tcPr>
            <w:tcW w:w="2694" w:type="dxa"/>
            <w:shd w:val="clear" w:color="auto" w:fill="auto"/>
            <w:tcMar>
              <w:top w:w="100" w:type="dxa"/>
              <w:left w:w="100" w:type="dxa"/>
              <w:bottom w:w="100" w:type="dxa"/>
              <w:right w:w="100" w:type="dxa"/>
            </w:tcMar>
            <w:vAlign w:val="center"/>
          </w:tcPr>
          <w:p w14:paraId="15E0FD97" w14:textId="6FC171BF" w:rsidR="006F30B4" w:rsidRDefault="006F30B4" w:rsidP="006F30B4">
            <w:pPr>
              <w:widowControl w:val="0"/>
              <w:spacing w:line="240" w:lineRule="auto"/>
              <w:ind w:firstLine="0"/>
              <w:jc w:val="center"/>
              <w:rPr>
                <w:b/>
              </w:rPr>
            </w:pPr>
            <w:r>
              <w:t>0.14</w:t>
            </w:r>
          </w:p>
        </w:tc>
        <w:tc>
          <w:tcPr>
            <w:tcW w:w="2572" w:type="dxa"/>
            <w:shd w:val="clear" w:color="auto" w:fill="auto"/>
            <w:tcMar>
              <w:top w:w="100" w:type="dxa"/>
              <w:left w:w="100" w:type="dxa"/>
              <w:bottom w:w="100" w:type="dxa"/>
              <w:right w:w="100" w:type="dxa"/>
            </w:tcMar>
            <w:vAlign w:val="center"/>
          </w:tcPr>
          <w:p w14:paraId="736D506F" w14:textId="019E9779" w:rsidR="006F30B4" w:rsidRPr="00576580" w:rsidRDefault="006F30B4" w:rsidP="006F30B4">
            <w:pPr>
              <w:widowControl w:val="0"/>
              <w:spacing w:line="240" w:lineRule="auto"/>
              <w:ind w:firstLine="0"/>
              <w:jc w:val="center"/>
              <w:rPr>
                <w:bCs/>
                <w:color w:val="212121"/>
              </w:rPr>
            </w:pPr>
            <w:r>
              <w:rPr>
                <w:color w:val="212121"/>
              </w:rPr>
              <w:t>[3]</w:t>
            </w:r>
          </w:p>
        </w:tc>
      </w:tr>
      <w:tr w:rsidR="006F30B4" w14:paraId="3A6C2BF2" w14:textId="77777777" w:rsidTr="00A15DDA">
        <w:trPr>
          <w:jc w:val="center"/>
        </w:trPr>
        <w:tc>
          <w:tcPr>
            <w:tcW w:w="1408" w:type="dxa"/>
            <w:shd w:val="clear" w:color="auto" w:fill="auto"/>
            <w:tcMar>
              <w:top w:w="100" w:type="dxa"/>
              <w:left w:w="100" w:type="dxa"/>
              <w:bottom w:w="100" w:type="dxa"/>
              <w:right w:w="100" w:type="dxa"/>
            </w:tcMar>
            <w:vAlign w:val="center"/>
          </w:tcPr>
          <w:p w14:paraId="0D9ADC3E" w14:textId="77777777" w:rsidR="006F30B4" w:rsidRDefault="006F30B4" w:rsidP="006F30B4">
            <w:pPr>
              <w:widowControl w:val="0"/>
              <w:spacing w:line="240" w:lineRule="auto"/>
              <w:ind w:firstLine="0"/>
              <w:jc w:val="center"/>
            </w:pPr>
            <m:oMath>
              <m:r>
                <w:rPr>
                  <w:rFonts w:ascii="Cambria Math" w:hAnsi="Cambria Math"/>
                </w:rPr>
                <m:t>γ</m:t>
              </m:r>
            </m:oMath>
            <w:r>
              <w:t xml:space="preserve"> </w:t>
            </w:r>
          </w:p>
          <w:p w14:paraId="26810E38" w14:textId="08FFE3EF" w:rsidR="006F30B4" w:rsidRDefault="006F30B4" w:rsidP="006F30B4">
            <w:pPr>
              <w:widowControl w:val="0"/>
              <w:spacing w:line="240" w:lineRule="auto"/>
              <w:ind w:firstLine="0"/>
              <w:jc w:val="center"/>
            </w:pPr>
            <w:r>
              <w:t>(-)</w:t>
            </w:r>
          </w:p>
        </w:tc>
        <w:tc>
          <w:tcPr>
            <w:tcW w:w="2551" w:type="dxa"/>
            <w:shd w:val="clear" w:color="auto" w:fill="auto"/>
            <w:tcMar>
              <w:top w:w="100" w:type="dxa"/>
              <w:left w:w="100" w:type="dxa"/>
              <w:bottom w:w="100" w:type="dxa"/>
              <w:right w:w="100" w:type="dxa"/>
            </w:tcMar>
            <w:vAlign w:val="center"/>
          </w:tcPr>
          <w:p w14:paraId="083DC5BC" w14:textId="77777777" w:rsidR="006F30B4" w:rsidRDefault="006F30B4" w:rsidP="006F30B4">
            <w:pPr>
              <w:widowControl w:val="0"/>
              <w:spacing w:line="240" w:lineRule="auto"/>
              <w:ind w:firstLine="0"/>
              <w:jc w:val="center"/>
            </w:pPr>
            <w:r>
              <w:t xml:space="preserve">ratio of total panel surface </w:t>
            </w:r>
          </w:p>
          <w:p w14:paraId="400B4F8A" w14:textId="44D76D2D" w:rsidR="006F30B4" w:rsidRDefault="006F30B4" w:rsidP="006F30B4">
            <w:pPr>
              <w:widowControl w:val="0"/>
              <w:spacing w:line="240" w:lineRule="auto"/>
              <w:ind w:firstLine="0"/>
              <w:jc w:val="center"/>
            </w:pPr>
            <w:r>
              <w:t>to soil surface</w:t>
            </w:r>
          </w:p>
        </w:tc>
        <w:tc>
          <w:tcPr>
            <w:tcW w:w="2694" w:type="dxa"/>
            <w:shd w:val="clear" w:color="auto" w:fill="auto"/>
            <w:tcMar>
              <w:top w:w="100" w:type="dxa"/>
              <w:left w:w="100" w:type="dxa"/>
              <w:bottom w:w="100" w:type="dxa"/>
              <w:right w:w="100" w:type="dxa"/>
            </w:tcMar>
            <w:vAlign w:val="center"/>
          </w:tcPr>
          <w:p w14:paraId="0CF728C5" w14:textId="45C46B95" w:rsidR="006F30B4" w:rsidRDefault="006F30B4" w:rsidP="006F30B4">
            <w:pPr>
              <w:widowControl w:val="0"/>
              <w:spacing w:line="240" w:lineRule="auto"/>
              <w:ind w:firstLine="0"/>
              <w:jc w:val="center"/>
            </w:pPr>
            <w:r>
              <w:t>0.36</w:t>
            </w:r>
          </w:p>
        </w:tc>
        <w:tc>
          <w:tcPr>
            <w:tcW w:w="2572" w:type="dxa"/>
            <w:shd w:val="clear" w:color="auto" w:fill="auto"/>
            <w:tcMar>
              <w:top w:w="100" w:type="dxa"/>
              <w:left w:w="100" w:type="dxa"/>
              <w:bottom w:w="100" w:type="dxa"/>
              <w:right w:w="100" w:type="dxa"/>
            </w:tcMar>
            <w:vAlign w:val="center"/>
          </w:tcPr>
          <w:p w14:paraId="00E3B38F" w14:textId="502EA8A2" w:rsidR="006F30B4" w:rsidRDefault="006F30B4" w:rsidP="006F30B4">
            <w:pPr>
              <w:spacing w:line="240" w:lineRule="auto"/>
              <w:ind w:firstLine="0"/>
              <w:jc w:val="center"/>
              <w:rPr>
                <w:b/>
              </w:rPr>
            </w:pPr>
            <w:r>
              <w:rPr>
                <w:color w:val="212121"/>
              </w:rPr>
              <w:t>[3]</w:t>
            </w:r>
          </w:p>
        </w:tc>
      </w:tr>
      <w:tr w:rsidR="006F30B4" w14:paraId="3DCD9D29" w14:textId="77777777" w:rsidTr="00A15DDA">
        <w:trPr>
          <w:jc w:val="center"/>
        </w:trPr>
        <w:tc>
          <w:tcPr>
            <w:tcW w:w="1408" w:type="dxa"/>
            <w:shd w:val="clear" w:color="auto" w:fill="auto"/>
            <w:tcMar>
              <w:top w:w="100" w:type="dxa"/>
              <w:left w:w="100" w:type="dxa"/>
              <w:bottom w:w="100" w:type="dxa"/>
              <w:right w:w="100" w:type="dxa"/>
            </w:tcMar>
            <w:vAlign w:val="center"/>
          </w:tcPr>
          <w:p w14:paraId="3B77E42B" w14:textId="77777777" w:rsidR="006F30B4" w:rsidRDefault="006F30B4" w:rsidP="006F30B4">
            <w:pPr>
              <w:ind w:firstLine="0"/>
              <w:jc w:val="center"/>
            </w:pPr>
            <m:oMath>
              <m:sSup>
                <m:sSupPr>
                  <m:ctrlPr>
                    <w:rPr>
                      <w:rFonts w:ascii="Cambria Math" w:hAnsi="Cambria Math"/>
                    </w:rPr>
                  </m:ctrlPr>
                </m:sSupPr>
                <m:e>
                  <m:r>
                    <w:rPr>
                      <w:rFonts w:ascii="Cambria Math" w:hAnsi="Cambria Math"/>
                    </w:rPr>
                    <m:t>e</m:t>
                  </m:r>
                </m:e>
                <m:sup>
                  <m:r>
                    <w:rPr>
                      <w:rFonts w:ascii="Cambria Math" w:hAnsi="Cambria Math"/>
                    </w:rPr>
                    <m:t>HB</m:t>
                  </m:r>
                </m:sup>
              </m:sSup>
            </m:oMath>
            <w:r>
              <w:t xml:space="preserve"> </w:t>
            </w:r>
          </w:p>
          <w:p w14:paraId="17D93FC9" w14:textId="01791B58" w:rsidR="006F30B4" w:rsidRDefault="006F30B4" w:rsidP="006F30B4">
            <w:pPr>
              <w:widowControl w:val="0"/>
              <w:spacing w:line="240" w:lineRule="auto"/>
              <w:ind w:firstLine="0"/>
              <w:jc w:val="center"/>
            </w:pPr>
            <w:r>
              <w:t>(MWh/t</w:t>
            </w:r>
            <w:r>
              <w:rPr>
                <w:vertAlign w:val="subscript"/>
              </w:rPr>
              <w:t>NH3</w:t>
            </w:r>
            <w:r>
              <w:t>)</w:t>
            </w:r>
          </w:p>
        </w:tc>
        <w:tc>
          <w:tcPr>
            <w:tcW w:w="2551" w:type="dxa"/>
            <w:shd w:val="clear" w:color="auto" w:fill="auto"/>
            <w:tcMar>
              <w:top w:w="100" w:type="dxa"/>
              <w:left w:w="100" w:type="dxa"/>
              <w:bottom w:w="100" w:type="dxa"/>
              <w:right w:w="100" w:type="dxa"/>
            </w:tcMar>
            <w:vAlign w:val="center"/>
          </w:tcPr>
          <w:p w14:paraId="72A1FE4C" w14:textId="00119E8B" w:rsidR="006F30B4" w:rsidRDefault="006F30B4" w:rsidP="006F30B4">
            <w:pPr>
              <w:widowControl w:val="0"/>
              <w:spacing w:line="240" w:lineRule="auto"/>
              <w:ind w:firstLine="0"/>
              <w:jc w:val="center"/>
            </w:pPr>
            <w:r>
              <w:t>Haber-Bosch chemical energy demand</w:t>
            </w:r>
          </w:p>
        </w:tc>
        <w:tc>
          <w:tcPr>
            <w:tcW w:w="2694" w:type="dxa"/>
            <w:shd w:val="clear" w:color="auto" w:fill="auto"/>
            <w:tcMar>
              <w:top w:w="100" w:type="dxa"/>
              <w:left w:w="100" w:type="dxa"/>
              <w:bottom w:w="100" w:type="dxa"/>
              <w:right w:w="100" w:type="dxa"/>
            </w:tcMar>
            <w:vAlign w:val="center"/>
          </w:tcPr>
          <w:p w14:paraId="4BA5A58A" w14:textId="5ECA6EE3" w:rsidR="006F30B4" w:rsidRDefault="006F30B4" w:rsidP="006F30B4">
            <w:pPr>
              <w:widowControl w:val="0"/>
              <w:spacing w:line="240" w:lineRule="auto"/>
              <w:ind w:firstLine="0"/>
              <w:jc w:val="center"/>
            </w:pPr>
            <w:r>
              <w:t>1.33</w:t>
            </w:r>
          </w:p>
        </w:tc>
        <w:tc>
          <w:tcPr>
            <w:tcW w:w="2572" w:type="dxa"/>
            <w:shd w:val="clear" w:color="auto" w:fill="auto"/>
            <w:tcMar>
              <w:top w:w="100" w:type="dxa"/>
              <w:left w:w="100" w:type="dxa"/>
              <w:bottom w:w="100" w:type="dxa"/>
              <w:right w:w="100" w:type="dxa"/>
            </w:tcMar>
            <w:vAlign w:val="center"/>
          </w:tcPr>
          <w:p w14:paraId="2CCC89C2" w14:textId="655E61CB" w:rsidR="006F30B4" w:rsidRDefault="006F30B4" w:rsidP="006F30B4">
            <w:pPr>
              <w:widowControl w:val="0"/>
              <w:spacing w:line="240" w:lineRule="auto"/>
              <w:ind w:firstLine="0"/>
              <w:jc w:val="center"/>
              <w:rPr>
                <w:b/>
              </w:rPr>
            </w:pPr>
            <w:r w:rsidRPr="00576580">
              <w:rPr>
                <w:bCs/>
                <w:color w:val="212121"/>
              </w:rPr>
              <w:t>[1</w:t>
            </w:r>
            <w:r>
              <w:rPr>
                <w:bCs/>
                <w:color w:val="212121"/>
              </w:rPr>
              <w:t>5</w:t>
            </w:r>
            <w:r w:rsidRPr="00576580">
              <w:rPr>
                <w:bCs/>
                <w:color w:val="212121"/>
              </w:rPr>
              <w:t>]</w:t>
            </w:r>
          </w:p>
        </w:tc>
      </w:tr>
      <w:tr w:rsidR="006F30B4" w14:paraId="2B423F9C" w14:textId="77777777" w:rsidTr="00A15DDA">
        <w:trPr>
          <w:jc w:val="center"/>
        </w:trPr>
        <w:tc>
          <w:tcPr>
            <w:tcW w:w="1408" w:type="dxa"/>
            <w:shd w:val="clear" w:color="auto" w:fill="auto"/>
            <w:tcMar>
              <w:top w:w="100" w:type="dxa"/>
              <w:left w:w="100" w:type="dxa"/>
              <w:bottom w:w="100" w:type="dxa"/>
              <w:right w:w="100" w:type="dxa"/>
            </w:tcMar>
            <w:vAlign w:val="center"/>
          </w:tcPr>
          <w:p w14:paraId="0F0C09E7" w14:textId="77777777" w:rsidR="006F30B4" w:rsidRDefault="006F30B4" w:rsidP="006F30B4">
            <w:pPr>
              <w:ind w:firstLine="0"/>
              <w:jc w:val="center"/>
            </w:pPr>
            <m:oMath>
              <m:sSup>
                <m:sSupPr>
                  <m:ctrlPr>
                    <w:rPr>
                      <w:rFonts w:ascii="Cambria Math" w:hAnsi="Cambria Math"/>
                    </w:rPr>
                  </m:ctrlPr>
                </m:sSupPr>
                <m:e>
                  <m:r>
                    <w:rPr>
                      <w:rFonts w:ascii="Cambria Math" w:hAnsi="Cambria Math"/>
                    </w:rPr>
                    <m:t>SC</m:t>
                  </m:r>
                </m:e>
                <m:sup>
                  <m:r>
                    <w:rPr>
                      <w:rFonts w:ascii="Cambria Math" w:hAnsi="Cambria Math"/>
                    </w:rPr>
                    <m:t>HB</m:t>
                  </m:r>
                </m:sup>
              </m:sSup>
            </m:oMath>
            <w:r>
              <w:t xml:space="preserve"> </w:t>
            </w:r>
          </w:p>
          <w:p w14:paraId="38AF4DE2" w14:textId="5BE493B2" w:rsidR="006F30B4" w:rsidRDefault="006F30B4" w:rsidP="006F30B4">
            <w:pPr>
              <w:ind w:firstLine="0"/>
              <w:jc w:val="center"/>
            </w:pPr>
            <w:r>
              <w:t>(EUR/t</w:t>
            </w:r>
            <w:r>
              <w:rPr>
                <w:vertAlign w:val="subscript"/>
              </w:rPr>
              <w:t>NH3</w:t>
            </w:r>
            <w:r>
              <w:t>)</w:t>
            </w:r>
          </w:p>
        </w:tc>
        <w:tc>
          <w:tcPr>
            <w:tcW w:w="2551" w:type="dxa"/>
            <w:shd w:val="clear" w:color="auto" w:fill="auto"/>
            <w:tcMar>
              <w:top w:w="100" w:type="dxa"/>
              <w:left w:w="100" w:type="dxa"/>
              <w:bottom w:w="100" w:type="dxa"/>
              <w:right w:w="100" w:type="dxa"/>
            </w:tcMar>
            <w:vAlign w:val="center"/>
          </w:tcPr>
          <w:p w14:paraId="384BB3A4" w14:textId="6BCB4F1C" w:rsidR="006F30B4" w:rsidRDefault="006F30B4" w:rsidP="006F30B4">
            <w:pPr>
              <w:widowControl w:val="0"/>
              <w:spacing w:line="240" w:lineRule="auto"/>
              <w:ind w:firstLine="0"/>
              <w:jc w:val="center"/>
            </w:pPr>
            <w:r>
              <w:t>cost of hydrogen buffer as fraction of fixed costs</w:t>
            </w:r>
          </w:p>
        </w:tc>
        <w:tc>
          <w:tcPr>
            <w:tcW w:w="2694" w:type="dxa"/>
            <w:shd w:val="clear" w:color="auto" w:fill="auto"/>
            <w:tcMar>
              <w:top w:w="100" w:type="dxa"/>
              <w:left w:w="100" w:type="dxa"/>
              <w:bottom w:w="100" w:type="dxa"/>
              <w:right w:w="100" w:type="dxa"/>
            </w:tcMar>
            <w:vAlign w:val="center"/>
          </w:tcPr>
          <w:p w14:paraId="4B375A91" w14:textId="26FA50D2" w:rsidR="006F30B4" w:rsidRDefault="006F30B4" w:rsidP="006F30B4">
            <w:pPr>
              <w:widowControl w:val="0"/>
              <w:spacing w:line="240" w:lineRule="auto"/>
              <w:ind w:firstLine="0"/>
              <w:jc w:val="center"/>
            </w:pPr>
            <w:r>
              <w:t>0.31 (0.19, 0.43)</w:t>
            </w:r>
          </w:p>
        </w:tc>
        <w:tc>
          <w:tcPr>
            <w:tcW w:w="2572" w:type="dxa"/>
            <w:shd w:val="clear" w:color="auto" w:fill="auto"/>
            <w:tcMar>
              <w:top w:w="100" w:type="dxa"/>
              <w:left w:w="100" w:type="dxa"/>
              <w:bottom w:w="100" w:type="dxa"/>
              <w:right w:w="100" w:type="dxa"/>
            </w:tcMar>
            <w:vAlign w:val="center"/>
          </w:tcPr>
          <w:p w14:paraId="259A4B2A" w14:textId="207B5C84" w:rsidR="006F30B4" w:rsidRPr="00576580" w:rsidRDefault="006F30B4" w:rsidP="006F30B4">
            <w:pPr>
              <w:widowControl w:val="0"/>
              <w:spacing w:line="240" w:lineRule="auto"/>
              <w:ind w:firstLine="0"/>
              <w:jc w:val="center"/>
              <w:rPr>
                <w:bCs/>
                <w:color w:val="212121"/>
              </w:rPr>
            </w:pPr>
            <w:r w:rsidRPr="00375B4D">
              <w:rPr>
                <w:bCs/>
                <w:color w:val="212121"/>
              </w:rPr>
              <w:t>[</w:t>
            </w:r>
            <w:r>
              <w:rPr>
                <w:bCs/>
                <w:color w:val="212121"/>
              </w:rPr>
              <w:t>17</w:t>
            </w:r>
            <w:r w:rsidRPr="00375B4D">
              <w:rPr>
                <w:bCs/>
                <w:color w:val="212121"/>
              </w:rPr>
              <w:t>]</w:t>
            </w:r>
          </w:p>
        </w:tc>
      </w:tr>
      <w:tr w:rsidR="006F30B4" w14:paraId="1F26938B" w14:textId="77777777" w:rsidTr="00A15DDA">
        <w:trPr>
          <w:jc w:val="center"/>
        </w:trPr>
        <w:tc>
          <w:tcPr>
            <w:tcW w:w="1408" w:type="dxa"/>
            <w:shd w:val="clear" w:color="auto" w:fill="auto"/>
            <w:tcMar>
              <w:top w:w="100" w:type="dxa"/>
              <w:left w:w="100" w:type="dxa"/>
              <w:bottom w:w="100" w:type="dxa"/>
              <w:right w:w="100" w:type="dxa"/>
            </w:tcMar>
            <w:vAlign w:val="center"/>
          </w:tcPr>
          <w:p w14:paraId="0112ABB4" w14:textId="77777777" w:rsidR="006F30B4" w:rsidRDefault="006F30B4" w:rsidP="006F30B4">
            <w:pPr>
              <w:ind w:firstLine="0"/>
              <w:jc w:val="center"/>
            </w:pPr>
            <m:oMath>
              <m:sSup>
                <m:sSupPr>
                  <m:ctrlPr>
                    <w:rPr>
                      <w:rFonts w:ascii="Cambria Math" w:hAnsi="Cambria Math"/>
                    </w:rPr>
                  </m:ctrlPr>
                </m:sSupPr>
                <m:e>
                  <m:r>
                    <w:rPr>
                      <w:rFonts w:ascii="Cambria Math" w:hAnsi="Cambria Math"/>
                    </w:rPr>
                    <m:t>e</m:t>
                  </m:r>
                </m:e>
                <m:sup>
                  <m:r>
                    <w:rPr>
                      <w:rFonts w:ascii="Cambria Math" w:hAnsi="Cambria Math"/>
                    </w:rPr>
                    <m:t>DER</m:t>
                  </m:r>
                </m:sup>
              </m:sSup>
            </m:oMath>
            <w:r>
              <w:t xml:space="preserve"> </w:t>
            </w:r>
          </w:p>
          <w:p w14:paraId="348F28C0" w14:textId="4451D54F" w:rsidR="006F30B4" w:rsidRDefault="006F30B4" w:rsidP="006F30B4">
            <w:pPr>
              <w:ind w:firstLine="0"/>
              <w:jc w:val="center"/>
            </w:pPr>
            <w:r>
              <w:t>(MWh/t</w:t>
            </w:r>
            <w:r>
              <w:rPr>
                <w:vertAlign w:val="subscript"/>
              </w:rPr>
              <w:t>NH3</w:t>
            </w:r>
            <w:r>
              <w:t>)</w:t>
            </w:r>
          </w:p>
        </w:tc>
        <w:tc>
          <w:tcPr>
            <w:tcW w:w="2551" w:type="dxa"/>
            <w:shd w:val="clear" w:color="auto" w:fill="auto"/>
            <w:tcMar>
              <w:top w:w="100" w:type="dxa"/>
              <w:left w:w="100" w:type="dxa"/>
              <w:bottom w:w="100" w:type="dxa"/>
              <w:right w:w="100" w:type="dxa"/>
            </w:tcMar>
            <w:vAlign w:val="center"/>
          </w:tcPr>
          <w:p w14:paraId="731B2557" w14:textId="14DAADDE" w:rsidR="006F30B4" w:rsidRDefault="006F30B4" w:rsidP="006F30B4">
            <w:pPr>
              <w:widowControl w:val="0"/>
              <w:spacing w:line="240" w:lineRule="auto"/>
              <w:ind w:firstLine="0"/>
              <w:jc w:val="center"/>
            </w:pPr>
            <w:r>
              <w:t>direct electrochemical reduction chemical energy demand</w:t>
            </w:r>
          </w:p>
        </w:tc>
        <w:tc>
          <w:tcPr>
            <w:tcW w:w="2694" w:type="dxa"/>
            <w:shd w:val="clear" w:color="auto" w:fill="auto"/>
            <w:tcMar>
              <w:top w:w="100" w:type="dxa"/>
              <w:left w:w="100" w:type="dxa"/>
              <w:bottom w:w="100" w:type="dxa"/>
              <w:right w:w="100" w:type="dxa"/>
            </w:tcMar>
            <w:vAlign w:val="center"/>
          </w:tcPr>
          <w:p w14:paraId="73746167" w14:textId="36215AB5" w:rsidR="006F30B4" w:rsidRDefault="006F30B4" w:rsidP="006F30B4">
            <w:pPr>
              <w:widowControl w:val="0"/>
              <w:spacing w:line="240" w:lineRule="auto"/>
              <w:ind w:firstLine="0"/>
              <w:jc w:val="center"/>
            </w:pPr>
            <w:r>
              <w:t>5.37</w:t>
            </w:r>
          </w:p>
        </w:tc>
        <w:tc>
          <w:tcPr>
            <w:tcW w:w="2572" w:type="dxa"/>
            <w:shd w:val="clear" w:color="auto" w:fill="auto"/>
            <w:tcMar>
              <w:top w:w="100" w:type="dxa"/>
              <w:left w:w="100" w:type="dxa"/>
              <w:bottom w:w="100" w:type="dxa"/>
              <w:right w:w="100" w:type="dxa"/>
            </w:tcMar>
            <w:vAlign w:val="center"/>
          </w:tcPr>
          <w:p w14:paraId="52C9B4B6" w14:textId="2A219BD8" w:rsidR="006F30B4" w:rsidRPr="00375B4D" w:rsidRDefault="006F30B4" w:rsidP="006F30B4">
            <w:pPr>
              <w:widowControl w:val="0"/>
              <w:spacing w:line="240" w:lineRule="auto"/>
              <w:ind w:firstLine="0"/>
              <w:jc w:val="center"/>
              <w:rPr>
                <w:bCs/>
                <w:color w:val="212121"/>
              </w:rPr>
            </w:pPr>
            <w:r w:rsidRPr="00A81976">
              <w:rPr>
                <w:bCs/>
                <w:color w:val="212121"/>
              </w:rPr>
              <w:t>[1</w:t>
            </w:r>
            <w:r>
              <w:rPr>
                <w:bCs/>
                <w:color w:val="212121"/>
              </w:rPr>
              <w:t>5</w:t>
            </w:r>
            <w:r w:rsidRPr="00A81976">
              <w:rPr>
                <w:bCs/>
                <w:color w:val="212121"/>
              </w:rPr>
              <w:t>]</w:t>
            </w:r>
          </w:p>
        </w:tc>
      </w:tr>
      <w:tr w:rsidR="006F30B4" w14:paraId="4CF4FB2B" w14:textId="77777777" w:rsidTr="00A15DDA">
        <w:trPr>
          <w:jc w:val="center"/>
        </w:trPr>
        <w:tc>
          <w:tcPr>
            <w:tcW w:w="1408" w:type="dxa"/>
            <w:shd w:val="clear" w:color="auto" w:fill="auto"/>
            <w:tcMar>
              <w:top w:w="100" w:type="dxa"/>
              <w:left w:w="100" w:type="dxa"/>
              <w:bottom w:w="100" w:type="dxa"/>
              <w:right w:w="100" w:type="dxa"/>
            </w:tcMar>
            <w:vAlign w:val="center"/>
          </w:tcPr>
          <w:p w14:paraId="38CD3D33" w14:textId="77777777" w:rsidR="006F30B4" w:rsidRDefault="006F30B4" w:rsidP="006F30B4">
            <w:pPr>
              <w:ind w:firstLine="0"/>
              <w:jc w:val="center"/>
            </w:pPr>
            <m:oMath>
              <m:sSup>
                <m:sSupPr>
                  <m:ctrlPr>
                    <w:rPr>
                      <w:rFonts w:ascii="Cambria Math" w:hAnsi="Cambria Math"/>
                    </w:rPr>
                  </m:ctrlPr>
                </m:sSupPr>
                <m:e>
                  <m:r>
                    <w:rPr>
                      <w:rFonts w:ascii="Cambria Math" w:hAnsi="Cambria Math"/>
                    </w:rPr>
                    <m:t>EE</m:t>
                  </m:r>
                </m:e>
                <m:sup>
                  <m:r>
                    <w:rPr>
                      <w:rFonts w:ascii="Cambria Math" w:hAnsi="Cambria Math"/>
                    </w:rPr>
                    <m:t>DER</m:t>
                  </m:r>
                </m:sup>
              </m:sSup>
            </m:oMath>
            <w:r>
              <w:t xml:space="preserve"> </w:t>
            </w:r>
          </w:p>
          <w:p w14:paraId="107F1280" w14:textId="34B1AD36" w:rsidR="006F30B4" w:rsidRDefault="006F30B4" w:rsidP="006F30B4">
            <w:pPr>
              <w:ind w:firstLine="0"/>
              <w:jc w:val="center"/>
            </w:pPr>
            <w:r>
              <w:t>(-)</w:t>
            </w:r>
          </w:p>
        </w:tc>
        <w:tc>
          <w:tcPr>
            <w:tcW w:w="2551" w:type="dxa"/>
            <w:shd w:val="clear" w:color="auto" w:fill="auto"/>
            <w:tcMar>
              <w:top w:w="100" w:type="dxa"/>
              <w:left w:w="100" w:type="dxa"/>
              <w:bottom w:w="100" w:type="dxa"/>
              <w:right w:w="100" w:type="dxa"/>
            </w:tcMar>
            <w:vAlign w:val="center"/>
          </w:tcPr>
          <w:p w14:paraId="2C779F27" w14:textId="77777777" w:rsidR="006F30B4" w:rsidRDefault="006F30B4" w:rsidP="006F30B4">
            <w:pPr>
              <w:widowControl w:val="0"/>
              <w:spacing w:line="240" w:lineRule="auto"/>
              <w:ind w:firstLine="0"/>
              <w:jc w:val="center"/>
            </w:pPr>
            <w:r>
              <w:t>energy efficiency of direct electrochemical reduction</w:t>
            </w:r>
          </w:p>
          <w:p w14:paraId="75F5618F" w14:textId="04216041" w:rsidR="006F30B4" w:rsidRDefault="006F30B4" w:rsidP="006F30B4">
            <w:pPr>
              <w:widowControl w:val="0"/>
              <w:spacing w:line="240" w:lineRule="auto"/>
              <w:ind w:firstLine="0"/>
              <w:jc w:val="center"/>
            </w:pPr>
            <w:r>
              <w:t xml:space="preserve">(derived from </w:t>
            </w:r>
            <w:r>
              <w:rPr>
                <w:b/>
              </w:rPr>
              <w:t xml:space="preserve">Equation 7 </w:t>
            </w:r>
            <w:r>
              <w:rPr>
                <w:bCs/>
              </w:rPr>
              <w:t>in main text</w:t>
            </w:r>
            <w:r>
              <w:t>)</w:t>
            </w:r>
          </w:p>
        </w:tc>
        <w:tc>
          <w:tcPr>
            <w:tcW w:w="2694" w:type="dxa"/>
            <w:shd w:val="clear" w:color="auto" w:fill="auto"/>
            <w:tcMar>
              <w:top w:w="100" w:type="dxa"/>
              <w:left w:w="100" w:type="dxa"/>
              <w:bottom w:w="100" w:type="dxa"/>
              <w:right w:w="100" w:type="dxa"/>
            </w:tcMar>
            <w:vAlign w:val="center"/>
          </w:tcPr>
          <w:p w14:paraId="4BC951BB" w14:textId="77777777" w:rsidR="006F30B4" w:rsidRDefault="006F30B4" w:rsidP="006F30B4">
            <w:pPr>
              <w:widowControl w:val="0"/>
              <w:spacing w:line="240" w:lineRule="auto"/>
              <w:ind w:firstLine="0"/>
              <w:jc w:val="center"/>
            </w:pPr>
            <w:r>
              <w:rPr>
                <w:b/>
              </w:rPr>
              <w:t xml:space="preserve">2020: </w:t>
            </w:r>
            <w:r>
              <w:t>0.27 (0.19, 0.36)</w:t>
            </w:r>
          </w:p>
          <w:p w14:paraId="05514C7A" w14:textId="77777777" w:rsidR="006F30B4" w:rsidRDefault="006F30B4" w:rsidP="006F30B4">
            <w:pPr>
              <w:widowControl w:val="0"/>
              <w:spacing w:line="240" w:lineRule="auto"/>
              <w:ind w:firstLine="0"/>
              <w:jc w:val="center"/>
            </w:pPr>
            <w:r>
              <w:rPr>
                <w:b/>
              </w:rPr>
              <w:t xml:space="preserve">2030: </w:t>
            </w:r>
            <w:r>
              <w:t>0.32 (0.24, 0.42)</w:t>
            </w:r>
          </w:p>
          <w:p w14:paraId="61AC9977" w14:textId="1AEF9A1F" w:rsidR="006F30B4" w:rsidRDefault="006F30B4" w:rsidP="006F30B4">
            <w:pPr>
              <w:widowControl w:val="0"/>
              <w:spacing w:line="240" w:lineRule="auto"/>
              <w:ind w:firstLine="0"/>
              <w:jc w:val="center"/>
            </w:pPr>
            <w:r>
              <w:rPr>
                <w:b/>
              </w:rPr>
              <w:t xml:space="preserve">2050: </w:t>
            </w:r>
            <w:r>
              <w:t>0.48 (0.40, 0.57)</w:t>
            </w:r>
          </w:p>
        </w:tc>
        <w:tc>
          <w:tcPr>
            <w:tcW w:w="2572" w:type="dxa"/>
            <w:shd w:val="clear" w:color="auto" w:fill="auto"/>
            <w:tcMar>
              <w:top w:w="100" w:type="dxa"/>
              <w:left w:w="100" w:type="dxa"/>
              <w:bottom w:w="100" w:type="dxa"/>
              <w:right w:w="100" w:type="dxa"/>
            </w:tcMar>
            <w:vAlign w:val="center"/>
          </w:tcPr>
          <w:p w14:paraId="35886770" w14:textId="76BF2AA7" w:rsidR="006F30B4" w:rsidRPr="00A81976" w:rsidRDefault="006F30B4" w:rsidP="006F30B4">
            <w:pPr>
              <w:widowControl w:val="0"/>
              <w:spacing w:line="240" w:lineRule="auto"/>
              <w:ind w:firstLine="0"/>
              <w:jc w:val="center"/>
              <w:rPr>
                <w:bCs/>
                <w:color w:val="212121"/>
              </w:rPr>
            </w:pPr>
            <w:r w:rsidRPr="00A81976">
              <w:rPr>
                <w:bCs/>
                <w:color w:val="212121"/>
              </w:rPr>
              <w:t>[1</w:t>
            </w:r>
            <w:r>
              <w:rPr>
                <w:bCs/>
                <w:color w:val="212121"/>
              </w:rPr>
              <w:t>5</w:t>
            </w:r>
            <w:r w:rsidRPr="00A81976">
              <w:rPr>
                <w:bCs/>
                <w:color w:val="212121"/>
              </w:rPr>
              <w:t>]</w:t>
            </w:r>
          </w:p>
        </w:tc>
      </w:tr>
      <w:tr w:rsidR="006F30B4" w14:paraId="0E00CDB5" w14:textId="77777777" w:rsidTr="00A15DDA">
        <w:trPr>
          <w:jc w:val="center"/>
        </w:trPr>
        <w:tc>
          <w:tcPr>
            <w:tcW w:w="1408" w:type="dxa"/>
            <w:shd w:val="clear" w:color="auto" w:fill="auto"/>
            <w:tcMar>
              <w:top w:w="100" w:type="dxa"/>
              <w:left w:w="100" w:type="dxa"/>
              <w:bottom w:w="100" w:type="dxa"/>
              <w:right w:w="100" w:type="dxa"/>
            </w:tcMar>
            <w:vAlign w:val="center"/>
          </w:tcPr>
          <w:p w14:paraId="50FC64C2" w14:textId="77777777" w:rsidR="006F30B4" w:rsidRDefault="006F30B4" w:rsidP="006F30B4">
            <w:pPr>
              <w:ind w:firstLine="0"/>
              <w:jc w:val="center"/>
            </w:pPr>
            <m:oMathPara>
              <m:oMath>
                <m:sSup>
                  <m:sSupPr>
                    <m:ctrlPr>
                      <w:rPr>
                        <w:rFonts w:ascii="Cambria Math" w:hAnsi="Cambria Math"/>
                      </w:rPr>
                    </m:ctrlPr>
                  </m:sSupPr>
                  <m:e>
                    <m:r>
                      <w:rPr>
                        <w:rFonts w:ascii="Cambria Math" w:hAnsi="Cambria Math"/>
                      </w:rPr>
                      <m:t>FC</m:t>
                    </m:r>
                  </m:e>
                  <m:sup>
                    <m:r>
                      <w:rPr>
                        <w:rFonts w:ascii="Cambria Math" w:hAnsi="Cambria Math"/>
                      </w:rPr>
                      <m:t>DER</m:t>
                    </m:r>
                  </m:sup>
                </m:sSup>
              </m:oMath>
            </m:oMathPara>
          </w:p>
          <w:p w14:paraId="5E8E7FA8" w14:textId="7DB246D5" w:rsidR="006F30B4" w:rsidRDefault="006F30B4" w:rsidP="006F30B4">
            <w:pPr>
              <w:ind w:firstLine="0"/>
              <w:jc w:val="center"/>
            </w:pPr>
            <w:r>
              <w:t xml:space="preserve"> (EUR/t</w:t>
            </w:r>
            <w:r>
              <w:rPr>
                <w:vertAlign w:val="subscript"/>
              </w:rPr>
              <w:t>NH3</w:t>
            </w:r>
            <w:r>
              <w:t>)</w:t>
            </w:r>
          </w:p>
        </w:tc>
        <w:tc>
          <w:tcPr>
            <w:tcW w:w="2551" w:type="dxa"/>
            <w:shd w:val="clear" w:color="auto" w:fill="auto"/>
            <w:tcMar>
              <w:top w:w="100" w:type="dxa"/>
              <w:left w:w="100" w:type="dxa"/>
              <w:bottom w:w="100" w:type="dxa"/>
              <w:right w:w="100" w:type="dxa"/>
            </w:tcMar>
            <w:vAlign w:val="center"/>
          </w:tcPr>
          <w:p w14:paraId="410C96E8" w14:textId="2BA1D609" w:rsidR="006F30B4" w:rsidRDefault="006F30B4" w:rsidP="006F30B4">
            <w:pPr>
              <w:widowControl w:val="0"/>
              <w:spacing w:line="240" w:lineRule="auto"/>
              <w:ind w:firstLine="0"/>
              <w:jc w:val="center"/>
            </w:pPr>
            <w:r>
              <w:t>fixed cost of direct electrochemical reduction including capex, O&amp;M (2% of capex) and air separation unit</w:t>
            </w:r>
          </w:p>
        </w:tc>
        <w:tc>
          <w:tcPr>
            <w:tcW w:w="2694" w:type="dxa"/>
            <w:shd w:val="clear" w:color="auto" w:fill="auto"/>
            <w:tcMar>
              <w:top w:w="100" w:type="dxa"/>
              <w:left w:w="100" w:type="dxa"/>
              <w:bottom w:w="100" w:type="dxa"/>
              <w:right w:w="100" w:type="dxa"/>
            </w:tcMar>
            <w:vAlign w:val="center"/>
          </w:tcPr>
          <w:p w14:paraId="704B02D1" w14:textId="77777777" w:rsidR="006F30B4" w:rsidRDefault="006F30B4" w:rsidP="006F30B4">
            <w:pPr>
              <w:widowControl w:val="0"/>
              <w:spacing w:line="240" w:lineRule="auto"/>
              <w:ind w:firstLine="0"/>
              <w:jc w:val="center"/>
            </w:pPr>
            <w:r>
              <w:rPr>
                <w:b/>
              </w:rPr>
              <w:t xml:space="preserve">2020: </w:t>
            </w:r>
            <w:r>
              <w:t>84.8 (56.7, 122.6)</w:t>
            </w:r>
          </w:p>
          <w:p w14:paraId="08B80922" w14:textId="77777777" w:rsidR="006F30B4" w:rsidRDefault="006F30B4" w:rsidP="006F30B4">
            <w:pPr>
              <w:widowControl w:val="0"/>
              <w:spacing w:line="240" w:lineRule="auto"/>
              <w:ind w:firstLine="0"/>
              <w:jc w:val="center"/>
            </w:pPr>
            <w:r>
              <w:rPr>
                <w:b/>
              </w:rPr>
              <w:t xml:space="preserve">2030: </w:t>
            </w:r>
            <w:r>
              <w:t>50.1 (28.2, 92.2)</w:t>
            </w:r>
          </w:p>
          <w:p w14:paraId="539941DC" w14:textId="174324E9" w:rsidR="006F30B4" w:rsidRDefault="006F30B4" w:rsidP="006F30B4">
            <w:pPr>
              <w:widowControl w:val="0"/>
              <w:spacing w:line="240" w:lineRule="auto"/>
              <w:ind w:firstLine="0"/>
              <w:jc w:val="center"/>
            </w:pPr>
            <w:r>
              <w:rPr>
                <w:b/>
              </w:rPr>
              <w:t xml:space="preserve">2050: </w:t>
            </w:r>
            <w:r>
              <w:t>25.6 (8.4, 38.1)</w:t>
            </w:r>
          </w:p>
        </w:tc>
        <w:tc>
          <w:tcPr>
            <w:tcW w:w="2572" w:type="dxa"/>
            <w:shd w:val="clear" w:color="auto" w:fill="auto"/>
            <w:tcMar>
              <w:top w:w="100" w:type="dxa"/>
              <w:left w:w="100" w:type="dxa"/>
              <w:bottom w:w="100" w:type="dxa"/>
              <w:right w:w="100" w:type="dxa"/>
            </w:tcMar>
            <w:vAlign w:val="center"/>
          </w:tcPr>
          <w:p w14:paraId="40CC2206" w14:textId="77777777" w:rsidR="006F30B4" w:rsidRPr="00A81976" w:rsidRDefault="006F30B4" w:rsidP="006F30B4">
            <w:pPr>
              <w:widowControl w:val="0"/>
              <w:spacing w:line="240" w:lineRule="auto"/>
              <w:ind w:firstLine="0"/>
              <w:jc w:val="center"/>
              <w:rPr>
                <w:bCs/>
                <w:color w:val="212121"/>
                <w:highlight w:val="none"/>
              </w:rPr>
            </w:pPr>
            <w:r w:rsidRPr="00A81976">
              <w:rPr>
                <w:bCs/>
                <w:color w:val="212121"/>
                <w:highlight w:val="none"/>
              </w:rPr>
              <w:t>[</w:t>
            </w:r>
            <w:r w:rsidRPr="00A81976">
              <w:rPr>
                <w:bCs/>
                <w:color w:val="212121"/>
                <w:highlight w:val="none"/>
              </w:rPr>
              <w:t>1</w:t>
            </w:r>
            <w:r>
              <w:rPr>
                <w:bCs/>
                <w:color w:val="212121"/>
                <w:highlight w:val="none"/>
              </w:rPr>
              <w:t>3,</w:t>
            </w:r>
            <w:r w:rsidRPr="00A81976">
              <w:rPr>
                <w:bCs/>
                <w:color w:val="212121"/>
                <w:highlight w:val="none"/>
              </w:rPr>
              <w:t>1</w:t>
            </w:r>
            <w:r>
              <w:rPr>
                <w:bCs/>
                <w:color w:val="212121"/>
                <w:highlight w:val="none"/>
              </w:rPr>
              <w:t>5,</w:t>
            </w:r>
            <w:r w:rsidRPr="00A81976">
              <w:rPr>
                <w:bCs/>
                <w:color w:val="212121"/>
                <w:highlight w:val="none"/>
              </w:rPr>
              <w:t xml:space="preserve"> </w:t>
            </w:r>
            <w:r>
              <w:rPr>
                <w:bCs/>
                <w:color w:val="212121"/>
                <w:highlight w:val="none"/>
              </w:rPr>
              <w:t>16</w:t>
            </w:r>
            <w:r w:rsidRPr="00A81976">
              <w:rPr>
                <w:bCs/>
                <w:color w:val="212121"/>
                <w:highlight w:val="none"/>
              </w:rPr>
              <w:t>]</w:t>
            </w:r>
          </w:p>
          <w:p w14:paraId="3980671E" w14:textId="05EBC408" w:rsidR="006F30B4" w:rsidRDefault="006F30B4" w:rsidP="006F30B4">
            <w:pPr>
              <w:widowControl w:val="0"/>
              <w:spacing w:line="240" w:lineRule="auto"/>
              <w:ind w:firstLine="0"/>
              <w:jc w:val="center"/>
              <w:rPr>
                <w:b/>
                <w:color w:val="212121"/>
              </w:rPr>
            </w:pPr>
          </w:p>
        </w:tc>
      </w:tr>
      <w:tr w:rsidR="006F30B4" w14:paraId="05A53840" w14:textId="77777777" w:rsidTr="00A15DDA">
        <w:trPr>
          <w:jc w:val="center"/>
        </w:trPr>
        <w:tc>
          <w:tcPr>
            <w:tcW w:w="1408" w:type="dxa"/>
            <w:shd w:val="clear" w:color="auto" w:fill="auto"/>
            <w:tcMar>
              <w:top w:w="100" w:type="dxa"/>
              <w:left w:w="100" w:type="dxa"/>
              <w:bottom w:w="100" w:type="dxa"/>
              <w:right w:w="100" w:type="dxa"/>
            </w:tcMar>
            <w:vAlign w:val="center"/>
          </w:tcPr>
          <w:p w14:paraId="6EBBCEAA" w14:textId="77777777" w:rsidR="006F30B4" w:rsidRDefault="006F30B4" w:rsidP="006F30B4">
            <w:pPr>
              <w:ind w:firstLine="0"/>
              <w:jc w:val="center"/>
            </w:pPr>
            <w:r>
              <w:t>FE</w:t>
            </w:r>
          </w:p>
          <w:p w14:paraId="6A88C8B9" w14:textId="35F44446" w:rsidR="006F30B4" w:rsidRDefault="006F30B4" w:rsidP="006F30B4">
            <w:pPr>
              <w:ind w:firstLine="0"/>
              <w:jc w:val="center"/>
            </w:pPr>
            <w:r>
              <w:t>(V)</w:t>
            </w:r>
          </w:p>
        </w:tc>
        <w:tc>
          <w:tcPr>
            <w:tcW w:w="2551" w:type="dxa"/>
            <w:shd w:val="clear" w:color="auto" w:fill="auto"/>
            <w:tcMar>
              <w:top w:w="100" w:type="dxa"/>
              <w:left w:w="100" w:type="dxa"/>
              <w:bottom w:w="100" w:type="dxa"/>
              <w:right w:w="100" w:type="dxa"/>
            </w:tcMar>
            <w:vAlign w:val="center"/>
          </w:tcPr>
          <w:p w14:paraId="1C896143" w14:textId="55544BF3" w:rsidR="006F30B4" w:rsidRDefault="006F30B4" w:rsidP="006F30B4">
            <w:pPr>
              <w:widowControl w:val="0"/>
              <w:spacing w:line="240" w:lineRule="auto"/>
              <w:ind w:firstLine="0"/>
              <w:jc w:val="center"/>
            </w:pPr>
            <w:r>
              <w:t>Faradaic efficiency</w:t>
            </w:r>
          </w:p>
        </w:tc>
        <w:tc>
          <w:tcPr>
            <w:tcW w:w="2694" w:type="dxa"/>
            <w:shd w:val="clear" w:color="auto" w:fill="auto"/>
            <w:tcMar>
              <w:top w:w="100" w:type="dxa"/>
              <w:left w:w="100" w:type="dxa"/>
              <w:bottom w:w="100" w:type="dxa"/>
              <w:right w:w="100" w:type="dxa"/>
            </w:tcMar>
            <w:vAlign w:val="center"/>
          </w:tcPr>
          <w:p w14:paraId="7C0462E9" w14:textId="77777777" w:rsidR="006F30B4" w:rsidRDefault="006F30B4" w:rsidP="006F30B4">
            <w:pPr>
              <w:widowControl w:val="0"/>
              <w:spacing w:line="240" w:lineRule="auto"/>
              <w:ind w:firstLine="0"/>
              <w:jc w:val="center"/>
            </w:pPr>
            <w:r>
              <w:rPr>
                <w:b/>
              </w:rPr>
              <w:t xml:space="preserve">2020: </w:t>
            </w:r>
            <w:r>
              <w:t>0.5 (0.4, 0.6)</w:t>
            </w:r>
          </w:p>
          <w:p w14:paraId="4F53897E" w14:textId="77777777" w:rsidR="006F30B4" w:rsidRDefault="006F30B4" w:rsidP="006F30B4">
            <w:pPr>
              <w:widowControl w:val="0"/>
              <w:spacing w:line="240" w:lineRule="auto"/>
              <w:ind w:firstLine="0"/>
              <w:jc w:val="center"/>
            </w:pPr>
            <w:r>
              <w:rPr>
                <w:b/>
              </w:rPr>
              <w:t xml:space="preserve">2030: </w:t>
            </w:r>
            <w:r>
              <w:t>0.7 (0.6, 0.8)</w:t>
            </w:r>
          </w:p>
          <w:p w14:paraId="67E88A3E" w14:textId="52CE828F" w:rsidR="006F30B4" w:rsidRDefault="006F30B4" w:rsidP="006F30B4">
            <w:pPr>
              <w:widowControl w:val="0"/>
              <w:spacing w:line="240" w:lineRule="auto"/>
              <w:ind w:firstLine="0"/>
              <w:jc w:val="center"/>
            </w:pPr>
            <w:r>
              <w:rPr>
                <w:b/>
              </w:rPr>
              <w:t xml:space="preserve">2050: </w:t>
            </w:r>
            <w:r>
              <w:t>0.9 (0.85, 0.95)</w:t>
            </w:r>
          </w:p>
        </w:tc>
        <w:tc>
          <w:tcPr>
            <w:tcW w:w="2572" w:type="dxa"/>
            <w:shd w:val="clear" w:color="auto" w:fill="auto"/>
            <w:tcMar>
              <w:top w:w="100" w:type="dxa"/>
              <w:left w:w="100" w:type="dxa"/>
              <w:bottom w:w="100" w:type="dxa"/>
              <w:right w:w="100" w:type="dxa"/>
            </w:tcMar>
            <w:vAlign w:val="center"/>
          </w:tcPr>
          <w:p w14:paraId="65C65B30" w14:textId="57739558" w:rsidR="006F30B4" w:rsidRDefault="006F30B4" w:rsidP="006F30B4">
            <w:pPr>
              <w:widowControl w:val="0"/>
              <w:spacing w:line="240" w:lineRule="auto"/>
              <w:ind w:firstLine="0"/>
              <w:jc w:val="center"/>
              <w:rPr>
                <w:b/>
                <w:color w:val="212121"/>
              </w:rPr>
            </w:pPr>
            <w:r w:rsidRPr="00A81976">
              <w:rPr>
                <w:bCs/>
                <w:color w:val="212121"/>
              </w:rPr>
              <w:t>[</w:t>
            </w:r>
            <w:r>
              <w:rPr>
                <w:bCs/>
                <w:color w:val="212121"/>
              </w:rPr>
              <w:t>18</w:t>
            </w:r>
            <w:r w:rsidRPr="00A81976">
              <w:rPr>
                <w:bCs/>
                <w:color w:val="212121"/>
              </w:rPr>
              <w:t>]</w:t>
            </w:r>
          </w:p>
        </w:tc>
      </w:tr>
      <w:tr w:rsidR="006F30B4" w14:paraId="15E24236" w14:textId="77777777" w:rsidTr="00A15DDA">
        <w:trPr>
          <w:jc w:val="center"/>
        </w:trPr>
        <w:tc>
          <w:tcPr>
            <w:tcW w:w="1408" w:type="dxa"/>
            <w:shd w:val="clear" w:color="auto" w:fill="auto"/>
            <w:tcMar>
              <w:top w:w="100" w:type="dxa"/>
              <w:left w:w="100" w:type="dxa"/>
              <w:bottom w:w="100" w:type="dxa"/>
              <w:right w:w="100" w:type="dxa"/>
            </w:tcMar>
            <w:vAlign w:val="center"/>
          </w:tcPr>
          <w:p w14:paraId="7BD78BEF" w14:textId="77777777" w:rsidR="006F30B4" w:rsidRDefault="006F30B4" w:rsidP="006F30B4">
            <w:pPr>
              <w:ind w:firstLine="0"/>
              <w:jc w:val="center"/>
            </w:pPr>
            <w:r>
              <w:t>TE</w:t>
            </w:r>
          </w:p>
          <w:p w14:paraId="74DB0DE2" w14:textId="17205978" w:rsidR="006F30B4" w:rsidRDefault="006F30B4" w:rsidP="006F30B4">
            <w:pPr>
              <w:ind w:firstLine="0"/>
              <w:jc w:val="center"/>
            </w:pPr>
            <w:r>
              <w:t>(V)</w:t>
            </w:r>
          </w:p>
        </w:tc>
        <w:tc>
          <w:tcPr>
            <w:tcW w:w="2551" w:type="dxa"/>
            <w:shd w:val="clear" w:color="auto" w:fill="auto"/>
            <w:tcMar>
              <w:top w:w="100" w:type="dxa"/>
              <w:left w:w="100" w:type="dxa"/>
              <w:bottom w:w="100" w:type="dxa"/>
              <w:right w:w="100" w:type="dxa"/>
            </w:tcMar>
            <w:vAlign w:val="center"/>
          </w:tcPr>
          <w:p w14:paraId="12B08819" w14:textId="782C8B76" w:rsidR="006F30B4" w:rsidRDefault="006F30B4" w:rsidP="006F30B4">
            <w:pPr>
              <w:widowControl w:val="0"/>
              <w:spacing w:line="240" w:lineRule="auto"/>
              <w:ind w:firstLine="0"/>
              <w:jc w:val="center"/>
            </w:pPr>
            <w:r>
              <w:t>thermodynamic voltage</w:t>
            </w:r>
          </w:p>
        </w:tc>
        <w:tc>
          <w:tcPr>
            <w:tcW w:w="2694" w:type="dxa"/>
            <w:shd w:val="clear" w:color="auto" w:fill="auto"/>
            <w:tcMar>
              <w:top w:w="100" w:type="dxa"/>
              <w:left w:w="100" w:type="dxa"/>
              <w:bottom w:w="100" w:type="dxa"/>
              <w:right w:w="100" w:type="dxa"/>
            </w:tcMar>
            <w:vAlign w:val="center"/>
          </w:tcPr>
          <w:p w14:paraId="699B86F6" w14:textId="74BEC62E" w:rsidR="006F30B4" w:rsidRDefault="006F30B4" w:rsidP="006F30B4">
            <w:pPr>
              <w:widowControl w:val="0"/>
              <w:spacing w:line="240" w:lineRule="auto"/>
              <w:ind w:firstLine="0"/>
              <w:jc w:val="center"/>
            </w:pPr>
            <w:r>
              <w:t>1.137</w:t>
            </w:r>
          </w:p>
        </w:tc>
        <w:tc>
          <w:tcPr>
            <w:tcW w:w="2572" w:type="dxa"/>
            <w:shd w:val="clear" w:color="auto" w:fill="auto"/>
            <w:tcMar>
              <w:top w:w="100" w:type="dxa"/>
              <w:left w:w="100" w:type="dxa"/>
              <w:bottom w:w="100" w:type="dxa"/>
              <w:right w:w="100" w:type="dxa"/>
            </w:tcMar>
            <w:vAlign w:val="center"/>
          </w:tcPr>
          <w:p w14:paraId="0E956F7A" w14:textId="2186C957" w:rsidR="006F30B4" w:rsidRPr="00A81976" w:rsidRDefault="006F30B4" w:rsidP="006F30B4">
            <w:pPr>
              <w:widowControl w:val="0"/>
              <w:spacing w:line="240" w:lineRule="auto"/>
              <w:ind w:firstLine="0"/>
              <w:jc w:val="center"/>
              <w:rPr>
                <w:bCs/>
                <w:color w:val="212121"/>
              </w:rPr>
            </w:pPr>
            <w:r w:rsidRPr="009A233F">
              <w:rPr>
                <w:bCs/>
                <w:color w:val="212121"/>
              </w:rPr>
              <w:t>[1</w:t>
            </w:r>
            <w:r>
              <w:rPr>
                <w:bCs/>
                <w:color w:val="212121"/>
              </w:rPr>
              <w:t>5</w:t>
            </w:r>
            <w:r w:rsidRPr="009A233F">
              <w:rPr>
                <w:bCs/>
                <w:color w:val="212121"/>
              </w:rPr>
              <w:t>]</w:t>
            </w:r>
          </w:p>
        </w:tc>
      </w:tr>
      <w:tr w:rsidR="006F30B4" w14:paraId="6B082C6E" w14:textId="77777777" w:rsidTr="00A15DDA">
        <w:trPr>
          <w:jc w:val="center"/>
        </w:trPr>
        <w:tc>
          <w:tcPr>
            <w:tcW w:w="1408" w:type="dxa"/>
            <w:shd w:val="clear" w:color="auto" w:fill="auto"/>
            <w:tcMar>
              <w:top w:w="100" w:type="dxa"/>
              <w:left w:w="100" w:type="dxa"/>
              <w:bottom w:w="100" w:type="dxa"/>
              <w:right w:w="100" w:type="dxa"/>
            </w:tcMar>
            <w:vAlign w:val="center"/>
          </w:tcPr>
          <w:p w14:paraId="1448736E" w14:textId="77777777" w:rsidR="006F30B4" w:rsidRDefault="006F30B4" w:rsidP="006F30B4">
            <w:pPr>
              <w:ind w:firstLine="0"/>
              <w:jc w:val="center"/>
            </w:pPr>
            <w:r>
              <w:t>OP</w:t>
            </w:r>
          </w:p>
          <w:p w14:paraId="00AF896B" w14:textId="3A80FD1B" w:rsidR="006F30B4" w:rsidRDefault="006F30B4" w:rsidP="006F30B4">
            <w:pPr>
              <w:ind w:firstLine="0"/>
              <w:jc w:val="center"/>
            </w:pPr>
            <w:r>
              <w:t>(V)</w:t>
            </w:r>
          </w:p>
        </w:tc>
        <w:tc>
          <w:tcPr>
            <w:tcW w:w="2551" w:type="dxa"/>
            <w:shd w:val="clear" w:color="auto" w:fill="auto"/>
            <w:tcMar>
              <w:top w:w="100" w:type="dxa"/>
              <w:left w:w="100" w:type="dxa"/>
              <w:bottom w:w="100" w:type="dxa"/>
              <w:right w:w="100" w:type="dxa"/>
            </w:tcMar>
            <w:vAlign w:val="center"/>
          </w:tcPr>
          <w:p w14:paraId="5F118B14" w14:textId="77777777" w:rsidR="006F30B4" w:rsidRDefault="006F30B4" w:rsidP="006F30B4">
            <w:pPr>
              <w:widowControl w:val="0"/>
              <w:spacing w:line="240" w:lineRule="auto"/>
              <w:ind w:firstLine="0"/>
              <w:jc w:val="center"/>
            </w:pPr>
            <w:r>
              <w:t>overpotential</w:t>
            </w:r>
          </w:p>
          <w:p w14:paraId="69378384" w14:textId="3F116DD6" w:rsidR="006F30B4" w:rsidRDefault="006F30B4" w:rsidP="006F30B4">
            <w:pPr>
              <w:widowControl w:val="0"/>
              <w:spacing w:line="240" w:lineRule="auto"/>
              <w:ind w:firstLine="0"/>
              <w:jc w:val="center"/>
            </w:pPr>
            <w:r>
              <w:t>electrocatalysis</w:t>
            </w:r>
          </w:p>
        </w:tc>
        <w:tc>
          <w:tcPr>
            <w:tcW w:w="2694" w:type="dxa"/>
            <w:shd w:val="clear" w:color="auto" w:fill="auto"/>
            <w:tcMar>
              <w:top w:w="100" w:type="dxa"/>
              <w:left w:w="100" w:type="dxa"/>
              <w:bottom w:w="100" w:type="dxa"/>
              <w:right w:w="100" w:type="dxa"/>
            </w:tcMar>
            <w:vAlign w:val="center"/>
          </w:tcPr>
          <w:p w14:paraId="591F6994" w14:textId="77777777" w:rsidR="006F30B4" w:rsidRDefault="006F30B4" w:rsidP="006F30B4">
            <w:pPr>
              <w:widowControl w:val="0"/>
              <w:spacing w:line="240" w:lineRule="auto"/>
              <w:ind w:firstLine="0"/>
              <w:jc w:val="center"/>
            </w:pPr>
            <w:r>
              <w:rPr>
                <w:b/>
              </w:rPr>
              <w:t xml:space="preserve">2020: </w:t>
            </w:r>
            <w:r>
              <w:t>1.0 (0.75, 1.25)</w:t>
            </w:r>
          </w:p>
          <w:p w14:paraId="25223034" w14:textId="77777777" w:rsidR="006F30B4" w:rsidRDefault="006F30B4" w:rsidP="006F30B4">
            <w:pPr>
              <w:widowControl w:val="0"/>
              <w:spacing w:line="240" w:lineRule="auto"/>
              <w:ind w:firstLine="0"/>
              <w:jc w:val="center"/>
            </w:pPr>
            <w:r>
              <w:rPr>
                <w:b/>
              </w:rPr>
              <w:t xml:space="preserve">2030: </w:t>
            </w:r>
            <w:r>
              <w:t>1.0 (0.75, 1.25)</w:t>
            </w:r>
          </w:p>
          <w:p w14:paraId="11BD6142" w14:textId="2BA001C6" w:rsidR="006F30B4" w:rsidRDefault="006F30B4" w:rsidP="006F30B4">
            <w:pPr>
              <w:widowControl w:val="0"/>
              <w:spacing w:line="240" w:lineRule="auto"/>
              <w:ind w:firstLine="0"/>
              <w:jc w:val="center"/>
            </w:pPr>
            <w:r>
              <w:rPr>
                <w:b/>
              </w:rPr>
              <w:t xml:space="preserve">2050: </w:t>
            </w:r>
            <w:r>
              <w:t>1.0 (0.75, 1.25)</w:t>
            </w:r>
          </w:p>
        </w:tc>
        <w:tc>
          <w:tcPr>
            <w:tcW w:w="2572" w:type="dxa"/>
            <w:shd w:val="clear" w:color="auto" w:fill="auto"/>
            <w:tcMar>
              <w:top w:w="100" w:type="dxa"/>
              <w:left w:w="100" w:type="dxa"/>
              <w:bottom w:w="100" w:type="dxa"/>
              <w:right w:w="100" w:type="dxa"/>
            </w:tcMar>
            <w:vAlign w:val="center"/>
          </w:tcPr>
          <w:p w14:paraId="2948DB0C" w14:textId="68C13C5C" w:rsidR="006F30B4" w:rsidRPr="009A233F" w:rsidRDefault="006F30B4" w:rsidP="006F30B4">
            <w:pPr>
              <w:widowControl w:val="0"/>
              <w:spacing w:line="240" w:lineRule="auto"/>
              <w:ind w:firstLine="0"/>
              <w:jc w:val="center"/>
              <w:rPr>
                <w:bCs/>
                <w:color w:val="212121"/>
              </w:rPr>
            </w:pPr>
            <w:r w:rsidRPr="00C44B88">
              <w:rPr>
                <w:bCs/>
                <w:color w:val="212121"/>
              </w:rPr>
              <w:t>[</w:t>
            </w:r>
            <w:r>
              <w:rPr>
                <w:bCs/>
                <w:color w:val="212121"/>
              </w:rPr>
              <w:t>18</w:t>
            </w:r>
            <w:r w:rsidRPr="00C44B88">
              <w:rPr>
                <w:bCs/>
                <w:color w:val="212121"/>
              </w:rPr>
              <w:t>]</w:t>
            </w:r>
          </w:p>
        </w:tc>
      </w:tr>
    </w:tbl>
    <w:p w14:paraId="051EBA45" w14:textId="77777777" w:rsidR="00117835" w:rsidRDefault="00117835" w:rsidP="00D40BDC">
      <w:pPr>
        <w:pStyle w:val="Heading2"/>
        <w:sectPr w:rsidR="00117835" w:rsidSect="00D526F3">
          <w:type w:val="continuous"/>
          <w:pgSz w:w="12240" w:h="15840"/>
          <w:pgMar w:top="1440" w:right="1440" w:bottom="1440" w:left="1440" w:header="720" w:footer="720" w:gutter="0"/>
          <w:cols w:space="720"/>
          <w:docGrid w:linePitch="299"/>
        </w:sectPr>
      </w:pPr>
      <w:bookmarkStart w:id="7" w:name="_d5lfm841v1z9" w:colFirst="0" w:colLast="0"/>
      <w:bookmarkEnd w:id="7"/>
    </w:p>
    <w:p w14:paraId="79EFDBAB" w14:textId="77777777" w:rsidR="00A15DDA" w:rsidRDefault="00A15DDA">
      <w:pPr>
        <w:spacing w:line="240" w:lineRule="auto"/>
        <w:ind w:firstLine="284"/>
        <w:rPr>
          <w:b/>
          <w:highlight w:val="none"/>
        </w:rPr>
      </w:pPr>
      <w:bookmarkStart w:id="8" w:name="_q6kyjbsqv7jn" w:colFirst="0" w:colLast="0"/>
      <w:bookmarkEnd w:id="8"/>
      <w:r>
        <w:lastRenderedPageBreak/>
        <w:br w:type="page"/>
      </w:r>
    </w:p>
    <w:p w14:paraId="06DCAD54" w14:textId="5E583B82" w:rsidR="00117835" w:rsidRPr="0087754C" w:rsidRDefault="00117835" w:rsidP="0087754C">
      <w:pPr>
        <w:pStyle w:val="Heading2"/>
      </w:pPr>
      <w:r w:rsidRPr="0087754C">
        <w:t>S.</w:t>
      </w:r>
      <w:r w:rsidR="00F44208">
        <w:t>6</w:t>
      </w:r>
      <w:r w:rsidRPr="0087754C">
        <w:t xml:space="preserve"> Ammonia market price</w:t>
      </w:r>
    </w:p>
    <w:p w14:paraId="5AF23533" w14:textId="237C0318" w:rsidR="00117835" w:rsidRDefault="00117835" w:rsidP="00F37632">
      <w:pPr>
        <w:spacing w:line="276" w:lineRule="auto"/>
      </w:pPr>
      <w:r>
        <w:t>To assess the cost-competitiveness of the technologies considered in our analysis, we compare the technology-specific cost of ammonia with the variation of the historical ammonia market price from the World Bank commodity price database</w:t>
      </w:r>
      <w:r w:rsidR="00947808">
        <w:rPr>
          <w:vertAlign w:val="superscript"/>
        </w:rPr>
        <w:t>7</w:t>
      </w:r>
      <w:r>
        <w:t>. Specifically, we consider the yearly-average real 2010 urea market price (USD/</w:t>
      </w:r>
      <w:proofErr w:type="spellStart"/>
      <w:r>
        <w:t>t</w:t>
      </w:r>
      <w:r>
        <w:rPr>
          <w:vertAlign w:val="subscript"/>
        </w:rPr>
        <w:t>urea</w:t>
      </w:r>
      <w:proofErr w:type="spellEnd"/>
      <w:r>
        <w:t>) between 2000 - 2023 converted into ammonia market price (USD/</w:t>
      </w:r>
      <w:proofErr w:type="spellStart"/>
      <w:r>
        <w:t>t</w:t>
      </w:r>
      <w:r>
        <w:rPr>
          <w:vertAlign w:val="subscript"/>
        </w:rPr>
        <w:t>ammonia</w:t>
      </w:r>
      <w:proofErr w:type="spellEnd"/>
      <w:r>
        <w:t xml:space="preserve">) based on the mass balance of urea production (0.57 </w:t>
      </w:r>
      <w:proofErr w:type="spellStart"/>
      <w:r>
        <w:t>t</w:t>
      </w:r>
      <w:r>
        <w:rPr>
          <w:vertAlign w:val="subscript"/>
        </w:rPr>
        <w:t>ammonia</w:t>
      </w:r>
      <w:proofErr w:type="spellEnd"/>
      <w:r>
        <w:t>/</w:t>
      </w:r>
      <w:proofErr w:type="spellStart"/>
      <w:r>
        <w:t>t</w:t>
      </w:r>
      <w:r>
        <w:rPr>
          <w:vertAlign w:val="subscript"/>
        </w:rPr>
        <w:t>urea</w:t>
      </w:r>
      <w:proofErr w:type="spellEnd"/>
      <w:r>
        <w:t>):</w:t>
      </w:r>
    </w:p>
    <w:p w14:paraId="18EFBC86" w14:textId="77777777" w:rsidR="00117835" w:rsidRDefault="00117835" w:rsidP="00F37632">
      <w:pPr>
        <w:spacing w:line="276" w:lineRule="auto"/>
        <w:rPr>
          <w:sz w:val="16"/>
          <w:szCs w:val="16"/>
        </w:rPr>
      </w:pPr>
    </w:p>
    <w:p w14:paraId="40200FBC" w14:textId="77777777" w:rsidR="00117835" w:rsidRPr="00331239" w:rsidRDefault="00117835" w:rsidP="00117835">
      <w:pPr>
        <w:ind w:firstLine="0"/>
        <w:jc w:val="center"/>
      </w:pPr>
      <w:r w:rsidRPr="00331239">
        <w:t>2 NH</w:t>
      </w:r>
      <w:r w:rsidRPr="00331239">
        <w:rPr>
          <w:vertAlign w:val="subscript"/>
        </w:rPr>
        <w:t>3</w:t>
      </w:r>
      <w:r w:rsidRPr="00331239">
        <w:t xml:space="preserve"> (17 g/mol) + CO</w:t>
      </w:r>
      <w:r w:rsidRPr="00331239">
        <w:rPr>
          <w:vertAlign w:val="subscript"/>
        </w:rPr>
        <w:t>2</w:t>
      </w:r>
      <w:r w:rsidRPr="00331239">
        <w:rPr>
          <w:rFonts w:eastAsia="Cardo"/>
        </w:rPr>
        <w:t xml:space="preserve"> (44 g/mol) → CH</w:t>
      </w:r>
      <w:r w:rsidRPr="00331239">
        <w:rPr>
          <w:vertAlign w:val="subscript"/>
        </w:rPr>
        <w:t>4</w:t>
      </w:r>
      <w:r w:rsidRPr="00331239">
        <w:t>N</w:t>
      </w:r>
      <w:r w:rsidRPr="00331239">
        <w:rPr>
          <w:vertAlign w:val="subscript"/>
        </w:rPr>
        <w:t>2</w:t>
      </w:r>
      <w:r w:rsidRPr="00331239">
        <w:t>O (60 g/mol) + H</w:t>
      </w:r>
      <w:r w:rsidRPr="00331239">
        <w:rPr>
          <w:vertAlign w:val="subscript"/>
        </w:rPr>
        <w:t>2</w:t>
      </w:r>
      <w:r w:rsidRPr="00331239">
        <w:t>O (18 g/mol)</w:t>
      </w:r>
    </w:p>
    <w:p w14:paraId="29087BD6" w14:textId="77777777" w:rsidR="00117835" w:rsidRDefault="00117835" w:rsidP="00117835">
      <w:pPr>
        <w:ind w:firstLine="0"/>
        <w:jc w:val="center"/>
        <w:rPr>
          <w:sz w:val="16"/>
          <w:szCs w:val="16"/>
        </w:rPr>
      </w:pPr>
    </w:p>
    <w:p w14:paraId="458380BB" w14:textId="05868831" w:rsidR="00117835" w:rsidRDefault="00117835" w:rsidP="00F37632">
      <w:pPr>
        <w:spacing w:line="276" w:lineRule="auto"/>
        <w:ind w:firstLine="0"/>
        <w:jc w:val="left"/>
      </w:pPr>
      <w:r>
        <w:t>Additionally, we convert USD prices into EUR based on historical exchange reference rates</w:t>
      </w:r>
      <w:r w:rsidR="00947808">
        <w:rPr>
          <w:vertAlign w:val="superscript"/>
        </w:rPr>
        <w:t>8</w:t>
      </w:r>
      <w:r>
        <w:t xml:space="preserve">. From the historical distribution, we derive the price statistics used in </w:t>
      </w:r>
      <w:r>
        <w:rPr>
          <w:b/>
        </w:rPr>
        <w:t>Figure 2</w:t>
      </w:r>
      <w:r w:rsidR="00BE4FD3">
        <w:rPr>
          <w:bCs/>
        </w:rPr>
        <w:t xml:space="preserve"> of the main text</w:t>
      </w:r>
      <w:r>
        <w:t xml:space="preserve">, here summarized in </w:t>
      </w:r>
      <w:r>
        <w:rPr>
          <w:b/>
        </w:rPr>
        <w:t xml:space="preserve">Figure S2 </w:t>
      </w:r>
      <w:r>
        <w:t xml:space="preserve">and </w:t>
      </w:r>
      <w:r>
        <w:rPr>
          <w:b/>
        </w:rPr>
        <w:t>Table S4</w:t>
      </w:r>
      <w:r>
        <w:t>.</w:t>
      </w:r>
    </w:p>
    <w:p w14:paraId="60EE646B" w14:textId="77777777" w:rsidR="00117835" w:rsidRDefault="00117835" w:rsidP="00117835">
      <w:pPr>
        <w:ind w:firstLine="0"/>
        <w:jc w:val="left"/>
      </w:pPr>
    </w:p>
    <w:p w14:paraId="348F3896" w14:textId="77777777" w:rsidR="00117835" w:rsidRDefault="00117835" w:rsidP="00117835">
      <w:pPr>
        <w:ind w:firstLine="0"/>
        <w:jc w:val="center"/>
        <w:rPr>
          <w:b/>
        </w:rPr>
      </w:pPr>
      <w:r>
        <w:rPr>
          <w:b/>
          <w:noProof/>
        </w:rPr>
        <w:drawing>
          <wp:inline distT="114300" distB="114300" distL="114300" distR="114300" wp14:anchorId="06B338DF" wp14:editId="2D99D8C1">
            <wp:extent cx="3878981" cy="2008221"/>
            <wp:effectExtent l="0" t="0" r="0" b="0"/>
            <wp:docPr id="4"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2"/>
                    <a:srcRect/>
                    <a:stretch>
                      <a:fillRect/>
                    </a:stretch>
                  </pic:blipFill>
                  <pic:spPr>
                    <a:xfrm>
                      <a:off x="0" y="0"/>
                      <a:ext cx="3950302" cy="2045145"/>
                    </a:xfrm>
                    <a:prstGeom prst="rect">
                      <a:avLst/>
                    </a:prstGeom>
                    <a:ln/>
                  </pic:spPr>
                </pic:pic>
              </a:graphicData>
            </a:graphic>
          </wp:inline>
        </w:drawing>
      </w:r>
    </w:p>
    <w:p w14:paraId="757A928E" w14:textId="32313054" w:rsidR="00117835" w:rsidRDefault="00117835" w:rsidP="00F37632">
      <w:pPr>
        <w:spacing w:line="240" w:lineRule="auto"/>
        <w:ind w:firstLine="0"/>
        <w:jc w:val="left"/>
      </w:pPr>
      <w:r>
        <w:rPr>
          <w:b/>
        </w:rPr>
        <w:t>Figure S2. Historical ammonia market price between 2000 and 2023 (EUR/</w:t>
      </w:r>
      <w:proofErr w:type="spellStart"/>
      <w:r>
        <w:rPr>
          <w:b/>
        </w:rPr>
        <w:t>t</w:t>
      </w:r>
      <w:r>
        <w:rPr>
          <w:b/>
          <w:vertAlign w:val="subscript"/>
        </w:rPr>
        <w:t>ammonia</w:t>
      </w:r>
      <w:proofErr w:type="spellEnd"/>
      <w:r>
        <w:rPr>
          <w:b/>
        </w:rPr>
        <w:t>).</w:t>
      </w:r>
      <w:r>
        <w:t xml:space="preserve"> Data elaborated from the urea real 2010 market price of the World Bank commodity price database</w:t>
      </w:r>
      <w:r w:rsidR="00AE60AD">
        <w:rPr>
          <w:vertAlign w:val="superscript"/>
        </w:rPr>
        <w:t>7</w:t>
      </w:r>
      <w:r w:rsidR="00122DB8">
        <w:t>.</w:t>
      </w:r>
    </w:p>
    <w:p w14:paraId="7A553709" w14:textId="77777777" w:rsidR="00117835" w:rsidRDefault="00117835" w:rsidP="00117835">
      <w:pPr>
        <w:ind w:firstLine="0"/>
        <w:jc w:val="left"/>
      </w:pPr>
    </w:p>
    <w:p w14:paraId="49D62DF5" w14:textId="25090CD2" w:rsidR="00653E1D" w:rsidRDefault="00117835" w:rsidP="00117835">
      <w:pPr>
        <w:spacing w:line="276" w:lineRule="auto"/>
        <w:ind w:firstLine="0"/>
        <w:rPr>
          <w:rFonts w:ascii="Calibri" w:eastAsia="Calibri" w:hAnsi="Calibri" w:cs="Calibri"/>
          <w:b/>
        </w:rPr>
      </w:pPr>
      <w:r>
        <w:rPr>
          <w:rFonts w:ascii="Calibri" w:eastAsia="Calibri" w:hAnsi="Calibri" w:cs="Calibri"/>
          <w:b/>
        </w:rPr>
        <w:t>Table S4. Statistics from ammonia price distribution (EUR/t).</w:t>
      </w:r>
    </w:p>
    <w:p w14:paraId="3E96DB7D" w14:textId="77777777" w:rsidR="00653E1D" w:rsidRPr="00653E1D" w:rsidRDefault="00653E1D" w:rsidP="00117835">
      <w:pPr>
        <w:spacing w:line="276" w:lineRule="auto"/>
        <w:ind w:firstLine="0"/>
        <w:rPr>
          <w:rFonts w:ascii="Calibri" w:eastAsia="Calibri" w:hAnsi="Calibri" w:cs="Calibri"/>
          <w:b/>
          <w:sz w:val="10"/>
          <w:szCs w:val="10"/>
        </w:rPr>
      </w:pPr>
    </w:p>
    <w:tbl>
      <w:tblPr>
        <w:tblW w:w="9360" w:type="dxa"/>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340"/>
        <w:gridCol w:w="2340"/>
        <w:gridCol w:w="2340"/>
        <w:gridCol w:w="2340"/>
      </w:tblGrid>
      <w:tr w:rsidR="00117835" w14:paraId="5A0B8B03" w14:textId="77777777" w:rsidTr="00CA0E15">
        <w:trPr>
          <w:jc w:val="center"/>
        </w:trPr>
        <w:tc>
          <w:tcPr>
            <w:tcW w:w="2340" w:type="dxa"/>
            <w:shd w:val="clear" w:color="auto" w:fill="auto"/>
            <w:tcMar>
              <w:top w:w="100" w:type="dxa"/>
              <w:left w:w="100" w:type="dxa"/>
              <w:bottom w:w="100" w:type="dxa"/>
              <w:right w:w="100" w:type="dxa"/>
            </w:tcMar>
          </w:tcPr>
          <w:p w14:paraId="0FBDFB54" w14:textId="77777777" w:rsidR="00117835" w:rsidRDefault="00117835" w:rsidP="00D6551D">
            <w:pPr>
              <w:widowControl w:val="0"/>
              <w:spacing w:line="240" w:lineRule="auto"/>
              <w:ind w:firstLine="0"/>
              <w:jc w:val="center"/>
              <w:rPr>
                <w:b/>
              </w:rPr>
            </w:pPr>
            <w:r>
              <w:rPr>
                <w:b/>
              </w:rPr>
              <w:t xml:space="preserve">minimum </w:t>
            </w:r>
          </w:p>
        </w:tc>
        <w:tc>
          <w:tcPr>
            <w:tcW w:w="2340" w:type="dxa"/>
            <w:shd w:val="clear" w:color="auto" w:fill="auto"/>
            <w:tcMar>
              <w:top w:w="100" w:type="dxa"/>
              <w:left w:w="100" w:type="dxa"/>
              <w:bottom w:w="100" w:type="dxa"/>
              <w:right w:w="100" w:type="dxa"/>
            </w:tcMar>
          </w:tcPr>
          <w:p w14:paraId="065F7FD0" w14:textId="77777777" w:rsidR="00117835" w:rsidRDefault="00117835" w:rsidP="00D6551D">
            <w:pPr>
              <w:widowControl w:val="0"/>
              <w:spacing w:line="240" w:lineRule="auto"/>
              <w:ind w:firstLine="0"/>
              <w:jc w:val="center"/>
              <w:rPr>
                <w:b/>
              </w:rPr>
            </w:pPr>
            <w:r>
              <w:rPr>
                <w:b/>
              </w:rPr>
              <w:t>median</w:t>
            </w:r>
          </w:p>
        </w:tc>
        <w:tc>
          <w:tcPr>
            <w:tcW w:w="2340" w:type="dxa"/>
            <w:shd w:val="clear" w:color="auto" w:fill="auto"/>
            <w:tcMar>
              <w:top w:w="100" w:type="dxa"/>
              <w:left w:w="100" w:type="dxa"/>
              <w:bottom w:w="100" w:type="dxa"/>
              <w:right w:w="100" w:type="dxa"/>
            </w:tcMar>
          </w:tcPr>
          <w:p w14:paraId="18B70E2E" w14:textId="77777777" w:rsidR="00117835" w:rsidRDefault="00117835" w:rsidP="00D6551D">
            <w:pPr>
              <w:widowControl w:val="0"/>
              <w:pBdr>
                <w:top w:val="nil"/>
                <w:left w:val="nil"/>
                <w:bottom w:val="nil"/>
                <w:right w:val="nil"/>
                <w:between w:val="nil"/>
              </w:pBdr>
              <w:spacing w:line="240" w:lineRule="auto"/>
              <w:ind w:firstLine="0"/>
              <w:jc w:val="center"/>
              <w:rPr>
                <w:b/>
              </w:rPr>
            </w:pPr>
            <w:r>
              <w:rPr>
                <w:b/>
              </w:rPr>
              <w:t>95% percentile</w:t>
            </w:r>
          </w:p>
        </w:tc>
        <w:tc>
          <w:tcPr>
            <w:tcW w:w="2340" w:type="dxa"/>
            <w:shd w:val="clear" w:color="auto" w:fill="auto"/>
            <w:tcMar>
              <w:top w:w="100" w:type="dxa"/>
              <w:left w:w="100" w:type="dxa"/>
              <w:bottom w:w="100" w:type="dxa"/>
              <w:right w:w="100" w:type="dxa"/>
            </w:tcMar>
          </w:tcPr>
          <w:p w14:paraId="41A7B65B" w14:textId="77777777" w:rsidR="00117835" w:rsidRDefault="00117835" w:rsidP="00D6551D">
            <w:pPr>
              <w:widowControl w:val="0"/>
              <w:spacing w:line="240" w:lineRule="auto"/>
              <w:ind w:firstLine="0"/>
              <w:jc w:val="center"/>
              <w:rPr>
                <w:b/>
              </w:rPr>
            </w:pPr>
            <w:r>
              <w:rPr>
                <w:b/>
              </w:rPr>
              <w:t>maximum</w:t>
            </w:r>
          </w:p>
        </w:tc>
      </w:tr>
      <w:tr w:rsidR="00117835" w14:paraId="797FDBC4" w14:textId="77777777" w:rsidTr="00CA0E15">
        <w:trPr>
          <w:jc w:val="center"/>
        </w:trPr>
        <w:tc>
          <w:tcPr>
            <w:tcW w:w="2340" w:type="dxa"/>
            <w:shd w:val="clear" w:color="auto" w:fill="auto"/>
            <w:tcMar>
              <w:top w:w="100" w:type="dxa"/>
              <w:left w:w="100" w:type="dxa"/>
              <w:bottom w:w="100" w:type="dxa"/>
              <w:right w:w="100" w:type="dxa"/>
            </w:tcMar>
          </w:tcPr>
          <w:p w14:paraId="07E0D6A6" w14:textId="77777777" w:rsidR="00117835" w:rsidRDefault="00117835" w:rsidP="00D6551D">
            <w:pPr>
              <w:widowControl w:val="0"/>
              <w:spacing w:line="240" w:lineRule="auto"/>
              <w:ind w:firstLine="0"/>
              <w:jc w:val="center"/>
            </w:pPr>
            <w:r>
              <w:t>232.8</w:t>
            </w:r>
          </w:p>
        </w:tc>
        <w:tc>
          <w:tcPr>
            <w:tcW w:w="2340" w:type="dxa"/>
            <w:shd w:val="clear" w:color="auto" w:fill="auto"/>
            <w:tcMar>
              <w:top w:w="100" w:type="dxa"/>
              <w:left w:w="100" w:type="dxa"/>
              <w:bottom w:w="100" w:type="dxa"/>
              <w:right w:w="100" w:type="dxa"/>
            </w:tcMar>
          </w:tcPr>
          <w:p w14:paraId="579748A3" w14:textId="77777777" w:rsidR="00117835" w:rsidRDefault="00117835" w:rsidP="00D6551D">
            <w:pPr>
              <w:widowControl w:val="0"/>
              <w:spacing w:line="240" w:lineRule="auto"/>
              <w:ind w:firstLine="0"/>
              <w:jc w:val="center"/>
            </w:pPr>
            <w:r>
              <w:t>365.8</w:t>
            </w:r>
          </w:p>
        </w:tc>
        <w:tc>
          <w:tcPr>
            <w:tcW w:w="2340" w:type="dxa"/>
            <w:shd w:val="clear" w:color="auto" w:fill="auto"/>
            <w:tcMar>
              <w:top w:w="100" w:type="dxa"/>
              <w:left w:w="100" w:type="dxa"/>
              <w:bottom w:w="100" w:type="dxa"/>
              <w:right w:w="100" w:type="dxa"/>
            </w:tcMar>
          </w:tcPr>
          <w:p w14:paraId="61CA871B" w14:textId="77777777" w:rsidR="00117835" w:rsidRDefault="00117835" w:rsidP="00D6551D">
            <w:pPr>
              <w:widowControl w:val="0"/>
              <w:pBdr>
                <w:top w:val="nil"/>
                <w:left w:val="nil"/>
                <w:bottom w:val="nil"/>
                <w:right w:val="nil"/>
                <w:between w:val="nil"/>
              </w:pBdr>
              <w:spacing w:line="240" w:lineRule="auto"/>
              <w:ind w:firstLine="0"/>
              <w:jc w:val="center"/>
            </w:pPr>
            <w:r>
              <w:t>653.2</w:t>
            </w:r>
          </w:p>
        </w:tc>
        <w:tc>
          <w:tcPr>
            <w:tcW w:w="2340" w:type="dxa"/>
            <w:shd w:val="clear" w:color="auto" w:fill="auto"/>
            <w:tcMar>
              <w:top w:w="100" w:type="dxa"/>
              <w:left w:w="100" w:type="dxa"/>
              <w:bottom w:w="100" w:type="dxa"/>
              <w:right w:w="100" w:type="dxa"/>
            </w:tcMar>
          </w:tcPr>
          <w:p w14:paraId="31ADF43F" w14:textId="77777777" w:rsidR="00117835" w:rsidRDefault="00117835" w:rsidP="00D6551D">
            <w:pPr>
              <w:widowControl w:val="0"/>
              <w:spacing w:line="240" w:lineRule="auto"/>
              <w:ind w:firstLine="0"/>
              <w:jc w:val="center"/>
            </w:pPr>
            <w:r>
              <w:t>1062.6</w:t>
            </w:r>
          </w:p>
        </w:tc>
      </w:tr>
    </w:tbl>
    <w:p w14:paraId="6113D1CD" w14:textId="23D325F2" w:rsidR="00117835" w:rsidRPr="00821BDC" w:rsidRDefault="00821BDC" w:rsidP="00821BDC">
      <w:pPr>
        <w:spacing w:line="240" w:lineRule="auto"/>
        <w:ind w:firstLine="0"/>
        <w:rPr>
          <w:b/>
        </w:rPr>
        <w:sectPr w:rsidR="00117835" w:rsidRPr="00821BDC" w:rsidSect="00D526F3">
          <w:type w:val="continuous"/>
          <w:pgSz w:w="12240" w:h="15840"/>
          <w:pgMar w:top="1440" w:right="1440" w:bottom="1440" w:left="1440" w:header="720" w:footer="720" w:gutter="0"/>
          <w:cols w:space="720"/>
          <w:docGrid w:linePitch="299"/>
        </w:sectPr>
      </w:pPr>
      <w:r>
        <w:rPr>
          <w:b/>
        </w:rPr>
        <w:br w:type="page"/>
      </w:r>
    </w:p>
    <w:p w14:paraId="3EC4C013" w14:textId="7D7BC6FF" w:rsidR="00117835" w:rsidRDefault="00117835" w:rsidP="00534747">
      <w:pPr>
        <w:pStyle w:val="Heading1"/>
      </w:pPr>
      <w:bookmarkStart w:id="9" w:name="_naz1qhsp21j3" w:colFirst="0" w:colLast="0"/>
      <w:bookmarkEnd w:id="9"/>
      <w:r w:rsidRPr="00534747">
        <w:lastRenderedPageBreak/>
        <w:t>SUPPLEMENTARY REFERENCES</w:t>
      </w:r>
    </w:p>
    <w:p w14:paraId="384C8D50" w14:textId="77777777" w:rsidR="006F30B4" w:rsidRPr="006F30B4" w:rsidRDefault="006F30B4" w:rsidP="006F30B4">
      <w:pPr>
        <w:pStyle w:val="ListParagraph"/>
        <w:numPr>
          <w:ilvl w:val="0"/>
          <w:numId w:val="12"/>
        </w:numPr>
        <w:spacing w:line="240" w:lineRule="auto"/>
        <w:rPr>
          <w:sz w:val="20"/>
          <w:szCs w:val="20"/>
        </w:rPr>
      </w:pPr>
      <w:r w:rsidRPr="006F30B4">
        <w:rPr>
          <w:sz w:val="20"/>
          <w:szCs w:val="20"/>
        </w:rPr>
        <w:t xml:space="preserve">Mueller, N.D., Gerber, J.S., Johnston, M., Ray, D.K., </w:t>
      </w:r>
      <w:proofErr w:type="spellStart"/>
      <w:r w:rsidRPr="006F30B4">
        <w:rPr>
          <w:sz w:val="20"/>
          <w:szCs w:val="20"/>
        </w:rPr>
        <w:t>Ramankutty</w:t>
      </w:r>
      <w:proofErr w:type="spellEnd"/>
      <w:r w:rsidRPr="006F30B4">
        <w:rPr>
          <w:sz w:val="20"/>
          <w:szCs w:val="20"/>
        </w:rPr>
        <w:t xml:space="preserve">, N. &amp; Foley, J.A. Closing yield gaps through nutrient and water management. </w:t>
      </w:r>
      <w:r w:rsidRPr="006F30B4">
        <w:rPr>
          <w:i/>
          <w:iCs/>
          <w:sz w:val="20"/>
          <w:szCs w:val="20"/>
        </w:rPr>
        <w:t>Nature</w:t>
      </w:r>
      <w:r w:rsidRPr="006F30B4">
        <w:rPr>
          <w:sz w:val="20"/>
          <w:szCs w:val="20"/>
        </w:rPr>
        <w:t xml:space="preserve"> </w:t>
      </w:r>
      <w:r w:rsidRPr="006F30B4">
        <w:rPr>
          <w:b/>
          <w:bCs/>
          <w:sz w:val="20"/>
          <w:szCs w:val="20"/>
        </w:rPr>
        <w:t>490(7419)</w:t>
      </w:r>
      <w:r w:rsidRPr="006F30B4">
        <w:rPr>
          <w:sz w:val="20"/>
          <w:szCs w:val="20"/>
        </w:rPr>
        <w:t>, 254-257 (2012).</w:t>
      </w:r>
    </w:p>
    <w:p w14:paraId="6BD5F812" w14:textId="77777777" w:rsidR="006F30B4" w:rsidRPr="006F30B4" w:rsidRDefault="006F30B4" w:rsidP="006F30B4">
      <w:pPr>
        <w:pStyle w:val="ListParagraph"/>
        <w:numPr>
          <w:ilvl w:val="0"/>
          <w:numId w:val="12"/>
        </w:numPr>
        <w:spacing w:line="240" w:lineRule="auto"/>
        <w:rPr>
          <w:sz w:val="20"/>
          <w:szCs w:val="20"/>
        </w:rPr>
      </w:pPr>
      <w:r w:rsidRPr="006F30B4">
        <w:rPr>
          <w:sz w:val="20"/>
          <w:szCs w:val="20"/>
        </w:rPr>
        <w:t xml:space="preserve">Rosa, L., </w:t>
      </w:r>
      <w:proofErr w:type="spellStart"/>
      <w:r w:rsidRPr="006F30B4">
        <w:rPr>
          <w:sz w:val="20"/>
          <w:szCs w:val="20"/>
        </w:rPr>
        <w:t>Rulli</w:t>
      </w:r>
      <w:proofErr w:type="spellEnd"/>
      <w:r w:rsidRPr="006F30B4">
        <w:rPr>
          <w:sz w:val="20"/>
          <w:szCs w:val="20"/>
        </w:rPr>
        <w:t xml:space="preserve">, M.C., Davis, K.F., Chiarelli, D.D., </w:t>
      </w:r>
      <w:proofErr w:type="spellStart"/>
      <w:r w:rsidRPr="006F30B4">
        <w:rPr>
          <w:sz w:val="20"/>
          <w:szCs w:val="20"/>
        </w:rPr>
        <w:t>Passera</w:t>
      </w:r>
      <w:proofErr w:type="spellEnd"/>
      <w:r w:rsidRPr="006F30B4">
        <w:rPr>
          <w:sz w:val="20"/>
          <w:szCs w:val="20"/>
        </w:rPr>
        <w:t xml:space="preserve">, C. &amp; </w:t>
      </w:r>
      <w:proofErr w:type="spellStart"/>
      <w:r w:rsidRPr="006F30B4">
        <w:rPr>
          <w:sz w:val="20"/>
          <w:szCs w:val="20"/>
        </w:rPr>
        <w:t>D’Odorico</w:t>
      </w:r>
      <w:proofErr w:type="spellEnd"/>
      <w:r w:rsidRPr="006F30B4">
        <w:rPr>
          <w:sz w:val="20"/>
          <w:szCs w:val="20"/>
        </w:rPr>
        <w:t xml:space="preserve">, P. Closing the yield gap while ensuring water sustainability. </w:t>
      </w:r>
      <w:r w:rsidRPr="006F30B4">
        <w:rPr>
          <w:i/>
          <w:iCs/>
          <w:sz w:val="20"/>
          <w:szCs w:val="20"/>
        </w:rPr>
        <w:t>Environmental Research Letters</w:t>
      </w:r>
      <w:r w:rsidRPr="006F30B4">
        <w:rPr>
          <w:sz w:val="20"/>
          <w:szCs w:val="20"/>
        </w:rPr>
        <w:t xml:space="preserve"> </w:t>
      </w:r>
      <w:r w:rsidRPr="006F30B4">
        <w:rPr>
          <w:b/>
          <w:bCs/>
          <w:sz w:val="20"/>
          <w:szCs w:val="20"/>
        </w:rPr>
        <w:t>13(10)</w:t>
      </w:r>
      <w:r w:rsidRPr="006F30B4">
        <w:rPr>
          <w:sz w:val="20"/>
          <w:szCs w:val="20"/>
        </w:rPr>
        <w:t>, 104002 (2018).</w:t>
      </w:r>
    </w:p>
    <w:p w14:paraId="0A9ACBB8" w14:textId="77777777" w:rsidR="006F30B4" w:rsidRPr="006F30B4" w:rsidRDefault="006F30B4" w:rsidP="006F30B4">
      <w:pPr>
        <w:pStyle w:val="ListParagraph"/>
        <w:numPr>
          <w:ilvl w:val="0"/>
          <w:numId w:val="12"/>
        </w:numPr>
        <w:spacing w:line="240" w:lineRule="auto"/>
        <w:rPr>
          <w:sz w:val="20"/>
          <w:szCs w:val="20"/>
        </w:rPr>
      </w:pPr>
      <w:proofErr w:type="spellStart"/>
      <w:r w:rsidRPr="006F30B4">
        <w:rPr>
          <w:sz w:val="20"/>
          <w:szCs w:val="20"/>
        </w:rPr>
        <w:t>Amaducci</w:t>
      </w:r>
      <w:proofErr w:type="spellEnd"/>
      <w:r w:rsidRPr="006F30B4">
        <w:rPr>
          <w:sz w:val="20"/>
          <w:szCs w:val="20"/>
        </w:rPr>
        <w:t xml:space="preserve">, S., Yin, X. &amp; </w:t>
      </w:r>
      <w:proofErr w:type="spellStart"/>
      <w:r w:rsidRPr="006F30B4">
        <w:rPr>
          <w:sz w:val="20"/>
          <w:szCs w:val="20"/>
        </w:rPr>
        <w:t>Colauzzi</w:t>
      </w:r>
      <w:proofErr w:type="spellEnd"/>
      <w:r w:rsidRPr="006F30B4">
        <w:rPr>
          <w:sz w:val="20"/>
          <w:szCs w:val="20"/>
        </w:rPr>
        <w:t xml:space="preserve">, M. Agrivoltaic systems to </w:t>
      </w:r>
      <w:proofErr w:type="spellStart"/>
      <w:r w:rsidRPr="006F30B4">
        <w:rPr>
          <w:sz w:val="20"/>
          <w:szCs w:val="20"/>
        </w:rPr>
        <w:t>optimise</w:t>
      </w:r>
      <w:proofErr w:type="spellEnd"/>
      <w:r w:rsidRPr="006F30B4">
        <w:rPr>
          <w:sz w:val="20"/>
          <w:szCs w:val="20"/>
        </w:rPr>
        <w:t xml:space="preserve"> land use for electric energy production. </w:t>
      </w:r>
      <w:r w:rsidRPr="006F30B4">
        <w:rPr>
          <w:i/>
          <w:iCs/>
          <w:sz w:val="20"/>
          <w:szCs w:val="20"/>
        </w:rPr>
        <w:t>Applied energy</w:t>
      </w:r>
      <w:r w:rsidRPr="006F30B4">
        <w:rPr>
          <w:sz w:val="20"/>
          <w:szCs w:val="20"/>
        </w:rPr>
        <w:t xml:space="preserve"> </w:t>
      </w:r>
      <w:r w:rsidRPr="006F30B4">
        <w:rPr>
          <w:b/>
          <w:bCs/>
          <w:sz w:val="20"/>
          <w:szCs w:val="20"/>
        </w:rPr>
        <w:t>220</w:t>
      </w:r>
      <w:r w:rsidRPr="006F30B4">
        <w:rPr>
          <w:sz w:val="20"/>
          <w:szCs w:val="20"/>
        </w:rPr>
        <w:t>, 545-561 (2018).</w:t>
      </w:r>
    </w:p>
    <w:p w14:paraId="6F860B03" w14:textId="77777777" w:rsidR="006F30B4" w:rsidRPr="006F30B4" w:rsidRDefault="006F30B4" w:rsidP="006F30B4">
      <w:pPr>
        <w:pStyle w:val="ListParagraph"/>
        <w:numPr>
          <w:ilvl w:val="0"/>
          <w:numId w:val="12"/>
        </w:numPr>
        <w:spacing w:line="240" w:lineRule="auto"/>
        <w:rPr>
          <w:sz w:val="20"/>
          <w:szCs w:val="20"/>
        </w:rPr>
      </w:pPr>
      <w:proofErr w:type="spellStart"/>
      <w:r w:rsidRPr="006F30B4">
        <w:rPr>
          <w:sz w:val="20"/>
          <w:szCs w:val="20"/>
        </w:rPr>
        <w:t>Verleysen</w:t>
      </w:r>
      <w:proofErr w:type="spellEnd"/>
      <w:r w:rsidRPr="006F30B4">
        <w:rPr>
          <w:sz w:val="20"/>
          <w:szCs w:val="20"/>
        </w:rPr>
        <w:t xml:space="preserve">, K., </w:t>
      </w:r>
      <w:proofErr w:type="spellStart"/>
      <w:r w:rsidRPr="006F30B4">
        <w:rPr>
          <w:sz w:val="20"/>
          <w:szCs w:val="20"/>
        </w:rPr>
        <w:t>Coppitters</w:t>
      </w:r>
      <w:proofErr w:type="spellEnd"/>
      <w:r w:rsidRPr="006F30B4">
        <w:rPr>
          <w:sz w:val="20"/>
          <w:szCs w:val="20"/>
        </w:rPr>
        <w:t xml:space="preserve">, D., Parente, A., De </w:t>
      </w:r>
      <w:proofErr w:type="spellStart"/>
      <w:r w:rsidRPr="006F30B4">
        <w:rPr>
          <w:sz w:val="20"/>
          <w:szCs w:val="20"/>
        </w:rPr>
        <w:t>Paepe</w:t>
      </w:r>
      <w:proofErr w:type="spellEnd"/>
      <w:r w:rsidRPr="006F30B4">
        <w:rPr>
          <w:sz w:val="20"/>
          <w:szCs w:val="20"/>
        </w:rPr>
        <w:t xml:space="preserve">, W. &amp; </w:t>
      </w:r>
      <w:proofErr w:type="spellStart"/>
      <w:r w:rsidRPr="006F30B4">
        <w:rPr>
          <w:sz w:val="20"/>
          <w:szCs w:val="20"/>
        </w:rPr>
        <w:t>Contino</w:t>
      </w:r>
      <w:proofErr w:type="spellEnd"/>
      <w:r w:rsidRPr="006F30B4">
        <w:rPr>
          <w:sz w:val="20"/>
          <w:szCs w:val="20"/>
        </w:rPr>
        <w:t xml:space="preserve">, F. How can power-to-ammonia be robust? Optimization of an ammonia synthesis plant powered by a wind turbine considering operational uncertainties. </w:t>
      </w:r>
      <w:r w:rsidRPr="006F30B4">
        <w:rPr>
          <w:i/>
          <w:iCs/>
          <w:sz w:val="20"/>
          <w:szCs w:val="20"/>
        </w:rPr>
        <w:t>Fuel</w:t>
      </w:r>
      <w:r w:rsidRPr="006F30B4">
        <w:rPr>
          <w:sz w:val="20"/>
          <w:szCs w:val="20"/>
        </w:rPr>
        <w:t xml:space="preserve"> </w:t>
      </w:r>
      <w:r w:rsidRPr="006F30B4">
        <w:rPr>
          <w:i/>
          <w:iCs/>
          <w:sz w:val="20"/>
          <w:szCs w:val="20"/>
        </w:rPr>
        <w:t>266(117049)</w:t>
      </w:r>
      <w:r w:rsidRPr="006F30B4">
        <w:rPr>
          <w:sz w:val="20"/>
          <w:szCs w:val="20"/>
        </w:rPr>
        <w:t>, (2020).</w:t>
      </w:r>
    </w:p>
    <w:p w14:paraId="046162A3" w14:textId="77777777" w:rsidR="006F30B4" w:rsidRPr="006F30B4" w:rsidRDefault="006F30B4" w:rsidP="006F30B4">
      <w:pPr>
        <w:pStyle w:val="ListParagraph"/>
        <w:numPr>
          <w:ilvl w:val="0"/>
          <w:numId w:val="12"/>
        </w:numPr>
        <w:spacing w:line="240" w:lineRule="auto"/>
        <w:rPr>
          <w:sz w:val="20"/>
          <w:szCs w:val="20"/>
        </w:rPr>
      </w:pPr>
      <w:proofErr w:type="spellStart"/>
      <w:r w:rsidRPr="006F30B4">
        <w:rPr>
          <w:sz w:val="20"/>
          <w:szCs w:val="20"/>
        </w:rPr>
        <w:t>Verleysen</w:t>
      </w:r>
      <w:proofErr w:type="spellEnd"/>
      <w:r w:rsidRPr="006F30B4">
        <w:rPr>
          <w:sz w:val="20"/>
          <w:szCs w:val="20"/>
        </w:rPr>
        <w:t xml:space="preserve">, K., Parente, A. &amp; </w:t>
      </w:r>
      <w:proofErr w:type="spellStart"/>
      <w:r w:rsidRPr="006F30B4">
        <w:rPr>
          <w:sz w:val="20"/>
          <w:szCs w:val="20"/>
        </w:rPr>
        <w:t>Contino</w:t>
      </w:r>
      <w:proofErr w:type="spellEnd"/>
      <w:r w:rsidRPr="006F30B4">
        <w:rPr>
          <w:sz w:val="20"/>
          <w:szCs w:val="20"/>
        </w:rPr>
        <w:t xml:space="preserve">, F. How sensitive is a dynamic ammonia synthesis process? global sensitivity analysis of a dynamic Haber-Bosch process (for flexible seasonal energy storage). </w:t>
      </w:r>
      <w:r w:rsidRPr="006F30B4">
        <w:rPr>
          <w:i/>
          <w:iCs/>
          <w:sz w:val="20"/>
          <w:szCs w:val="20"/>
        </w:rPr>
        <w:t>Energy</w:t>
      </w:r>
      <w:r w:rsidRPr="006F30B4">
        <w:rPr>
          <w:sz w:val="20"/>
          <w:szCs w:val="20"/>
        </w:rPr>
        <w:t xml:space="preserve"> </w:t>
      </w:r>
      <w:r w:rsidRPr="006F30B4">
        <w:rPr>
          <w:b/>
          <w:bCs/>
          <w:sz w:val="20"/>
          <w:szCs w:val="20"/>
        </w:rPr>
        <w:t>232(121016)</w:t>
      </w:r>
      <w:r w:rsidRPr="006F30B4">
        <w:rPr>
          <w:sz w:val="20"/>
          <w:szCs w:val="20"/>
        </w:rPr>
        <w:t>, (2021).</w:t>
      </w:r>
    </w:p>
    <w:p w14:paraId="2711B419" w14:textId="77777777" w:rsidR="006F30B4" w:rsidRPr="006F30B4" w:rsidRDefault="006F30B4" w:rsidP="006F30B4">
      <w:pPr>
        <w:pStyle w:val="ListParagraph"/>
        <w:numPr>
          <w:ilvl w:val="0"/>
          <w:numId w:val="12"/>
        </w:numPr>
        <w:spacing w:line="240" w:lineRule="auto"/>
        <w:rPr>
          <w:sz w:val="20"/>
          <w:szCs w:val="20"/>
        </w:rPr>
      </w:pPr>
      <w:r w:rsidRPr="006F30B4">
        <w:rPr>
          <w:sz w:val="20"/>
          <w:szCs w:val="20"/>
        </w:rPr>
        <w:t>Smith, C., Hill, A.K. &amp; Torrente-</w:t>
      </w:r>
      <w:proofErr w:type="spellStart"/>
      <w:r w:rsidRPr="006F30B4">
        <w:rPr>
          <w:sz w:val="20"/>
          <w:szCs w:val="20"/>
        </w:rPr>
        <w:t>Murciano</w:t>
      </w:r>
      <w:proofErr w:type="spellEnd"/>
      <w:r w:rsidRPr="006F30B4">
        <w:rPr>
          <w:sz w:val="20"/>
          <w:szCs w:val="20"/>
        </w:rPr>
        <w:t xml:space="preserve">, L. Current and future role of Haber–Bosch ammonia in a carbon-free energy landscape. </w:t>
      </w:r>
      <w:r w:rsidRPr="006F30B4">
        <w:rPr>
          <w:i/>
          <w:iCs/>
          <w:sz w:val="20"/>
          <w:szCs w:val="20"/>
        </w:rPr>
        <w:t>Energy &amp; Environmental Science</w:t>
      </w:r>
      <w:r w:rsidRPr="006F30B4">
        <w:rPr>
          <w:sz w:val="20"/>
          <w:szCs w:val="20"/>
        </w:rPr>
        <w:t xml:space="preserve"> </w:t>
      </w:r>
      <w:r w:rsidRPr="006F30B4">
        <w:rPr>
          <w:b/>
          <w:bCs/>
          <w:sz w:val="20"/>
          <w:szCs w:val="20"/>
        </w:rPr>
        <w:t>13(2)</w:t>
      </w:r>
      <w:r w:rsidRPr="006F30B4">
        <w:rPr>
          <w:sz w:val="20"/>
          <w:szCs w:val="20"/>
        </w:rPr>
        <w:t>, 331-344 (2020).</w:t>
      </w:r>
    </w:p>
    <w:p w14:paraId="6D36F55A" w14:textId="77777777" w:rsidR="006F30B4" w:rsidRPr="006F30B4" w:rsidRDefault="006F30B4" w:rsidP="006F30B4">
      <w:pPr>
        <w:pStyle w:val="ListParagraph"/>
        <w:numPr>
          <w:ilvl w:val="0"/>
          <w:numId w:val="12"/>
        </w:numPr>
        <w:spacing w:line="240" w:lineRule="auto"/>
        <w:rPr>
          <w:sz w:val="20"/>
          <w:szCs w:val="20"/>
        </w:rPr>
      </w:pPr>
      <w:r w:rsidRPr="006F30B4">
        <w:rPr>
          <w:sz w:val="20"/>
          <w:szCs w:val="20"/>
        </w:rPr>
        <w:t xml:space="preserve">Ha, </w:t>
      </w:r>
      <w:proofErr w:type="spellStart"/>
      <w:r w:rsidRPr="006F30B4">
        <w:rPr>
          <w:sz w:val="20"/>
          <w:szCs w:val="20"/>
        </w:rPr>
        <w:t>Jongrim</w:t>
      </w:r>
      <w:proofErr w:type="spellEnd"/>
      <w:r w:rsidRPr="006F30B4">
        <w:rPr>
          <w:sz w:val="20"/>
          <w:szCs w:val="20"/>
        </w:rPr>
        <w:t xml:space="preserve">, M. </w:t>
      </w:r>
      <w:proofErr w:type="spellStart"/>
      <w:r w:rsidRPr="006F30B4">
        <w:rPr>
          <w:sz w:val="20"/>
          <w:szCs w:val="20"/>
        </w:rPr>
        <w:t>Ayhan</w:t>
      </w:r>
      <w:proofErr w:type="spellEnd"/>
      <w:r w:rsidRPr="006F30B4">
        <w:rPr>
          <w:sz w:val="20"/>
          <w:szCs w:val="20"/>
        </w:rPr>
        <w:t xml:space="preserve"> </w:t>
      </w:r>
      <w:proofErr w:type="spellStart"/>
      <w:r w:rsidRPr="006F30B4">
        <w:rPr>
          <w:sz w:val="20"/>
          <w:szCs w:val="20"/>
        </w:rPr>
        <w:t>Kose</w:t>
      </w:r>
      <w:proofErr w:type="spellEnd"/>
      <w:r w:rsidRPr="006F30B4">
        <w:rPr>
          <w:sz w:val="20"/>
          <w:szCs w:val="20"/>
        </w:rPr>
        <w:t xml:space="preserve">, &amp; Franziska </w:t>
      </w:r>
      <w:proofErr w:type="spellStart"/>
      <w:r w:rsidRPr="006F30B4">
        <w:rPr>
          <w:sz w:val="20"/>
          <w:szCs w:val="20"/>
        </w:rPr>
        <w:t>Ohnsorge</w:t>
      </w:r>
      <w:proofErr w:type="spellEnd"/>
      <w:r w:rsidRPr="006F30B4">
        <w:rPr>
          <w:sz w:val="20"/>
          <w:szCs w:val="20"/>
        </w:rPr>
        <w:t xml:space="preserve">. One-Stop Source: A Global Database of </w:t>
      </w:r>
      <w:proofErr w:type="spellStart"/>
      <w:r w:rsidRPr="006F30B4">
        <w:rPr>
          <w:sz w:val="20"/>
          <w:szCs w:val="20"/>
        </w:rPr>
        <w:t>Inflation.Policy</w:t>
      </w:r>
      <w:proofErr w:type="spellEnd"/>
      <w:r w:rsidRPr="006F30B4">
        <w:rPr>
          <w:sz w:val="20"/>
          <w:szCs w:val="20"/>
        </w:rPr>
        <w:t xml:space="preserve">. </w:t>
      </w:r>
      <w:r w:rsidRPr="00496804">
        <w:rPr>
          <w:i/>
          <w:iCs/>
          <w:sz w:val="20"/>
          <w:szCs w:val="20"/>
        </w:rPr>
        <w:t>World Bank</w:t>
      </w:r>
      <w:r w:rsidRPr="006F30B4">
        <w:rPr>
          <w:sz w:val="20"/>
          <w:szCs w:val="20"/>
        </w:rPr>
        <w:t>, Research Working Paper 9737 (2021).</w:t>
      </w:r>
    </w:p>
    <w:p w14:paraId="706F6877" w14:textId="1C74D83E" w:rsidR="006F30B4" w:rsidRPr="006F30B4" w:rsidRDefault="006F30B4" w:rsidP="006F30B4">
      <w:pPr>
        <w:pStyle w:val="ListParagraph"/>
        <w:numPr>
          <w:ilvl w:val="0"/>
          <w:numId w:val="12"/>
        </w:numPr>
        <w:spacing w:line="240" w:lineRule="auto"/>
        <w:rPr>
          <w:sz w:val="20"/>
          <w:szCs w:val="20"/>
        </w:rPr>
      </w:pPr>
      <w:r w:rsidRPr="006F30B4">
        <w:rPr>
          <w:sz w:val="20"/>
          <w:szCs w:val="20"/>
        </w:rPr>
        <w:t xml:space="preserve">Eurostat, Euro foreign exchange reference rate, </w:t>
      </w:r>
      <w:hyperlink r:id="rId13" w:history="1">
        <w:r w:rsidRPr="00696118">
          <w:rPr>
            <w:rStyle w:val="Hyperlink"/>
            <w:sz w:val="20"/>
            <w:szCs w:val="20"/>
          </w:rPr>
          <w:t>https://www.ecb.europa.eu/stats/policy_and_exchange_rates/euro_reference_exchange_rates/html/eurofxref-graph-usd.en.html</w:t>
        </w:r>
      </w:hyperlink>
      <w:r>
        <w:rPr>
          <w:sz w:val="20"/>
          <w:szCs w:val="20"/>
        </w:rPr>
        <w:t xml:space="preserve"> </w:t>
      </w:r>
      <w:r w:rsidRPr="006F30B4">
        <w:rPr>
          <w:sz w:val="20"/>
          <w:szCs w:val="20"/>
        </w:rPr>
        <w:t xml:space="preserve">  </w:t>
      </w:r>
    </w:p>
    <w:p w14:paraId="7D079749" w14:textId="3C755D35" w:rsidR="006F30B4" w:rsidRPr="006F30B4" w:rsidRDefault="006F30B4" w:rsidP="006F30B4">
      <w:pPr>
        <w:pStyle w:val="ListParagraph"/>
        <w:numPr>
          <w:ilvl w:val="0"/>
          <w:numId w:val="12"/>
        </w:numPr>
        <w:spacing w:line="240" w:lineRule="auto"/>
        <w:rPr>
          <w:sz w:val="20"/>
          <w:szCs w:val="20"/>
        </w:rPr>
      </w:pPr>
      <w:r w:rsidRPr="006F30B4">
        <w:rPr>
          <w:sz w:val="20"/>
          <w:szCs w:val="20"/>
        </w:rPr>
        <w:t xml:space="preserve">European Central Bank, </w:t>
      </w:r>
      <w:proofErr w:type="spellStart"/>
      <w:r w:rsidRPr="006F30B4">
        <w:rPr>
          <w:sz w:val="20"/>
          <w:szCs w:val="20"/>
        </w:rPr>
        <w:t>Eurosystem</w:t>
      </w:r>
      <w:proofErr w:type="spellEnd"/>
      <w:r w:rsidRPr="006F30B4">
        <w:rPr>
          <w:sz w:val="20"/>
          <w:szCs w:val="20"/>
        </w:rPr>
        <w:t xml:space="preserve">, Euro foreign exchange reference rates, </w:t>
      </w:r>
      <w:hyperlink r:id="rId14" w:history="1">
        <w:r w:rsidRPr="00696118">
          <w:rPr>
            <w:rStyle w:val="Hyperlink"/>
            <w:sz w:val="20"/>
            <w:szCs w:val="20"/>
          </w:rPr>
          <w:t>https://www.ecb.europa.eu/stats/policy_and_exchange_rates/euro_reference_exchange_rates/html/eurofxref-graph-usd.en.html</w:t>
        </w:r>
      </w:hyperlink>
      <w:r>
        <w:rPr>
          <w:sz w:val="20"/>
          <w:szCs w:val="20"/>
        </w:rPr>
        <w:t xml:space="preserve"> </w:t>
      </w:r>
      <w:r w:rsidRPr="006F30B4">
        <w:rPr>
          <w:sz w:val="20"/>
          <w:szCs w:val="20"/>
        </w:rPr>
        <w:t>(2022)</w:t>
      </w:r>
    </w:p>
    <w:p w14:paraId="2743C7AD" w14:textId="79EBE640" w:rsidR="006F30B4" w:rsidRPr="006F30B4" w:rsidRDefault="006F30B4" w:rsidP="006F30B4">
      <w:pPr>
        <w:pStyle w:val="ListParagraph"/>
        <w:numPr>
          <w:ilvl w:val="0"/>
          <w:numId w:val="12"/>
        </w:numPr>
        <w:spacing w:line="240" w:lineRule="auto"/>
        <w:rPr>
          <w:sz w:val="20"/>
          <w:szCs w:val="20"/>
        </w:rPr>
      </w:pPr>
      <w:r w:rsidRPr="006F30B4">
        <w:rPr>
          <w:sz w:val="20"/>
          <w:szCs w:val="20"/>
        </w:rPr>
        <w:t xml:space="preserve">National Renewable Energy Laboratory. Annual Technology Baseline. National Renewable Energy Laboratory </w:t>
      </w:r>
      <w:hyperlink r:id="rId15" w:history="1">
        <w:r w:rsidRPr="00696118">
          <w:rPr>
            <w:rStyle w:val="Hyperlink"/>
            <w:sz w:val="20"/>
            <w:szCs w:val="20"/>
          </w:rPr>
          <w:t>https://atb.nrel.gov/</w:t>
        </w:r>
      </w:hyperlink>
      <w:r>
        <w:rPr>
          <w:sz w:val="20"/>
          <w:szCs w:val="20"/>
        </w:rPr>
        <w:t xml:space="preserve"> </w:t>
      </w:r>
      <w:r w:rsidRPr="006F30B4">
        <w:rPr>
          <w:sz w:val="20"/>
          <w:szCs w:val="20"/>
        </w:rPr>
        <w:t>(2021).</w:t>
      </w:r>
    </w:p>
    <w:p w14:paraId="6E5010EF" w14:textId="39EB4CB4" w:rsidR="006F30B4" w:rsidRPr="006F30B4" w:rsidRDefault="006F30B4" w:rsidP="006F30B4">
      <w:pPr>
        <w:pStyle w:val="ListParagraph"/>
        <w:numPr>
          <w:ilvl w:val="0"/>
          <w:numId w:val="12"/>
        </w:numPr>
        <w:spacing w:line="240" w:lineRule="auto"/>
        <w:rPr>
          <w:sz w:val="20"/>
          <w:szCs w:val="20"/>
        </w:rPr>
      </w:pPr>
      <w:r w:rsidRPr="006F30B4">
        <w:rPr>
          <w:sz w:val="20"/>
          <w:szCs w:val="20"/>
        </w:rPr>
        <w:t xml:space="preserve">International Energy Agency, Net Zero by 2050. </w:t>
      </w:r>
      <w:hyperlink r:id="rId16" w:history="1">
        <w:r w:rsidR="00AA3DAD" w:rsidRPr="00696118">
          <w:rPr>
            <w:rStyle w:val="Hyperlink"/>
            <w:sz w:val="20"/>
            <w:szCs w:val="20"/>
          </w:rPr>
          <w:t>https://www.iea.org/reports/net-zero-by-2050</w:t>
        </w:r>
      </w:hyperlink>
      <w:r w:rsidR="00AA3DAD">
        <w:rPr>
          <w:sz w:val="20"/>
          <w:szCs w:val="20"/>
        </w:rPr>
        <w:t xml:space="preserve"> </w:t>
      </w:r>
      <w:r w:rsidRPr="006F30B4">
        <w:rPr>
          <w:sz w:val="20"/>
          <w:szCs w:val="20"/>
        </w:rPr>
        <w:t xml:space="preserve">(2021). </w:t>
      </w:r>
    </w:p>
    <w:p w14:paraId="10A69FE8" w14:textId="7A27977C" w:rsidR="006F30B4" w:rsidRPr="006F30B4" w:rsidRDefault="006F30B4" w:rsidP="006F30B4">
      <w:pPr>
        <w:pStyle w:val="ListParagraph"/>
        <w:numPr>
          <w:ilvl w:val="0"/>
          <w:numId w:val="12"/>
        </w:numPr>
        <w:spacing w:line="240" w:lineRule="auto"/>
        <w:rPr>
          <w:sz w:val="20"/>
          <w:szCs w:val="20"/>
        </w:rPr>
      </w:pPr>
      <w:r w:rsidRPr="006F30B4">
        <w:rPr>
          <w:sz w:val="20"/>
          <w:szCs w:val="20"/>
        </w:rPr>
        <w:t xml:space="preserve">ESMAP. Global Solar Atlas 2.0. Technical Report, </w:t>
      </w:r>
      <w:r w:rsidRPr="00AA3DAD">
        <w:rPr>
          <w:i/>
          <w:iCs/>
          <w:sz w:val="20"/>
          <w:szCs w:val="20"/>
        </w:rPr>
        <w:t>World Bank</w:t>
      </w:r>
      <w:r w:rsidRPr="006F30B4">
        <w:rPr>
          <w:sz w:val="20"/>
          <w:szCs w:val="20"/>
        </w:rPr>
        <w:t xml:space="preserve">. </w:t>
      </w:r>
      <w:hyperlink r:id="rId17" w:history="1">
        <w:r w:rsidR="00AA3DAD" w:rsidRPr="00696118">
          <w:rPr>
            <w:rStyle w:val="Hyperlink"/>
            <w:sz w:val="20"/>
            <w:szCs w:val="20"/>
          </w:rPr>
          <w:t>https://globalsolaratlas.info/map</w:t>
        </w:r>
      </w:hyperlink>
      <w:r w:rsidR="00AA3DAD">
        <w:rPr>
          <w:sz w:val="20"/>
          <w:szCs w:val="20"/>
        </w:rPr>
        <w:t xml:space="preserve"> </w:t>
      </w:r>
      <w:r w:rsidRPr="006F30B4">
        <w:rPr>
          <w:sz w:val="20"/>
          <w:szCs w:val="20"/>
        </w:rPr>
        <w:t>(2019).</w:t>
      </w:r>
    </w:p>
    <w:p w14:paraId="63513D27" w14:textId="487A67EE" w:rsidR="006F30B4" w:rsidRPr="006F30B4" w:rsidRDefault="006F30B4" w:rsidP="006F30B4">
      <w:pPr>
        <w:pStyle w:val="ListParagraph"/>
        <w:numPr>
          <w:ilvl w:val="0"/>
          <w:numId w:val="12"/>
        </w:numPr>
        <w:spacing w:line="240" w:lineRule="auto"/>
        <w:rPr>
          <w:sz w:val="20"/>
          <w:szCs w:val="20"/>
        </w:rPr>
      </w:pPr>
      <w:proofErr w:type="spellStart"/>
      <w:r w:rsidRPr="006F30B4">
        <w:rPr>
          <w:sz w:val="20"/>
          <w:szCs w:val="20"/>
        </w:rPr>
        <w:t>Terlouw</w:t>
      </w:r>
      <w:proofErr w:type="spellEnd"/>
      <w:r w:rsidRPr="006F30B4">
        <w:rPr>
          <w:sz w:val="20"/>
          <w:szCs w:val="20"/>
        </w:rPr>
        <w:t xml:space="preserve">, T., Bauer, C., McKenna, R. &amp; </w:t>
      </w:r>
      <w:proofErr w:type="spellStart"/>
      <w:r w:rsidRPr="006F30B4">
        <w:rPr>
          <w:sz w:val="20"/>
          <w:szCs w:val="20"/>
        </w:rPr>
        <w:t>Mazzotti</w:t>
      </w:r>
      <w:proofErr w:type="spellEnd"/>
      <w:r w:rsidRPr="006F30B4">
        <w:rPr>
          <w:sz w:val="20"/>
          <w:szCs w:val="20"/>
        </w:rPr>
        <w:t xml:space="preserve">, M. Large-scale hydrogen production via water electrolysis: a techno-economic and environmental assessment. </w:t>
      </w:r>
      <w:r w:rsidRPr="00AA3DAD">
        <w:rPr>
          <w:i/>
          <w:iCs/>
          <w:sz w:val="20"/>
          <w:szCs w:val="20"/>
        </w:rPr>
        <w:t>Energy &amp; Environmental Science</w:t>
      </w:r>
      <w:r w:rsidR="00AA3DAD">
        <w:rPr>
          <w:sz w:val="20"/>
          <w:szCs w:val="20"/>
        </w:rPr>
        <w:t xml:space="preserve"> </w:t>
      </w:r>
      <w:r w:rsidRPr="00AA3DAD">
        <w:rPr>
          <w:b/>
          <w:bCs/>
          <w:sz w:val="20"/>
          <w:szCs w:val="20"/>
        </w:rPr>
        <w:t>15(9)</w:t>
      </w:r>
      <w:r w:rsidRPr="006F30B4">
        <w:rPr>
          <w:sz w:val="20"/>
          <w:szCs w:val="20"/>
        </w:rPr>
        <w:t>, 3583-3602 (2022).</w:t>
      </w:r>
    </w:p>
    <w:p w14:paraId="3EA3F203" w14:textId="77777777" w:rsidR="006F30B4" w:rsidRPr="006F30B4" w:rsidRDefault="006F30B4" w:rsidP="006F30B4">
      <w:pPr>
        <w:pStyle w:val="ListParagraph"/>
        <w:numPr>
          <w:ilvl w:val="0"/>
          <w:numId w:val="12"/>
        </w:numPr>
        <w:spacing w:line="240" w:lineRule="auto"/>
        <w:rPr>
          <w:sz w:val="20"/>
          <w:szCs w:val="20"/>
        </w:rPr>
      </w:pPr>
      <w:r w:rsidRPr="006F30B4">
        <w:rPr>
          <w:sz w:val="20"/>
          <w:szCs w:val="20"/>
        </w:rPr>
        <w:t xml:space="preserve">Dupont, E., </w:t>
      </w:r>
      <w:proofErr w:type="spellStart"/>
      <w:r w:rsidRPr="006F30B4">
        <w:rPr>
          <w:sz w:val="20"/>
          <w:szCs w:val="20"/>
        </w:rPr>
        <w:t>Koppelaar</w:t>
      </w:r>
      <w:proofErr w:type="spellEnd"/>
      <w:r w:rsidRPr="006F30B4">
        <w:rPr>
          <w:sz w:val="20"/>
          <w:szCs w:val="20"/>
        </w:rPr>
        <w:t xml:space="preserve">, R. &amp; </w:t>
      </w:r>
      <w:proofErr w:type="spellStart"/>
      <w:r w:rsidRPr="006F30B4">
        <w:rPr>
          <w:sz w:val="20"/>
          <w:szCs w:val="20"/>
        </w:rPr>
        <w:t>Jeanmart</w:t>
      </w:r>
      <w:proofErr w:type="spellEnd"/>
      <w:r w:rsidRPr="006F30B4">
        <w:rPr>
          <w:sz w:val="20"/>
          <w:szCs w:val="20"/>
        </w:rPr>
        <w:t xml:space="preserve">, H. Global available solar energy under physical and energy return on investment constraints. </w:t>
      </w:r>
      <w:r w:rsidRPr="00AA3DAD">
        <w:rPr>
          <w:i/>
          <w:iCs/>
          <w:sz w:val="20"/>
          <w:szCs w:val="20"/>
        </w:rPr>
        <w:t>Applied Energy</w:t>
      </w:r>
      <w:r w:rsidRPr="006F30B4">
        <w:rPr>
          <w:sz w:val="20"/>
          <w:szCs w:val="20"/>
        </w:rPr>
        <w:t xml:space="preserve"> </w:t>
      </w:r>
      <w:r w:rsidRPr="00AA3DAD">
        <w:rPr>
          <w:b/>
          <w:bCs/>
          <w:sz w:val="20"/>
          <w:szCs w:val="20"/>
        </w:rPr>
        <w:t>257</w:t>
      </w:r>
      <w:r w:rsidRPr="006F30B4">
        <w:rPr>
          <w:sz w:val="20"/>
          <w:szCs w:val="20"/>
        </w:rPr>
        <w:t>, 113968 (2020).</w:t>
      </w:r>
    </w:p>
    <w:p w14:paraId="328825B2" w14:textId="53F3E70E" w:rsidR="006F30B4" w:rsidRPr="006F30B4" w:rsidRDefault="006F30B4" w:rsidP="006F30B4">
      <w:pPr>
        <w:pStyle w:val="ListParagraph"/>
        <w:numPr>
          <w:ilvl w:val="0"/>
          <w:numId w:val="12"/>
        </w:numPr>
        <w:spacing w:line="240" w:lineRule="auto"/>
        <w:rPr>
          <w:sz w:val="20"/>
          <w:szCs w:val="20"/>
        </w:rPr>
      </w:pPr>
      <w:r w:rsidRPr="006F30B4">
        <w:rPr>
          <w:sz w:val="20"/>
          <w:szCs w:val="20"/>
        </w:rPr>
        <w:t xml:space="preserve">Hochman, G., Goldman, A.S., Felder, F.A., Mayer, J.M., Miller, A.J., Holland, P.L., Goldman, L.A., </w:t>
      </w:r>
      <w:proofErr w:type="spellStart"/>
      <w:r w:rsidRPr="006F30B4">
        <w:rPr>
          <w:sz w:val="20"/>
          <w:szCs w:val="20"/>
        </w:rPr>
        <w:t>Manocha</w:t>
      </w:r>
      <w:proofErr w:type="spellEnd"/>
      <w:r w:rsidRPr="006F30B4">
        <w:rPr>
          <w:sz w:val="20"/>
          <w:szCs w:val="20"/>
        </w:rPr>
        <w:t xml:space="preserve">, P., Song, Z. &amp; </w:t>
      </w:r>
      <w:proofErr w:type="spellStart"/>
      <w:r w:rsidRPr="006F30B4">
        <w:rPr>
          <w:sz w:val="20"/>
          <w:szCs w:val="20"/>
        </w:rPr>
        <w:t>Aleti</w:t>
      </w:r>
      <w:proofErr w:type="spellEnd"/>
      <w:r w:rsidRPr="006F30B4">
        <w:rPr>
          <w:sz w:val="20"/>
          <w:szCs w:val="20"/>
        </w:rPr>
        <w:t xml:space="preserve">, S. Potential economic feasibility of direct electrochemical nitrogen reduction as a route to ammonia. </w:t>
      </w:r>
      <w:r w:rsidRPr="00AA3DAD">
        <w:rPr>
          <w:i/>
          <w:iCs/>
          <w:sz w:val="20"/>
          <w:szCs w:val="20"/>
        </w:rPr>
        <w:t xml:space="preserve">ACS </w:t>
      </w:r>
      <w:r w:rsidR="00AA3DAD">
        <w:rPr>
          <w:i/>
          <w:iCs/>
          <w:sz w:val="20"/>
          <w:szCs w:val="20"/>
        </w:rPr>
        <w:t>S</w:t>
      </w:r>
      <w:r w:rsidRPr="00AA3DAD">
        <w:rPr>
          <w:i/>
          <w:iCs/>
          <w:sz w:val="20"/>
          <w:szCs w:val="20"/>
        </w:rPr>
        <w:t xml:space="preserve">ustainable </w:t>
      </w:r>
      <w:r w:rsidR="00AA3DAD">
        <w:rPr>
          <w:i/>
          <w:iCs/>
          <w:sz w:val="20"/>
          <w:szCs w:val="20"/>
        </w:rPr>
        <w:t>C</w:t>
      </w:r>
      <w:r w:rsidRPr="00AA3DAD">
        <w:rPr>
          <w:i/>
          <w:iCs/>
          <w:sz w:val="20"/>
          <w:szCs w:val="20"/>
        </w:rPr>
        <w:t xml:space="preserve">hemistry &amp; </w:t>
      </w:r>
      <w:r w:rsidR="00AA3DAD">
        <w:rPr>
          <w:i/>
          <w:iCs/>
          <w:sz w:val="20"/>
          <w:szCs w:val="20"/>
        </w:rPr>
        <w:t>E</w:t>
      </w:r>
      <w:r w:rsidRPr="00AA3DAD">
        <w:rPr>
          <w:i/>
          <w:iCs/>
          <w:sz w:val="20"/>
          <w:szCs w:val="20"/>
        </w:rPr>
        <w:t>ngineering</w:t>
      </w:r>
      <w:r w:rsidRPr="006F30B4">
        <w:rPr>
          <w:sz w:val="20"/>
          <w:szCs w:val="20"/>
        </w:rPr>
        <w:t xml:space="preserve"> </w:t>
      </w:r>
      <w:r w:rsidRPr="00AA3DAD">
        <w:rPr>
          <w:b/>
          <w:bCs/>
          <w:sz w:val="20"/>
          <w:szCs w:val="20"/>
        </w:rPr>
        <w:t>8(24)</w:t>
      </w:r>
      <w:r w:rsidRPr="006F30B4">
        <w:rPr>
          <w:sz w:val="20"/>
          <w:szCs w:val="20"/>
        </w:rPr>
        <w:t>, 8938-8948 (2020).</w:t>
      </w:r>
    </w:p>
    <w:p w14:paraId="2C1AF7E1" w14:textId="21DB6029" w:rsidR="006F30B4" w:rsidRPr="006F30B4" w:rsidRDefault="006F30B4" w:rsidP="006F30B4">
      <w:pPr>
        <w:pStyle w:val="ListParagraph"/>
        <w:numPr>
          <w:ilvl w:val="0"/>
          <w:numId w:val="12"/>
        </w:numPr>
        <w:spacing w:line="240" w:lineRule="auto"/>
        <w:rPr>
          <w:sz w:val="20"/>
          <w:szCs w:val="20"/>
        </w:rPr>
      </w:pPr>
      <w:r w:rsidRPr="006F30B4">
        <w:rPr>
          <w:sz w:val="20"/>
          <w:szCs w:val="20"/>
        </w:rPr>
        <w:t xml:space="preserve">Everall, J., &amp; </w:t>
      </w:r>
      <w:proofErr w:type="spellStart"/>
      <w:r w:rsidRPr="006F30B4">
        <w:rPr>
          <w:sz w:val="20"/>
          <w:szCs w:val="20"/>
        </w:rPr>
        <w:t>Ueckerdt</w:t>
      </w:r>
      <w:proofErr w:type="spellEnd"/>
      <w:r w:rsidRPr="006F30B4">
        <w:rPr>
          <w:sz w:val="20"/>
          <w:szCs w:val="20"/>
        </w:rPr>
        <w:t xml:space="preserve">, F. Electrolyser CAPEX and efficiency data for: Potential and risks of hydrogen-based e-fuels in climate change mitigation. </w:t>
      </w:r>
      <w:hyperlink r:id="rId18" w:history="1">
        <w:r w:rsidRPr="00696118">
          <w:rPr>
            <w:rStyle w:val="Hyperlink"/>
            <w:sz w:val="20"/>
            <w:szCs w:val="20"/>
          </w:rPr>
          <w:t>https://doi.org/10.5281/zenodo.4619892</w:t>
        </w:r>
      </w:hyperlink>
      <w:r>
        <w:rPr>
          <w:sz w:val="20"/>
          <w:szCs w:val="20"/>
        </w:rPr>
        <w:t xml:space="preserve"> </w:t>
      </w:r>
      <w:r w:rsidRPr="006F30B4">
        <w:rPr>
          <w:sz w:val="20"/>
          <w:szCs w:val="20"/>
        </w:rPr>
        <w:t>(2021).</w:t>
      </w:r>
    </w:p>
    <w:p w14:paraId="21A440E4" w14:textId="7B81AB2E" w:rsidR="006F30B4" w:rsidRPr="006F30B4" w:rsidRDefault="006F30B4" w:rsidP="006F30B4">
      <w:pPr>
        <w:pStyle w:val="ListParagraph"/>
        <w:numPr>
          <w:ilvl w:val="0"/>
          <w:numId w:val="12"/>
        </w:numPr>
        <w:spacing w:line="240" w:lineRule="auto"/>
        <w:rPr>
          <w:sz w:val="20"/>
          <w:szCs w:val="20"/>
        </w:rPr>
      </w:pPr>
      <w:r w:rsidRPr="006F30B4">
        <w:rPr>
          <w:sz w:val="20"/>
          <w:szCs w:val="20"/>
        </w:rPr>
        <w:t xml:space="preserve">Nayak-Luke, R.M. &amp; </w:t>
      </w:r>
      <w:proofErr w:type="spellStart"/>
      <w:r w:rsidRPr="006F30B4">
        <w:rPr>
          <w:sz w:val="20"/>
          <w:szCs w:val="20"/>
        </w:rPr>
        <w:t>Bañares-Alcántara</w:t>
      </w:r>
      <w:proofErr w:type="spellEnd"/>
      <w:r w:rsidRPr="006F30B4">
        <w:rPr>
          <w:sz w:val="20"/>
          <w:szCs w:val="20"/>
        </w:rPr>
        <w:t xml:space="preserve">, R. Techno-economic viability of islanded green ammonia as a carbon-free energy vector and as a substitute for conventional production. </w:t>
      </w:r>
      <w:r w:rsidRPr="00AA3DAD">
        <w:rPr>
          <w:i/>
          <w:iCs/>
          <w:sz w:val="20"/>
          <w:szCs w:val="20"/>
        </w:rPr>
        <w:t>Energy &amp; Environmental Scienc</w:t>
      </w:r>
      <w:r w:rsidR="00AA3DAD">
        <w:rPr>
          <w:i/>
          <w:iCs/>
          <w:sz w:val="20"/>
          <w:szCs w:val="20"/>
        </w:rPr>
        <w:t>e</w:t>
      </w:r>
      <w:r w:rsidRPr="006F30B4">
        <w:rPr>
          <w:sz w:val="20"/>
          <w:szCs w:val="20"/>
        </w:rPr>
        <w:t xml:space="preserve"> </w:t>
      </w:r>
      <w:r w:rsidRPr="00AA3DAD">
        <w:rPr>
          <w:b/>
          <w:bCs/>
          <w:sz w:val="20"/>
          <w:szCs w:val="20"/>
        </w:rPr>
        <w:t>13(9)</w:t>
      </w:r>
      <w:r w:rsidRPr="006F30B4">
        <w:rPr>
          <w:sz w:val="20"/>
          <w:szCs w:val="20"/>
        </w:rPr>
        <w:t>, 2957-2966 (2020).</w:t>
      </w:r>
    </w:p>
    <w:p w14:paraId="768997C1" w14:textId="355A2F9D" w:rsidR="00763519" w:rsidRPr="006F30B4" w:rsidRDefault="006F30B4" w:rsidP="006F30B4">
      <w:pPr>
        <w:pStyle w:val="ListParagraph"/>
        <w:numPr>
          <w:ilvl w:val="0"/>
          <w:numId w:val="12"/>
        </w:numPr>
        <w:spacing w:line="240" w:lineRule="auto"/>
        <w:rPr>
          <w:sz w:val="20"/>
          <w:szCs w:val="20"/>
        </w:rPr>
      </w:pPr>
      <w:r w:rsidRPr="006F30B4">
        <w:rPr>
          <w:sz w:val="20"/>
          <w:szCs w:val="20"/>
        </w:rPr>
        <w:t xml:space="preserve">Martín, A.J., Shinagawa, T. &amp; Pérez-Ramírez, J. Electrocatalytic reduction of nitrogen: from Haber-Bosch to ammonia artificial leaf. </w:t>
      </w:r>
      <w:r w:rsidRPr="00AA3DAD">
        <w:rPr>
          <w:i/>
          <w:iCs/>
          <w:sz w:val="20"/>
          <w:szCs w:val="20"/>
        </w:rPr>
        <w:t>Chem</w:t>
      </w:r>
      <w:r w:rsidRPr="006F30B4">
        <w:rPr>
          <w:sz w:val="20"/>
          <w:szCs w:val="20"/>
        </w:rPr>
        <w:t xml:space="preserve"> </w:t>
      </w:r>
      <w:r w:rsidRPr="00AA3DAD">
        <w:rPr>
          <w:b/>
          <w:bCs/>
          <w:sz w:val="20"/>
          <w:szCs w:val="20"/>
        </w:rPr>
        <w:t>5(2)</w:t>
      </w:r>
      <w:r w:rsidRPr="006F30B4">
        <w:rPr>
          <w:sz w:val="20"/>
          <w:szCs w:val="20"/>
        </w:rPr>
        <w:t>, 263-283 (2019).</w:t>
      </w:r>
    </w:p>
    <w:sectPr w:rsidR="00763519" w:rsidRPr="006F30B4" w:rsidSect="00D526F3">
      <w:type w:val="continuous"/>
      <w:pgSz w:w="12240" w:h="15840"/>
      <w:pgMar w:top="1440" w:right="1440" w:bottom="1440" w:left="1440" w:header="720" w:footer="720"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C3D7C1E" w14:textId="77777777" w:rsidR="008202C0" w:rsidRDefault="008202C0" w:rsidP="008202C0">
      <w:pPr>
        <w:spacing w:line="240" w:lineRule="auto"/>
      </w:pPr>
      <w:r>
        <w:separator/>
      </w:r>
    </w:p>
  </w:endnote>
  <w:endnote w:type="continuationSeparator" w:id="0">
    <w:p w14:paraId="744932CF" w14:textId="77777777" w:rsidR="008202C0" w:rsidRDefault="008202C0" w:rsidP="008202C0">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mbria Math">
    <w:panose1 w:val="02040503050406030204"/>
    <w:charset w:val="00"/>
    <w:family w:val="roman"/>
    <w:pitch w:val="variable"/>
    <w:sig w:usb0="E00002FF" w:usb1="420024FF" w:usb2="00000000" w:usb3="00000000" w:csb0="0000019F" w:csb1="00000000"/>
  </w:font>
  <w:font w:name="Cardo">
    <w:altName w:val="Calibri"/>
    <w:panose1 w:val="020B0604020202020204"/>
    <w:charset w:val="00"/>
    <w:family w:val="auto"/>
    <w:pitch w:val="default"/>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2057040119"/>
      <w:docPartObj>
        <w:docPartGallery w:val="Page Numbers (Bottom of Page)"/>
        <w:docPartUnique/>
      </w:docPartObj>
    </w:sdtPr>
    <w:sdtEndPr>
      <w:rPr>
        <w:rStyle w:val="PageNumber"/>
      </w:rPr>
    </w:sdtEndPr>
    <w:sdtContent>
      <w:p w14:paraId="6E88607D" w14:textId="4092081D" w:rsidR="008202C0" w:rsidRDefault="008202C0" w:rsidP="00696118">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28235533" w14:textId="77777777" w:rsidR="008202C0" w:rsidRDefault="008202C0" w:rsidP="008202C0">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493019507"/>
      <w:docPartObj>
        <w:docPartGallery w:val="Page Numbers (Bottom of Page)"/>
        <w:docPartUnique/>
      </w:docPartObj>
    </w:sdtPr>
    <w:sdtEndPr>
      <w:rPr>
        <w:rStyle w:val="PageNumber"/>
      </w:rPr>
    </w:sdtEndPr>
    <w:sdtContent>
      <w:p w14:paraId="647E35C3" w14:textId="24C362B2" w:rsidR="008202C0" w:rsidRDefault="008202C0" w:rsidP="00696118">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5D641B75" w14:textId="77777777" w:rsidR="008202C0" w:rsidRDefault="008202C0" w:rsidP="008202C0">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04FB8C8" w14:textId="77777777" w:rsidR="008202C0" w:rsidRDefault="008202C0" w:rsidP="008202C0">
      <w:pPr>
        <w:spacing w:line="240" w:lineRule="auto"/>
      </w:pPr>
      <w:r>
        <w:separator/>
      </w:r>
    </w:p>
  </w:footnote>
  <w:footnote w:type="continuationSeparator" w:id="0">
    <w:p w14:paraId="4559FFB6" w14:textId="77777777" w:rsidR="008202C0" w:rsidRDefault="008202C0" w:rsidP="008202C0">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A63292"/>
    <w:multiLevelType w:val="hybridMultilevel"/>
    <w:tmpl w:val="7D521990"/>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 w15:restartNumberingAfterBreak="0">
    <w:nsid w:val="11A5225B"/>
    <w:multiLevelType w:val="multilevel"/>
    <w:tmpl w:val="505E8D9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20686584"/>
    <w:multiLevelType w:val="hybridMultilevel"/>
    <w:tmpl w:val="736204B2"/>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 w15:restartNumberingAfterBreak="0">
    <w:nsid w:val="213E05C2"/>
    <w:multiLevelType w:val="multilevel"/>
    <w:tmpl w:val="4A5ADE6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15:restartNumberingAfterBreak="0">
    <w:nsid w:val="2C0C0B0F"/>
    <w:multiLevelType w:val="multilevel"/>
    <w:tmpl w:val="EDDA621E"/>
    <w:lvl w:ilvl="0">
      <w:start w:val="1"/>
      <w:numFmt w:val="bullet"/>
      <w:lvlText w:val=""/>
      <w:lvlJc w:val="left"/>
      <w:pPr>
        <w:ind w:left="720" w:hanging="360"/>
      </w:pPr>
      <w:rPr>
        <w:rFonts w:ascii="Symbol" w:hAnsi="Symbol" w:hint="default"/>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5" w15:restartNumberingAfterBreak="0">
    <w:nsid w:val="3DB80368"/>
    <w:multiLevelType w:val="multilevel"/>
    <w:tmpl w:val="D766F2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15:restartNumberingAfterBreak="0">
    <w:nsid w:val="47C05A68"/>
    <w:multiLevelType w:val="hybridMultilevel"/>
    <w:tmpl w:val="FD7AEE3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4AB82AF4"/>
    <w:multiLevelType w:val="multilevel"/>
    <w:tmpl w:val="0964C2D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15:restartNumberingAfterBreak="0">
    <w:nsid w:val="546910E8"/>
    <w:multiLevelType w:val="hybridMultilevel"/>
    <w:tmpl w:val="A7C6DC3E"/>
    <w:lvl w:ilvl="0" w:tplc="0809000F">
      <w:start w:val="1"/>
      <w:numFmt w:val="decimal"/>
      <w:lvlText w:val="%1."/>
      <w:lvlJc w:val="lef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9" w15:restartNumberingAfterBreak="0">
    <w:nsid w:val="55AA2BE2"/>
    <w:multiLevelType w:val="multilevel"/>
    <w:tmpl w:val="EDDA621E"/>
    <w:lvl w:ilvl="0">
      <w:start w:val="1"/>
      <w:numFmt w:val="bullet"/>
      <w:lvlText w:val=""/>
      <w:lvlJc w:val="left"/>
      <w:pPr>
        <w:ind w:left="720" w:hanging="360"/>
      </w:pPr>
      <w:rPr>
        <w:rFonts w:ascii="Symbol" w:hAnsi="Symbol" w:hint="default"/>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0" w15:restartNumberingAfterBreak="0">
    <w:nsid w:val="619B36DA"/>
    <w:multiLevelType w:val="hybridMultilevel"/>
    <w:tmpl w:val="EF287A4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7BE01956"/>
    <w:multiLevelType w:val="multilevel"/>
    <w:tmpl w:val="547461CE"/>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16cid:durableId="792940675">
    <w:abstractNumId w:val="5"/>
  </w:num>
  <w:num w:numId="2" w16cid:durableId="2013530987">
    <w:abstractNumId w:val="9"/>
  </w:num>
  <w:num w:numId="3" w16cid:durableId="1200626267">
    <w:abstractNumId w:val="7"/>
  </w:num>
  <w:num w:numId="4" w16cid:durableId="1185165974">
    <w:abstractNumId w:val="11"/>
  </w:num>
  <w:num w:numId="5" w16cid:durableId="1763605071">
    <w:abstractNumId w:val="1"/>
  </w:num>
  <w:num w:numId="6" w16cid:durableId="227345985">
    <w:abstractNumId w:val="3"/>
  </w:num>
  <w:num w:numId="7" w16cid:durableId="1854949717">
    <w:abstractNumId w:val="4"/>
  </w:num>
  <w:num w:numId="8" w16cid:durableId="71855790">
    <w:abstractNumId w:val="8"/>
  </w:num>
  <w:num w:numId="9" w16cid:durableId="670448021">
    <w:abstractNumId w:val="6"/>
  </w:num>
  <w:num w:numId="10" w16cid:durableId="2138404726">
    <w:abstractNumId w:val="10"/>
  </w:num>
  <w:num w:numId="11" w16cid:durableId="2068604294">
    <w:abstractNumId w:val="2"/>
  </w:num>
  <w:num w:numId="12" w16cid:durableId="9637337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734FE"/>
    <w:rsid w:val="00022A6F"/>
    <w:rsid w:val="000B0D87"/>
    <w:rsid w:val="000B1382"/>
    <w:rsid w:val="00110D06"/>
    <w:rsid w:val="00117835"/>
    <w:rsid w:val="00122DB8"/>
    <w:rsid w:val="001A5EEF"/>
    <w:rsid w:val="001D7811"/>
    <w:rsid w:val="002C7BCE"/>
    <w:rsid w:val="00326F84"/>
    <w:rsid w:val="00331239"/>
    <w:rsid w:val="0037059F"/>
    <w:rsid w:val="00375B4D"/>
    <w:rsid w:val="003A0D21"/>
    <w:rsid w:val="003D6ED4"/>
    <w:rsid w:val="003F61AD"/>
    <w:rsid w:val="00400B6D"/>
    <w:rsid w:val="00422125"/>
    <w:rsid w:val="00436AD4"/>
    <w:rsid w:val="00496804"/>
    <w:rsid w:val="004F1A23"/>
    <w:rsid w:val="00534747"/>
    <w:rsid w:val="0057653A"/>
    <w:rsid w:val="00576580"/>
    <w:rsid w:val="005C3C25"/>
    <w:rsid w:val="00613D60"/>
    <w:rsid w:val="006360F5"/>
    <w:rsid w:val="00651C29"/>
    <w:rsid w:val="00653E1D"/>
    <w:rsid w:val="00664E46"/>
    <w:rsid w:val="006F30B4"/>
    <w:rsid w:val="00763519"/>
    <w:rsid w:val="00792214"/>
    <w:rsid w:val="007B271D"/>
    <w:rsid w:val="007D7B50"/>
    <w:rsid w:val="008202C0"/>
    <w:rsid w:val="00821BDC"/>
    <w:rsid w:val="0087754C"/>
    <w:rsid w:val="008E1C2B"/>
    <w:rsid w:val="008F4626"/>
    <w:rsid w:val="00936C19"/>
    <w:rsid w:val="00947808"/>
    <w:rsid w:val="009A233F"/>
    <w:rsid w:val="009E0FEA"/>
    <w:rsid w:val="00A15DDA"/>
    <w:rsid w:val="00A17755"/>
    <w:rsid w:val="00A81976"/>
    <w:rsid w:val="00AA3DAD"/>
    <w:rsid w:val="00AA5C79"/>
    <w:rsid w:val="00AE60AD"/>
    <w:rsid w:val="00B16334"/>
    <w:rsid w:val="00B16CDB"/>
    <w:rsid w:val="00BE4FD3"/>
    <w:rsid w:val="00C132EE"/>
    <w:rsid w:val="00C44B88"/>
    <w:rsid w:val="00C45701"/>
    <w:rsid w:val="00C90CB2"/>
    <w:rsid w:val="00CA0E15"/>
    <w:rsid w:val="00D05C50"/>
    <w:rsid w:val="00D07550"/>
    <w:rsid w:val="00D40BDC"/>
    <w:rsid w:val="00D526F3"/>
    <w:rsid w:val="00D71D5E"/>
    <w:rsid w:val="00D72E51"/>
    <w:rsid w:val="00DA53E0"/>
    <w:rsid w:val="00E10132"/>
    <w:rsid w:val="00E13A6F"/>
    <w:rsid w:val="00E65E9A"/>
    <w:rsid w:val="00E75507"/>
    <w:rsid w:val="00EE298F"/>
    <w:rsid w:val="00F248FD"/>
    <w:rsid w:val="00F37632"/>
    <w:rsid w:val="00F44208"/>
    <w:rsid w:val="00F734FE"/>
    <w:rsid w:val="00F745AF"/>
    <w:rsid w:val="00FA039E"/>
    <w:rsid w:val="00FA042E"/>
    <w:rsid w:val="00FB6830"/>
  </w:rsids>
  <m:mathPr>
    <m:mathFont m:val="Cambria Math"/>
    <m:brkBin m:val="before"/>
    <m:brkBinSub m:val="--"/>
    <m:smallFrac m:val="0"/>
    <m:dispDef/>
    <m:lMargin m:val="0"/>
    <m:rMargin m:val="0"/>
    <m:defJc m:val="centerGroup"/>
    <m:wrapIndent m:val="1440"/>
    <m:intLim m:val="subSup"/>
    <m:naryLim m:val="undOvr"/>
  </m:mathPr>
  <w:themeFontLang w:val="en-B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39AF09"/>
  <w15:chartTrackingRefBased/>
  <w15:docId w15:val="{8655E48E-770D-234F-B574-C2D08D38D3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BE" w:eastAsia="en-US" w:bidi="ar-SA"/>
      </w:rPr>
    </w:rPrDefault>
    <w:pPrDefault>
      <w:pPr>
        <w:ind w:firstLine="284"/>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17835"/>
    <w:pPr>
      <w:spacing w:line="312" w:lineRule="auto"/>
      <w:ind w:firstLine="720"/>
    </w:pPr>
    <w:rPr>
      <w:rFonts w:ascii="Times New Roman" w:eastAsia="Times New Roman" w:hAnsi="Times New Roman" w:cs="Times New Roman"/>
      <w:sz w:val="22"/>
      <w:szCs w:val="22"/>
      <w:highlight w:val="white"/>
      <w:lang w:val="en" w:eastAsia="en-GB"/>
    </w:rPr>
  </w:style>
  <w:style w:type="paragraph" w:styleId="Heading1">
    <w:name w:val="heading 1"/>
    <w:basedOn w:val="Normal"/>
    <w:next w:val="Normal"/>
    <w:link w:val="Heading1Char"/>
    <w:uiPriority w:val="9"/>
    <w:qFormat/>
    <w:rsid w:val="00D40BDC"/>
    <w:pPr>
      <w:keepNext/>
      <w:keepLines/>
      <w:spacing w:before="400" w:after="120"/>
      <w:ind w:firstLine="0"/>
      <w:outlineLvl w:val="0"/>
    </w:pPr>
    <w:rPr>
      <w:b/>
      <w:highlight w:val="none"/>
    </w:rPr>
  </w:style>
  <w:style w:type="paragraph" w:styleId="Heading2">
    <w:name w:val="heading 2"/>
    <w:basedOn w:val="Normal"/>
    <w:next w:val="Normal"/>
    <w:link w:val="Heading2Char"/>
    <w:uiPriority w:val="9"/>
    <w:unhideWhenUsed/>
    <w:qFormat/>
    <w:rsid w:val="00D40BDC"/>
    <w:pPr>
      <w:keepNext/>
      <w:keepLines/>
      <w:spacing w:line="360" w:lineRule="auto"/>
      <w:ind w:firstLine="0"/>
      <w:outlineLvl w:val="1"/>
    </w:pPr>
    <w:rPr>
      <w:b/>
      <w:highlight w:val="none"/>
    </w:rPr>
  </w:style>
  <w:style w:type="paragraph" w:styleId="Heading3">
    <w:name w:val="heading 3"/>
    <w:basedOn w:val="Normal"/>
    <w:next w:val="Normal"/>
    <w:link w:val="Heading3Char"/>
    <w:uiPriority w:val="9"/>
    <w:unhideWhenUsed/>
    <w:qFormat/>
    <w:rsid w:val="00D40BDC"/>
    <w:pPr>
      <w:keepNext/>
      <w:keepLines/>
      <w:spacing w:before="320" w:after="80"/>
      <w:ind w:firstLine="0"/>
      <w:outlineLvl w:val="2"/>
    </w:pPr>
    <w:rPr>
      <w:b/>
      <w:sz w:val="24"/>
      <w:szCs w:val="24"/>
      <w:highlight w: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40BDC"/>
    <w:rPr>
      <w:rFonts w:ascii="Times New Roman" w:eastAsia="Times New Roman" w:hAnsi="Times New Roman" w:cs="Times New Roman"/>
      <w:b/>
      <w:sz w:val="22"/>
      <w:szCs w:val="22"/>
      <w:lang w:val="en" w:eastAsia="en-GB"/>
    </w:rPr>
  </w:style>
  <w:style w:type="character" w:customStyle="1" w:styleId="Heading2Char">
    <w:name w:val="Heading 2 Char"/>
    <w:basedOn w:val="DefaultParagraphFont"/>
    <w:link w:val="Heading2"/>
    <w:uiPriority w:val="9"/>
    <w:rsid w:val="00D40BDC"/>
    <w:rPr>
      <w:rFonts w:ascii="Times New Roman" w:eastAsia="Times New Roman" w:hAnsi="Times New Roman" w:cs="Times New Roman"/>
      <w:b/>
      <w:sz w:val="22"/>
      <w:szCs w:val="22"/>
      <w:lang w:val="en" w:eastAsia="en-GB"/>
    </w:rPr>
  </w:style>
  <w:style w:type="character" w:customStyle="1" w:styleId="Heading3Char">
    <w:name w:val="Heading 3 Char"/>
    <w:basedOn w:val="DefaultParagraphFont"/>
    <w:link w:val="Heading3"/>
    <w:uiPriority w:val="9"/>
    <w:rsid w:val="00D40BDC"/>
    <w:rPr>
      <w:rFonts w:ascii="Times New Roman" w:eastAsia="Times New Roman" w:hAnsi="Times New Roman" w:cs="Times New Roman"/>
      <w:b/>
      <w:lang w:val="en" w:eastAsia="en-GB"/>
    </w:rPr>
  </w:style>
  <w:style w:type="character" w:styleId="LineNumber">
    <w:name w:val="line number"/>
    <w:basedOn w:val="DefaultParagraphFont"/>
    <w:uiPriority w:val="99"/>
    <w:semiHidden/>
    <w:unhideWhenUsed/>
    <w:rsid w:val="00117835"/>
  </w:style>
  <w:style w:type="paragraph" w:styleId="ListParagraph">
    <w:name w:val="List Paragraph"/>
    <w:basedOn w:val="Normal"/>
    <w:uiPriority w:val="34"/>
    <w:qFormat/>
    <w:rsid w:val="009E0FEA"/>
    <w:pPr>
      <w:ind w:left="720"/>
      <w:contextualSpacing/>
    </w:pPr>
  </w:style>
  <w:style w:type="character" w:styleId="Hyperlink">
    <w:name w:val="Hyperlink"/>
    <w:basedOn w:val="DefaultParagraphFont"/>
    <w:uiPriority w:val="99"/>
    <w:unhideWhenUsed/>
    <w:rsid w:val="004F1A23"/>
    <w:rPr>
      <w:color w:val="0563C1" w:themeColor="hyperlink"/>
      <w:u w:val="single"/>
    </w:rPr>
  </w:style>
  <w:style w:type="character" w:styleId="UnresolvedMention">
    <w:name w:val="Unresolved Mention"/>
    <w:basedOn w:val="DefaultParagraphFont"/>
    <w:uiPriority w:val="99"/>
    <w:semiHidden/>
    <w:unhideWhenUsed/>
    <w:rsid w:val="004F1A23"/>
    <w:rPr>
      <w:color w:val="605E5C"/>
      <w:shd w:val="clear" w:color="auto" w:fill="E1DFDD"/>
    </w:rPr>
  </w:style>
  <w:style w:type="paragraph" w:styleId="Footer">
    <w:name w:val="footer"/>
    <w:basedOn w:val="Normal"/>
    <w:link w:val="FooterChar"/>
    <w:uiPriority w:val="99"/>
    <w:unhideWhenUsed/>
    <w:rsid w:val="008202C0"/>
    <w:pPr>
      <w:tabs>
        <w:tab w:val="center" w:pos="4513"/>
        <w:tab w:val="right" w:pos="9026"/>
      </w:tabs>
      <w:spacing w:line="240" w:lineRule="auto"/>
    </w:pPr>
  </w:style>
  <w:style w:type="character" w:customStyle="1" w:styleId="FooterChar">
    <w:name w:val="Footer Char"/>
    <w:basedOn w:val="DefaultParagraphFont"/>
    <w:link w:val="Footer"/>
    <w:uiPriority w:val="99"/>
    <w:rsid w:val="008202C0"/>
    <w:rPr>
      <w:rFonts w:ascii="Times New Roman" w:eastAsia="Times New Roman" w:hAnsi="Times New Roman" w:cs="Times New Roman"/>
      <w:sz w:val="22"/>
      <w:szCs w:val="22"/>
      <w:highlight w:val="white"/>
      <w:lang w:val="en" w:eastAsia="en-GB"/>
    </w:rPr>
  </w:style>
  <w:style w:type="character" w:styleId="PageNumber">
    <w:name w:val="page number"/>
    <w:basedOn w:val="DefaultParagraphFont"/>
    <w:uiPriority w:val="99"/>
    <w:semiHidden/>
    <w:unhideWhenUsed/>
    <w:rsid w:val="008202C0"/>
  </w:style>
  <w:style w:type="character" w:styleId="PlaceholderText">
    <w:name w:val="Placeholder Text"/>
    <w:basedOn w:val="DefaultParagraphFont"/>
    <w:uiPriority w:val="99"/>
    <w:semiHidden/>
    <w:rsid w:val="00E10132"/>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00341115">
      <w:bodyDiv w:val="1"/>
      <w:marLeft w:val="0"/>
      <w:marRight w:val="0"/>
      <w:marTop w:val="0"/>
      <w:marBottom w:val="0"/>
      <w:divBdr>
        <w:top w:val="none" w:sz="0" w:space="0" w:color="auto"/>
        <w:left w:val="none" w:sz="0" w:space="0" w:color="auto"/>
        <w:bottom w:val="none" w:sz="0" w:space="0" w:color="auto"/>
        <w:right w:val="none" w:sz="0" w:space="0" w:color="auto"/>
      </w:divBdr>
    </w:div>
    <w:div w:id="20305222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s://www.ecb.europa.eu/stats/policy_and_exchange_rates/euro_reference_exchange_rates/html/eurofxref-graph-usd.en.html" TargetMode="External"/><Relationship Id="rId18" Type="http://schemas.openxmlformats.org/officeDocument/2006/relationships/hyperlink" Target="https://doi.org/10.5281/zenodo.4619892"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3.png"/><Relationship Id="rId17" Type="http://schemas.openxmlformats.org/officeDocument/2006/relationships/hyperlink" Target="https://globalsolaratlas.info/map" TargetMode="External"/><Relationship Id="rId2" Type="http://schemas.openxmlformats.org/officeDocument/2006/relationships/numbering" Target="numbering.xml"/><Relationship Id="rId16" Type="http://schemas.openxmlformats.org/officeDocument/2006/relationships/hyperlink" Target="https://www.iea.org/reports/net-zero-by-2050"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png"/><Relationship Id="rId5" Type="http://schemas.openxmlformats.org/officeDocument/2006/relationships/webSettings" Target="webSettings.xml"/><Relationship Id="rId15" Type="http://schemas.openxmlformats.org/officeDocument/2006/relationships/hyperlink" Target="https://atb.nrel.gov/" TargetMode="External"/><Relationship Id="rId10" Type="http://schemas.openxmlformats.org/officeDocument/2006/relationships/footer" Target="footer2.xm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yperlink" Target="https://www.ecb.europa.eu/stats/policy_and_exchange_rates/euro_reference_exchange_rates/html/eurofxref-graph-usd.en.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B302DCD-1BE4-C741-9080-7635398D40F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179</TotalTime>
  <Pages>8</Pages>
  <Words>2132</Words>
  <Characters>12155</Characters>
  <Application>Microsoft Office Word</Application>
  <DocSecurity>0</DocSecurity>
  <Lines>101</Lines>
  <Paragraphs>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14259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Davide Tonelli</dc:creator>
  <cp:keywords/>
  <dc:description/>
  <cp:lastModifiedBy>Davide Tonelli</cp:lastModifiedBy>
  <cp:revision>62</cp:revision>
  <dcterms:created xsi:type="dcterms:W3CDTF">2023-08-25T11:53:00Z</dcterms:created>
  <dcterms:modified xsi:type="dcterms:W3CDTF">2023-08-27T13:29:00Z</dcterms:modified>
</cp:coreProperties>
</file>