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471A2" w14:textId="54F5A4CC" w:rsidR="00AE60A7" w:rsidRPr="002217E4" w:rsidRDefault="002974E6" w:rsidP="00AD15ED">
      <w:pPr>
        <w:spacing w:line="360" w:lineRule="auto"/>
        <w:rPr>
          <w:rFonts w:asciiTheme="majorBidi" w:hAnsiTheme="majorBidi" w:cstheme="majorBidi"/>
          <w:sz w:val="20"/>
          <w:szCs w:val="20"/>
        </w:rPr>
      </w:pPr>
      <w:r w:rsidRPr="002217E4">
        <w:rPr>
          <w:rFonts w:asciiTheme="majorBidi" w:hAnsiTheme="majorBidi" w:cstheme="majorBidi"/>
          <w:sz w:val="20"/>
          <w:szCs w:val="20"/>
        </w:rPr>
        <w:t>Supplementary</w:t>
      </w:r>
      <w:r w:rsidR="006866FB" w:rsidRPr="002217E4">
        <w:rPr>
          <w:rFonts w:asciiTheme="majorBidi" w:hAnsiTheme="majorBidi" w:cstheme="majorBidi"/>
          <w:sz w:val="20"/>
          <w:szCs w:val="20"/>
        </w:rPr>
        <w:t xml:space="preserve"> Information</w:t>
      </w:r>
      <w:r w:rsidRPr="002217E4">
        <w:rPr>
          <w:rFonts w:asciiTheme="majorBidi" w:hAnsiTheme="majorBidi" w:cstheme="majorBidi"/>
          <w:sz w:val="20"/>
          <w:szCs w:val="20"/>
        </w:rPr>
        <w:t>:</w:t>
      </w:r>
      <w:r w:rsidR="006866FB" w:rsidRPr="002217E4">
        <w:rPr>
          <w:rFonts w:asciiTheme="majorBidi" w:hAnsiTheme="majorBidi" w:cstheme="majorBidi"/>
          <w:sz w:val="20"/>
          <w:szCs w:val="20"/>
        </w:rPr>
        <w:t xml:space="preserve"> </w:t>
      </w:r>
    </w:p>
    <w:p w14:paraId="321A3AE0" w14:textId="77777777" w:rsidR="006866FB" w:rsidRPr="002217E4" w:rsidRDefault="006866FB" w:rsidP="00AD15ED">
      <w:pPr>
        <w:spacing w:line="360" w:lineRule="auto"/>
        <w:rPr>
          <w:rFonts w:asciiTheme="majorBidi" w:hAnsiTheme="majorBidi" w:cstheme="majorBidi"/>
          <w:sz w:val="20"/>
          <w:szCs w:val="20"/>
        </w:rPr>
      </w:pPr>
    </w:p>
    <w:p w14:paraId="0527D0AE" w14:textId="3533D4C9" w:rsidR="00211419" w:rsidRPr="00211419" w:rsidRDefault="00211419" w:rsidP="00211419">
      <w:pPr>
        <w:spacing w:line="360" w:lineRule="auto"/>
        <w:jc w:val="center"/>
        <w:rPr>
          <w:rFonts w:asciiTheme="majorBidi" w:hAnsiTheme="majorBidi" w:cstheme="majorBidi"/>
          <w:b/>
          <w:bCs/>
          <w:i/>
          <w:iCs/>
        </w:rPr>
      </w:pPr>
      <w:bookmarkStart w:id="0" w:name="_Hlk145319422"/>
      <w:r w:rsidRPr="00211419">
        <w:rPr>
          <w:rFonts w:asciiTheme="majorBidi" w:hAnsiTheme="majorBidi" w:cstheme="majorBidi"/>
          <w:b/>
          <w:bCs/>
        </w:rPr>
        <w:t xml:space="preserve">Targeted Co-Delivery of FOXM1 Aptamer and DOX By Nucleolin Aptamer-Functionalized pH-Responsive Biocompatible Nanodelivery System to Enhance Therapeutic Efficacy </w:t>
      </w:r>
      <w:r w:rsidR="00FF48AE">
        <w:rPr>
          <w:rFonts w:asciiTheme="majorBidi" w:hAnsiTheme="majorBidi" w:cstheme="majorBidi"/>
          <w:b/>
          <w:bCs/>
        </w:rPr>
        <w:t>A</w:t>
      </w:r>
      <w:r w:rsidRPr="00211419">
        <w:rPr>
          <w:rFonts w:asciiTheme="majorBidi" w:hAnsiTheme="majorBidi" w:cstheme="majorBidi"/>
          <w:b/>
          <w:bCs/>
        </w:rPr>
        <w:t xml:space="preserve">gainst Breast Cancer: </w:t>
      </w:r>
      <w:r w:rsidRPr="00211419">
        <w:rPr>
          <w:rFonts w:asciiTheme="majorBidi" w:hAnsiTheme="majorBidi" w:cstheme="majorBidi"/>
          <w:b/>
          <w:bCs/>
          <w:i/>
          <w:iCs/>
        </w:rPr>
        <w:t>In Vitro</w:t>
      </w:r>
      <w:r w:rsidRPr="00211419">
        <w:rPr>
          <w:rFonts w:asciiTheme="majorBidi" w:hAnsiTheme="majorBidi" w:cstheme="majorBidi"/>
          <w:b/>
          <w:bCs/>
        </w:rPr>
        <w:t xml:space="preserve"> and </w:t>
      </w:r>
      <w:r w:rsidRPr="00211419">
        <w:rPr>
          <w:rFonts w:asciiTheme="majorBidi" w:hAnsiTheme="majorBidi" w:cstheme="majorBidi"/>
          <w:b/>
          <w:bCs/>
          <w:i/>
          <w:iCs/>
        </w:rPr>
        <w:t>In Vivo</w:t>
      </w:r>
    </w:p>
    <w:bookmarkEnd w:id="0"/>
    <w:p w14:paraId="1BE3752B" w14:textId="77777777" w:rsidR="00B84DAD" w:rsidRPr="002217E4" w:rsidRDefault="00B84DAD" w:rsidP="006866FB">
      <w:pPr>
        <w:spacing w:line="360" w:lineRule="auto"/>
        <w:jc w:val="center"/>
        <w:rPr>
          <w:rFonts w:asciiTheme="majorBidi" w:hAnsiTheme="majorBidi" w:cstheme="majorBidi"/>
          <w:sz w:val="20"/>
          <w:szCs w:val="20"/>
        </w:rPr>
      </w:pPr>
    </w:p>
    <w:p w14:paraId="532E3DF5" w14:textId="77777777" w:rsidR="006866FB" w:rsidRPr="002217E4" w:rsidRDefault="006866FB" w:rsidP="0044152C">
      <w:pPr>
        <w:spacing w:line="360" w:lineRule="auto"/>
        <w:jc w:val="both"/>
        <w:rPr>
          <w:rFonts w:asciiTheme="majorBidi" w:hAnsiTheme="majorBidi" w:cstheme="majorBidi"/>
          <w:sz w:val="20"/>
          <w:szCs w:val="20"/>
          <w:vertAlign w:val="superscript"/>
        </w:rPr>
      </w:pPr>
      <w:r w:rsidRPr="002217E4">
        <w:rPr>
          <w:rFonts w:asciiTheme="majorBidi" w:hAnsiTheme="majorBidi" w:cstheme="majorBidi"/>
          <w:sz w:val="20"/>
          <w:szCs w:val="20"/>
        </w:rPr>
        <w:t>Mina Masoudi</w:t>
      </w:r>
      <w:r w:rsidRPr="002217E4">
        <w:rPr>
          <w:rFonts w:asciiTheme="majorBidi" w:hAnsiTheme="majorBidi" w:cstheme="majorBidi"/>
          <w:sz w:val="20"/>
          <w:szCs w:val="20"/>
          <w:vertAlign w:val="superscript"/>
        </w:rPr>
        <w:t>a</w:t>
      </w:r>
      <w:r w:rsidRPr="002217E4">
        <w:rPr>
          <w:rFonts w:asciiTheme="majorBidi" w:hAnsiTheme="majorBidi" w:cstheme="majorBidi"/>
          <w:sz w:val="20"/>
          <w:szCs w:val="20"/>
        </w:rPr>
        <w:t>, Seyed Mohammad Taghdisi</w:t>
      </w:r>
      <w:r w:rsidRPr="002217E4">
        <w:rPr>
          <w:rFonts w:asciiTheme="majorBidi" w:hAnsiTheme="majorBidi" w:cstheme="majorBidi"/>
          <w:sz w:val="20"/>
          <w:szCs w:val="20"/>
          <w:vertAlign w:val="superscript"/>
        </w:rPr>
        <w:t>b,c</w:t>
      </w:r>
      <w:r w:rsidRPr="002217E4">
        <w:rPr>
          <w:rFonts w:asciiTheme="majorBidi" w:hAnsiTheme="majorBidi" w:cstheme="majorBidi"/>
          <w:sz w:val="20"/>
          <w:szCs w:val="20"/>
        </w:rPr>
        <w:t>, Gholamreza Hashemitabar</w:t>
      </w:r>
      <w:r w:rsidRPr="002217E4">
        <w:rPr>
          <w:rFonts w:asciiTheme="majorBidi" w:hAnsiTheme="majorBidi" w:cstheme="majorBidi"/>
          <w:sz w:val="20"/>
          <w:szCs w:val="20"/>
          <w:vertAlign w:val="superscript"/>
        </w:rPr>
        <w:t>a,*</w:t>
      </w:r>
      <w:r w:rsidRPr="002217E4">
        <w:rPr>
          <w:rFonts w:asciiTheme="majorBidi" w:hAnsiTheme="majorBidi" w:cstheme="majorBidi"/>
          <w:sz w:val="20"/>
          <w:szCs w:val="20"/>
        </w:rPr>
        <w:t>, Khalil Abnous</w:t>
      </w:r>
      <w:r w:rsidRPr="002217E4">
        <w:rPr>
          <w:rFonts w:asciiTheme="majorBidi" w:hAnsiTheme="majorBidi" w:cstheme="majorBidi"/>
          <w:sz w:val="20"/>
          <w:szCs w:val="20"/>
          <w:vertAlign w:val="superscript"/>
        </w:rPr>
        <w:t>d,e,*</w:t>
      </w:r>
    </w:p>
    <w:p w14:paraId="300BB353" w14:textId="77777777" w:rsidR="006866FB" w:rsidRPr="002217E4" w:rsidRDefault="006866FB" w:rsidP="0044152C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2217E4">
        <w:rPr>
          <w:rFonts w:asciiTheme="majorBidi" w:hAnsiTheme="majorBidi" w:cstheme="majorBidi"/>
          <w:sz w:val="20"/>
          <w:szCs w:val="20"/>
          <w:vertAlign w:val="superscript"/>
        </w:rPr>
        <w:t>a</w:t>
      </w:r>
      <w:r w:rsidRPr="002217E4">
        <w:rPr>
          <w:rFonts w:asciiTheme="majorBidi" w:hAnsiTheme="majorBidi" w:cstheme="majorBidi"/>
          <w:sz w:val="20"/>
          <w:szCs w:val="20"/>
        </w:rPr>
        <w:t xml:space="preserve"> Department of Pathobiology, Faculty of Veterinary Medicine, Ferdowsi University of Mashhad, Mashhad, Iran</w:t>
      </w:r>
    </w:p>
    <w:p w14:paraId="4BEB5064" w14:textId="77777777" w:rsidR="006866FB" w:rsidRPr="002217E4" w:rsidRDefault="006866FB" w:rsidP="0044152C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2217E4">
        <w:rPr>
          <w:rFonts w:asciiTheme="majorBidi" w:hAnsiTheme="majorBidi" w:cstheme="majorBidi"/>
          <w:sz w:val="20"/>
          <w:szCs w:val="20"/>
          <w:vertAlign w:val="superscript"/>
        </w:rPr>
        <w:t>b</w:t>
      </w:r>
      <w:r w:rsidRPr="002217E4">
        <w:rPr>
          <w:rFonts w:asciiTheme="majorBidi" w:hAnsiTheme="majorBidi" w:cstheme="majorBidi"/>
          <w:sz w:val="20"/>
          <w:szCs w:val="20"/>
        </w:rPr>
        <w:t xml:space="preserve"> Targeted Drug Delivery Research Center, Pharmaceutical Technology Institute, Mashhad University of Medical Sciences, Mashhad, Iran</w:t>
      </w:r>
    </w:p>
    <w:p w14:paraId="1D77F2FB" w14:textId="77777777" w:rsidR="006866FB" w:rsidRPr="002217E4" w:rsidRDefault="006866FB" w:rsidP="0044152C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2217E4">
        <w:rPr>
          <w:rFonts w:asciiTheme="majorBidi" w:hAnsiTheme="majorBidi" w:cstheme="majorBidi"/>
          <w:sz w:val="20"/>
          <w:szCs w:val="20"/>
          <w:vertAlign w:val="superscript"/>
        </w:rPr>
        <w:t>c</w:t>
      </w:r>
      <w:r w:rsidRPr="002217E4">
        <w:rPr>
          <w:rFonts w:asciiTheme="majorBidi" w:hAnsiTheme="majorBidi" w:cstheme="majorBidi"/>
          <w:sz w:val="20"/>
          <w:szCs w:val="20"/>
        </w:rPr>
        <w:t xml:space="preserve"> Department of Pharmaceutical Biotechnology, School of Pharmacy, Mashhad University of Medical Sciences, Mashhad, Iran</w:t>
      </w:r>
    </w:p>
    <w:p w14:paraId="1DB15B2E" w14:textId="77777777" w:rsidR="006866FB" w:rsidRPr="002217E4" w:rsidRDefault="006866FB" w:rsidP="0044152C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2217E4">
        <w:rPr>
          <w:rFonts w:asciiTheme="majorBidi" w:hAnsiTheme="majorBidi" w:cstheme="majorBidi"/>
          <w:sz w:val="20"/>
          <w:szCs w:val="20"/>
          <w:vertAlign w:val="superscript"/>
        </w:rPr>
        <w:t>d</w:t>
      </w:r>
      <w:r w:rsidRPr="002217E4">
        <w:rPr>
          <w:rFonts w:asciiTheme="majorBidi" w:hAnsiTheme="majorBidi" w:cstheme="majorBidi"/>
          <w:sz w:val="20"/>
          <w:szCs w:val="20"/>
        </w:rPr>
        <w:t xml:space="preserve"> Department of Pharmaceutical Nanotechnology, School of Pharmacy, Mashhad University of Medical Sciences, Mashhad, Iran</w:t>
      </w:r>
    </w:p>
    <w:p w14:paraId="3803BEF1" w14:textId="77777777" w:rsidR="006866FB" w:rsidRPr="002217E4" w:rsidRDefault="006866FB" w:rsidP="0044152C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2217E4">
        <w:rPr>
          <w:rFonts w:asciiTheme="majorBidi" w:hAnsiTheme="majorBidi" w:cstheme="majorBidi"/>
          <w:sz w:val="20"/>
          <w:szCs w:val="20"/>
          <w:vertAlign w:val="superscript"/>
        </w:rPr>
        <w:t>e</w:t>
      </w:r>
      <w:r w:rsidRPr="002217E4">
        <w:rPr>
          <w:rFonts w:asciiTheme="majorBidi" w:hAnsiTheme="majorBidi" w:cstheme="majorBidi"/>
          <w:sz w:val="20"/>
          <w:szCs w:val="20"/>
        </w:rPr>
        <w:t xml:space="preserve"> Department of Medicinal Chemistry, School of Pharmacy, Mashhad University of Medical Sciences, Mashhad, Iran</w:t>
      </w:r>
    </w:p>
    <w:p w14:paraId="02C0E51E" w14:textId="77777777" w:rsidR="006866FB" w:rsidRPr="002217E4" w:rsidRDefault="006866FB" w:rsidP="0044152C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2217E4">
        <w:rPr>
          <w:rFonts w:asciiTheme="majorBidi" w:hAnsiTheme="majorBidi" w:cstheme="majorBidi"/>
          <w:sz w:val="20"/>
          <w:szCs w:val="20"/>
          <w:vertAlign w:val="superscript"/>
        </w:rPr>
        <w:t>*</w:t>
      </w:r>
      <w:r w:rsidRPr="002217E4">
        <w:rPr>
          <w:rFonts w:asciiTheme="majorBidi" w:hAnsiTheme="majorBidi" w:cstheme="majorBidi"/>
          <w:sz w:val="20"/>
          <w:szCs w:val="20"/>
        </w:rPr>
        <w:t xml:space="preserve"> Corresponding Author: Prof. Gholamreza Hashemitabar (</w:t>
      </w:r>
      <w:hyperlink r:id="rId5" w:history="1">
        <w:r w:rsidRPr="002217E4">
          <w:rPr>
            <w:rStyle w:val="Hyperlink"/>
            <w:rFonts w:asciiTheme="majorBidi" w:hAnsiTheme="majorBidi" w:cstheme="majorBidi"/>
            <w:sz w:val="20"/>
            <w:szCs w:val="20"/>
          </w:rPr>
          <w:t>hashemit@um.ac.ir</w:t>
        </w:r>
      </w:hyperlink>
      <w:r w:rsidRPr="002217E4">
        <w:rPr>
          <w:rFonts w:asciiTheme="majorBidi" w:hAnsiTheme="majorBidi" w:cstheme="majorBidi"/>
          <w:sz w:val="20"/>
          <w:szCs w:val="20"/>
        </w:rPr>
        <w:t>) and Prof. Khalil Abnous (</w:t>
      </w:r>
      <w:hyperlink r:id="rId6" w:history="1">
        <w:r w:rsidRPr="002217E4">
          <w:rPr>
            <w:rStyle w:val="Hyperlink"/>
            <w:rFonts w:asciiTheme="majorBidi" w:hAnsiTheme="majorBidi" w:cstheme="majorBidi"/>
            <w:sz w:val="20"/>
            <w:szCs w:val="20"/>
          </w:rPr>
          <w:t>abnouskh@mums.ac.ir</w:t>
        </w:r>
      </w:hyperlink>
      <w:r w:rsidRPr="002217E4">
        <w:rPr>
          <w:rFonts w:asciiTheme="majorBidi" w:hAnsiTheme="majorBidi" w:cstheme="majorBidi"/>
          <w:sz w:val="20"/>
          <w:szCs w:val="20"/>
        </w:rPr>
        <w:t xml:space="preserve">) </w:t>
      </w:r>
    </w:p>
    <w:p w14:paraId="5917EED3" w14:textId="77777777" w:rsidR="006866FB" w:rsidRPr="002217E4" w:rsidRDefault="006866FB" w:rsidP="006866FB">
      <w:pPr>
        <w:spacing w:line="360" w:lineRule="auto"/>
        <w:rPr>
          <w:rFonts w:asciiTheme="majorBidi" w:hAnsiTheme="majorBidi" w:cstheme="majorBidi"/>
          <w:sz w:val="20"/>
          <w:szCs w:val="20"/>
        </w:rPr>
      </w:pPr>
    </w:p>
    <w:p w14:paraId="4AC2D98B" w14:textId="77777777" w:rsidR="00E24B01" w:rsidRPr="002217E4" w:rsidRDefault="00E24B01" w:rsidP="00AD15ED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2FF844AB" w14:textId="77777777" w:rsidR="00073BA7" w:rsidRPr="002217E4" w:rsidRDefault="00073BA7" w:rsidP="00AD15ED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5AC7F021" w14:textId="77777777" w:rsidR="00073BA7" w:rsidRPr="002217E4" w:rsidRDefault="00073BA7" w:rsidP="00AD15ED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099A328D" w14:textId="77777777" w:rsidR="00073BA7" w:rsidRPr="002217E4" w:rsidRDefault="00073BA7" w:rsidP="00AD15ED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5419AEC1" w14:textId="77777777" w:rsidR="007B3879" w:rsidRPr="002217E4" w:rsidRDefault="007B3879" w:rsidP="00AD15ED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7E9CF5E4" w14:textId="77777777" w:rsidR="007B3879" w:rsidRPr="002217E4" w:rsidRDefault="007B3879" w:rsidP="00AD15ED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11F1F22C" w14:textId="77777777" w:rsidR="007B3879" w:rsidRPr="002217E4" w:rsidRDefault="007B3879" w:rsidP="00AD15ED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2D5D97B6" w14:textId="77777777" w:rsidR="001427FF" w:rsidRPr="002217E4" w:rsidRDefault="001427FF" w:rsidP="00AD15ED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2B6924C0" w14:textId="77777777" w:rsidR="00073BA7" w:rsidRPr="002217E4" w:rsidRDefault="00073BA7" w:rsidP="00AD15ED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1AFEE385" w14:textId="0C9B16F4" w:rsidR="00AE60A7" w:rsidRDefault="002217E4" w:rsidP="002C4AEA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93568" behindDoc="0" locked="0" layoutInCell="1" allowOverlap="1" wp14:anchorId="7FAD3223" wp14:editId="3157F942">
            <wp:simplePos x="0" y="0"/>
            <wp:positionH relativeFrom="margin">
              <wp:posOffset>1800225</wp:posOffset>
            </wp:positionH>
            <wp:positionV relativeFrom="paragraph">
              <wp:posOffset>2579441</wp:posOffset>
            </wp:positionV>
            <wp:extent cx="1506855" cy="2192020"/>
            <wp:effectExtent l="0" t="0" r="0" b="0"/>
            <wp:wrapTopAndBottom/>
            <wp:docPr id="13245907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855" cy="219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D3F" w:rsidRPr="002217E4">
        <w:rPr>
          <w:noProof/>
          <w:sz w:val="20"/>
          <w:szCs w:val="20"/>
        </w:rPr>
        <w:drawing>
          <wp:anchor distT="0" distB="0" distL="114300" distR="114300" simplePos="0" relativeHeight="251687424" behindDoc="0" locked="0" layoutInCell="1" allowOverlap="1" wp14:anchorId="4BB1B5D3" wp14:editId="75FCB665">
            <wp:simplePos x="0" y="0"/>
            <wp:positionH relativeFrom="margin">
              <wp:posOffset>1256030</wp:posOffset>
            </wp:positionH>
            <wp:positionV relativeFrom="paragraph">
              <wp:posOffset>0</wp:posOffset>
            </wp:positionV>
            <wp:extent cx="2393950" cy="2032635"/>
            <wp:effectExtent l="0" t="0" r="6350" b="5715"/>
            <wp:wrapTopAndBottom/>
            <wp:docPr id="11845933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203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60A7" w:rsidRPr="002217E4">
        <w:rPr>
          <w:rFonts w:asciiTheme="majorBidi" w:hAnsiTheme="majorBidi" w:cstheme="majorBidi"/>
          <w:b/>
          <w:bCs/>
          <w:sz w:val="20"/>
          <w:szCs w:val="20"/>
        </w:rPr>
        <w:t>Fig. S</w:t>
      </w:r>
      <w:r w:rsidR="00315677" w:rsidRPr="002217E4">
        <w:rPr>
          <w:rFonts w:asciiTheme="majorBidi" w:hAnsiTheme="majorBidi" w:cstheme="majorBidi"/>
          <w:b/>
          <w:bCs/>
          <w:sz w:val="20"/>
          <w:szCs w:val="20"/>
        </w:rPr>
        <w:t>1</w:t>
      </w:r>
      <w:r w:rsidR="00AE60A7" w:rsidRPr="002217E4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="00AE60A7" w:rsidRPr="002217E4">
        <w:rPr>
          <w:rFonts w:asciiTheme="majorBidi" w:hAnsiTheme="majorBidi" w:cstheme="majorBidi"/>
          <w:sz w:val="20"/>
          <w:szCs w:val="20"/>
        </w:rPr>
        <w:t>The calibration curve of DOX</w:t>
      </w:r>
      <w:r w:rsidR="00AA16DF" w:rsidRPr="002217E4">
        <w:rPr>
          <w:rFonts w:asciiTheme="majorBidi" w:hAnsiTheme="majorBidi" w:cstheme="majorBidi"/>
          <w:sz w:val="20"/>
          <w:szCs w:val="20"/>
        </w:rPr>
        <w:t xml:space="preserve">. Absorbance of different </w:t>
      </w:r>
      <w:r w:rsidR="00315677" w:rsidRPr="002217E4">
        <w:rPr>
          <w:rFonts w:asciiTheme="majorBidi" w:hAnsiTheme="majorBidi" w:cstheme="majorBidi"/>
          <w:sz w:val="20"/>
          <w:szCs w:val="20"/>
        </w:rPr>
        <w:t>concentrations</w:t>
      </w:r>
      <w:r w:rsidR="00AA16DF" w:rsidRPr="002217E4">
        <w:rPr>
          <w:rFonts w:asciiTheme="majorBidi" w:hAnsiTheme="majorBidi" w:cstheme="majorBidi"/>
          <w:sz w:val="20"/>
          <w:szCs w:val="20"/>
        </w:rPr>
        <w:t xml:space="preserve"> of DOX </w:t>
      </w:r>
      <w:r w:rsidR="009D0628" w:rsidRPr="002217E4">
        <w:rPr>
          <w:rFonts w:asciiTheme="majorBidi" w:hAnsiTheme="majorBidi" w:cstheme="majorBidi"/>
          <w:sz w:val="20"/>
          <w:szCs w:val="20"/>
        </w:rPr>
        <w:t>(</w:t>
      </w:r>
      <w:r w:rsidR="005D43B7" w:rsidRPr="002217E4">
        <w:rPr>
          <w:rFonts w:asciiTheme="majorBidi" w:hAnsiTheme="majorBidi" w:cstheme="majorBidi"/>
          <w:sz w:val="20"/>
          <w:szCs w:val="20"/>
        </w:rPr>
        <w:t>2.5 - 160</w:t>
      </w:r>
      <w:r w:rsidR="00AA16DF" w:rsidRPr="002217E4">
        <w:rPr>
          <w:rFonts w:asciiTheme="majorBidi" w:hAnsiTheme="majorBidi" w:cstheme="majorBidi"/>
          <w:sz w:val="20"/>
          <w:szCs w:val="20"/>
        </w:rPr>
        <w:t xml:space="preserve"> µ</w:t>
      </w:r>
      <w:r w:rsidR="005D43B7" w:rsidRPr="002217E4">
        <w:rPr>
          <w:rFonts w:asciiTheme="majorBidi" w:hAnsiTheme="majorBidi" w:cstheme="majorBidi"/>
          <w:sz w:val="20"/>
          <w:szCs w:val="20"/>
        </w:rPr>
        <w:t>g/mL</w:t>
      </w:r>
      <w:r w:rsidR="009D0628" w:rsidRPr="002217E4">
        <w:rPr>
          <w:rFonts w:asciiTheme="majorBidi" w:hAnsiTheme="majorBidi" w:cstheme="majorBidi"/>
          <w:sz w:val="20"/>
          <w:szCs w:val="20"/>
        </w:rPr>
        <w:t>)</w:t>
      </w:r>
      <w:r w:rsidR="00AA16DF" w:rsidRPr="002217E4">
        <w:rPr>
          <w:rFonts w:asciiTheme="majorBidi" w:hAnsiTheme="majorBidi" w:cstheme="majorBidi"/>
          <w:sz w:val="20"/>
          <w:szCs w:val="20"/>
        </w:rPr>
        <w:t xml:space="preserve"> at 480 nm</w:t>
      </w:r>
      <w:r w:rsidR="00AA16DF" w:rsidRPr="002217E4">
        <w:rPr>
          <w:sz w:val="20"/>
          <w:szCs w:val="20"/>
        </w:rPr>
        <w:t xml:space="preserve"> </w:t>
      </w:r>
      <w:r w:rsidR="00AA16DF" w:rsidRPr="002217E4">
        <w:rPr>
          <w:rFonts w:asciiTheme="majorBidi" w:hAnsiTheme="majorBidi" w:cstheme="majorBidi"/>
          <w:sz w:val="20"/>
          <w:szCs w:val="20"/>
        </w:rPr>
        <w:t xml:space="preserve">to acquire a linear correlation. The trend-line equation </w:t>
      </w:r>
      <w:r w:rsidR="00B07A2E" w:rsidRPr="002217E4">
        <w:rPr>
          <w:rFonts w:asciiTheme="majorBidi" w:hAnsiTheme="majorBidi" w:cstheme="majorBidi"/>
          <w:sz w:val="20"/>
          <w:szCs w:val="20"/>
        </w:rPr>
        <w:t>was</w:t>
      </w:r>
      <w:r w:rsidR="00AA16DF" w:rsidRPr="002217E4">
        <w:rPr>
          <w:rFonts w:asciiTheme="majorBidi" w:hAnsiTheme="majorBidi" w:cstheme="majorBidi"/>
          <w:sz w:val="20"/>
          <w:szCs w:val="20"/>
        </w:rPr>
        <w:t xml:space="preserve"> used to calculate the amount of DOX.</w:t>
      </w:r>
    </w:p>
    <w:p w14:paraId="0C012797" w14:textId="35535494" w:rsidR="006F1C3D" w:rsidRPr="002217E4" w:rsidRDefault="00AE60A7" w:rsidP="0043515B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2217E4">
        <w:rPr>
          <w:rFonts w:asciiTheme="majorBidi" w:hAnsiTheme="majorBidi" w:cstheme="majorBidi"/>
          <w:b/>
          <w:bCs/>
          <w:sz w:val="20"/>
          <w:szCs w:val="20"/>
        </w:rPr>
        <w:t>Fig. S</w:t>
      </w:r>
      <w:r w:rsidR="00381FC3" w:rsidRPr="002217E4">
        <w:rPr>
          <w:rFonts w:asciiTheme="majorBidi" w:hAnsiTheme="majorBidi" w:cstheme="majorBidi"/>
          <w:b/>
          <w:bCs/>
          <w:sz w:val="20"/>
          <w:szCs w:val="20"/>
        </w:rPr>
        <w:t>2</w:t>
      </w:r>
      <w:r w:rsidRPr="002217E4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2217E4">
        <w:rPr>
          <w:rFonts w:asciiTheme="majorBidi" w:hAnsiTheme="majorBidi" w:cstheme="majorBidi"/>
          <w:sz w:val="20"/>
          <w:szCs w:val="20"/>
        </w:rPr>
        <w:t xml:space="preserve"> </w:t>
      </w:r>
      <w:r w:rsidR="0043515B" w:rsidRPr="002217E4">
        <w:rPr>
          <w:rFonts w:asciiTheme="majorBidi" w:hAnsiTheme="majorBidi" w:cstheme="majorBidi"/>
          <w:sz w:val="20"/>
          <w:szCs w:val="20"/>
        </w:rPr>
        <w:t>The</w:t>
      </w:r>
      <w:r w:rsidR="00193348" w:rsidRPr="002217E4">
        <w:rPr>
          <w:rFonts w:asciiTheme="majorBidi" w:hAnsiTheme="majorBidi" w:cstheme="majorBidi"/>
          <w:sz w:val="20"/>
          <w:szCs w:val="20"/>
        </w:rPr>
        <w:t xml:space="preserve"> image</w:t>
      </w:r>
      <w:r w:rsidR="0043515B" w:rsidRPr="002217E4">
        <w:rPr>
          <w:rFonts w:asciiTheme="majorBidi" w:hAnsiTheme="majorBidi" w:cstheme="majorBidi"/>
          <w:sz w:val="20"/>
          <w:szCs w:val="20"/>
        </w:rPr>
        <w:t>s</w:t>
      </w:r>
      <w:r w:rsidR="00193348" w:rsidRPr="002217E4">
        <w:rPr>
          <w:rFonts w:asciiTheme="majorBidi" w:hAnsiTheme="majorBidi" w:cstheme="majorBidi"/>
          <w:sz w:val="20"/>
          <w:szCs w:val="20"/>
        </w:rPr>
        <w:t xml:space="preserve"> of </w:t>
      </w:r>
      <w:r w:rsidR="000E2239" w:rsidRPr="002217E4">
        <w:rPr>
          <w:rFonts w:asciiTheme="majorBidi" w:hAnsiTheme="majorBidi" w:cstheme="majorBidi"/>
          <w:sz w:val="20"/>
          <w:szCs w:val="20"/>
        </w:rPr>
        <w:t xml:space="preserve">agarose </w:t>
      </w:r>
      <w:r w:rsidR="00193348" w:rsidRPr="002217E4">
        <w:rPr>
          <w:rFonts w:asciiTheme="majorBidi" w:hAnsiTheme="majorBidi" w:cstheme="majorBidi"/>
          <w:sz w:val="20"/>
          <w:szCs w:val="20"/>
        </w:rPr>
        <w:t xml:space="preserve">gel post electrophoresis. </w:t>
      </w:r>
      <w:r w:rsidR="0043515B" w:rsidRPr="002217E4">
        <w:rPr>
          <w:rFonts w:asciiTheme="majorBidi" w:hAnsiTheme="majorBidi" w:cstheme="majorBidi"/>
          <w:sz w:val="20"/>
          <w:szCs w:val="20"/>
        </w:rPr>
        <w:t>(</w:t>
      </w:r>
      <w:r w:rsidR="002217E4">
        <w:rPr>
          <w:rFonts w:asciiTheme="majorBidi" w:hAnsiTheme="majorBidi" w:cstheme="majorBidi"/>
          <w:sz w:val="20"/>
          <w:szCs w:val="20"/>
        </w:rPr>
        <w:t>a</w:t>
      </w:r>
      <w:r w:rsidR="0043515B" w:rsidRPr="002217E4">
        <w:rPr>
          <w:rFonts w:asciiTheme="majorBidi" w:hAnsiTheme="majorBidi" w:cstheme="majorBidi"/>
          <w:sz w:val="20"/>
          <w:szCs w:val="20"/>
        </w:rPr>
        <w:t xml:space="preserve">) </w:t>
      </w:r>
      <w:r w:rsidR="00C214F5" w:rsidRPr="002217E4">
        <w:rPr>
          <w:rFonts w:asciiTheme="majorBidi" w:hAnsiTheme="majorBidi" w:cstheme="majorBidi"/>
          <w:sz w:val="20"/>
          <w:szCs w:val="20"/>
        </w:rPr>
        <w:t>Agarose gel</w:t>
      </w:r>
      <w:r w:rsidR="0043515B" w:rsidRPr="002217E4">
        <w:rPr>
          <w:rFonts w:asciiTheme="majorBidi" w:hAnsiTheme="majorBidi" w:cstheme="majorBidi"/>
          <w:sz w:val="20"/>
          <w:szCs w:val="20"/>
        </w:rPr>
        <w:t xml:space="preserve"> of FOXM1 aptamer loading</w:t>
      </w:r>
      <w:r w:rsidR="006F1C3D" w:rsidRPr="002217E4">
        <w:rPr>
          <w:rFonts w:asciiTheme="majorBidi" w:hAnsiTheme="majorBidi" w:cstheme="majorBidi"/>
          <w:sz w:val="20"/>
          <w:szCs w:val="20"/>
        </w:rPr>
        <w:t xml:space="preserve"> (</w:t>
      </w:r>
      <w:r w:rsidR="0043515B" w:rsidRPr="002217E4">
        <w:rPr>
          <w:rFonts w:asciiTheme="majorBidi" w:hAnsiTheme="majorBidi" w:cstheme="majorBidi"/>
          <w:sz w:val="20"/>
          <w:szCs w:val="20"/>
        </w:rPr>
        <w:t>lane</w:t>
      </w:r>
      <w:r w:rsidR="006F1C3D" w:rsidRPr="002217E4">
        <w:rPr>
          <w:rFonts w:asciiTheme="majorBidi" w:hAnsiTheme="majorBidi" w:cstheme="majorBidi"/>
          <w:sz w:val="20"/>
          <w:szCs w:val="20"/>
        </w:rPr>
        <w:t xml:space="preserve"> </w:t>
      </w:r>
      <w:r w:rsidR="0043515B" w:rsidRPr="002217E4">
        <w:rPr>
          <w:rFonts w:asciiTheme="majorBidi" w:hAnsiTheme="majorBidi" w:cstheme="majorBidi"/>
          <w:sz w:val="20"/>
          <w:szCs w:val="20"/>
        </w:rPr>
        <w:t>a</w:t>
      </w:r>
      <w:r w:rsidR="006F1C3D" w:rsidRPr="002217E4">
        <w:rPr>
          <w:rFonts w:asciiTheme="majorBidi" w:hAnsiTheme="majorBidi" w:cstheme="majorBidi"/>
          <w:sz w:val="20"/>
          <w:szCs w:val="20"/>
        </w:rPr>
        <w:t>: FOXM1-PDA-DOX@TNP, lane b: PDA-DOX@TNP, and lane c: FOXM1 aptamer)</w:t>
      </w:r>
      <w:r w:rsidR="00D74250" w:rsidRPr="002217E4">
        <w:rPr>
          <w:rFonts w:asciiTheme="majorBidi" w:hAnsiTheme="majorBidi" w:cstheme="majorBidi"/>
          <w:sz w:val="20"/>
          <w:szCs w:val="20"/>
        </w:rPr>
        <w:t xml:space="preserve"> and</w:t>
      </w:r>
      <w:r w:rsidR="000E2239" w:rsidRPr="002217E4">
        <w:rPr>
          <w:rFonts w:asciiTheme="majorBidi" w:hAnsiTheme="majorBidi" w:cstheme="majorBidi"/>
          <w:sz w:val="20"/>
          <w:szCs w:val="20"/>
        </w:rPr>
        <w:t xml:space="preserve"> (</w:t>
      </w:r>
      <w:r w:rsidR="002217E4">
        <w:rPr>
          <w:rFonts w:asciiTheme="majorBidi" w:hAnsiTheme="majorBidi" w:cstheme="majorBidi"/>
          <w:sz w:val="20"/>
          <w:szCs w:val="20"/>
        </w:rPr>
        <w:t>b</w:t>
      </w:r>
      <w:r w:rsidR="000E2239" w:rsidRPr="002217E4">
        <w:rPr>
          <w:rFonts w:asciiTheme="majorBidi" w:hAnsiTheme="majorBidi" w:cstheme="majorBidi"/>
          <w:sz w:val="20"/>
          <w:szCs w:val="20"/>
        </w:rPr>
        <w:t xml:space="preserve">) </w:t>
      </w:r>
      <w:r w:rsidR="00877427" w:rsidRPr="002217E4">
        <w:rPr>
          <w:rFonts w:asciiTheme="majorBidi" w:hAnsiTheme="majorBidi" w:cstheme="majorBidi"/>
          <w:sz w:val="20"/>
          <w:szCs w:val="20"/>
        </w:rPr>
        <w:t xml:space="preserve">agarose gel </w:t>
      </w:r>
      <w:r w:rsidR="000E2239" w:rsidRPr="002217E4">
        <w:rPr>
          <w:rFonts w:asciiTheme="majorBidi" w:hAnsiTheme="majorBidi" w:cstheme="majorBidi"/>
          <w:sz w:val="20"/>
          <w:szCs w:val="20"/>
        </w:rPr>
        <w:t xml:space="preserve">of AS1411 aptamer-functionalizing FOXM1-PDA-DOX@TNP (lane a: AF-PDA-DOX@TNP, lane b: </w:t>
      </w:r>
      <w:r w:rsidR="0061068A" w:rsidRPr="002217E4">
        <w:rPr>
          <w:rFonts w:asciiTheme="majorBidi" w:hAnsiTheme="majorBidi" w:cstheme="majorBidi"/>
          <w:sz w:val="20"/>
          <w:szCs w:val="20"/>
        </w:rPr>
        <w:t>FOXM1-</w:t>
      </w:r>
      <w:r w:rsidR="000E2239" w:rsidRPr="002217E4">
        <w:rPr>
          <w:rFonts w:asciiTheme="majorBidi" w:hAnsiTheme="majorBidi" w:cstheme="majorBidi"/>
          <w:sz w:val="20"/>
          <w:szCs w:val="20"/>
        </w:rPr>
        <w:t>PDA-DOX@TNP, lane c: FOXM1 aptamer, and lane d: AS1411 aptamer).</w:t>
      </w:r>
    </w:p>
    <w:p w14:paraId="65AF0761" w14:textId="58E08708" w:rsidR="009D3D3F" w:rsidRPr="002217E4" w:rsidRDefault="00507886" w:rsidP="00C95471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2217E4">
        <w:rPr>
          <w:noProof/>
          <w:sz w:val="20"/>
          <w:szCs w:val="20"/>
        </w:rPr>
        <w:drawing>
          <wp:anchor distT="0" distB="0" distL="114300" distR="114300" simplePos="0" relativeHeight="251688448" behindDoc="0" locked="0" layoutInCell="1" allowOverlap="1" wp14:anchorId="57610D21" wp14:editId="68BE114E">
            <wp:simplePos x="0" y="0"/>
            <wp:positionH relativeFrom="margin">
              <wp:posOffset>287488</wp:posOffset>
            </wp:positionH>
            <wp:positionV relativeFrom="paragraph">
              <wp:posOffset>197752</wp:posOffset>
            </wp:positionV>
            <wp:extent cx="4788535" cy="1775460"/>
            <wp:effectExtent l="0" t="0" r="0" b="0"/>
            <wp:wrapTopAndBottom/>
            <wp:docPr id="8879819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535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B7C898" w14:textId="77777777" w:rsidR="00507886" w:rsidRDefault="00507886" w:rsidP="00C95471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5D5D0D45" w14:textId="5EAAC0EA" w:rsidR="00C95471" w:rsidRPr="002217E4" w:rsidRDefault="00C95471" w:rsidP="00C95471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2217E4">
        <w:rPr>
          <w:rFonts w:asciiTheme="majorBidi" w:hAnsiTheme="majorBidi" w:cstheme="majorBidi"/>
          <w:b/>
          <w:bCs/>
          <w:sz w:val="20"/>
          <w:szCs w:val="20"/>
        </w:rPr>
        <w:t>Fig. S</w:t>
      </w:r>
      <w:r w:rsidR="00172F9E" w:rsidRPr="002217E4">
        <w:rPr>
          <w:rFonts w:asciiTheme="majorBidi" w:hAnsiTheme="majorBidi" w:cstheme="majorBidi"/>
          <w:b/>
          <w:bCs/>
          <w:sz w:val="20"/>
          <w:szCs w:val="20"/>
        </w:rPr>
        <w:t>3</w:t>
      </w:r>
      <w:r w:rsidRPr="002217E4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Pr="002217E4">
        <w:rPr>
          <w:rFonts w:asciiTheme="majorBidi" w:hAnsiTheme="majorBidi" w:cstheme="majorBidi"/>
          <w:sz w:val="20"/>
          <w:szCs w:val="20"/>
        </w:rPr>
        <w:t xml:space="preserve">Standard </w:t>
      </w:r>
      <w:r w:rsidR="00AC3339" w:rsidRPr="002217E4">
        <w:rPr>
          <w:rFonts w:asciiTheme="majorBidi" w:hAnsiTheme="majorBidi" w:cstheme="majorBidi"/>
          <w:sz w:val="20"/>
          <w:szCs w:val="20"/>
        </w:rPr>
        <w:t>calibration curves</w:t>
      </w:r>
      <w:r w:rsidRPr="002217E4">
        <w:rPr>
          <w:rFonts w:asciiTheme="majorBidi" w:hAnsiTheme="majorBidi" w:cstheme="majorBidi"/>
          <w:sz w:val="20"/>
          <w:szCs w:val="20"/>
        </w:rPr>
        <w:t xml:space="preserve"> of fluorescence intensity </w:t>
      </w:r>
      <w:r w:rsidR="00AC3339" w:rsidRPr="002217E4">
        <w:rPr>
          <w:rFonts w:asciiTheme="majorBidi" w:hAnsiTheme="majorBidi" w:cstheme="majorBidi"/>
          <w:sz w:val="20"/>
          <w:szCs w:val="20"/>
        </w:rPr>
        <w:t xml:space="preserve">of </w:t>
      </w:r>
      <w:r w:rsidRPr="002217E4">
        <w:rPr>
          <w:rFonts w:asciiTheme="majorBidi" w:hAnsiTheme="majorBidi" w:cstheme="majorBidi"/>
          <w:sz w:val="20"/>
          <w:szCs w:val="20"/>
        </w:rPr>
        <w:t xml:space="preserve">different </w:t>
      </w:r>
      <w:r w:rsidR="00172F9E" w:rsidRPr="002217E4">
        <w:rPr>
          <w:rFonts w:asciiTheme="majorBidi" w:hAnsiTheme="majorBidi" w:cstheme="majorBidi"/>
          <w:sz w:val="20"/>
          <w:szCs w:val="20"/>
        </w:rPr>
        <w:t>concentrations</w:t>
      </w:r>
      <w:r w:rsidRPr="002217E4">
        <w:rPr>
          <w:rFonts w:asciiTheme="majorBidi" w:hAnsiTheme="majorBidi" w:cstheme="majorBidi"/>
          <w:sz w:val="20"/>
          <w:szCs w:val="20"/>
        </w:rPr>
        <w:t xml:space="preserve"> of DOX (0</w:t>
      </w:r>
      <w:r w:rsidR="00DB4E8B" w:rsidRPr="002217E4">
        <w:rPr>
          <w:rFonts w:asciiTheme="majorBidi" w:hAnsiTheme="majorBidi" w:cstheme="majorBidi"/>
          <w:sz w:val="20"/>
          <w:szCs w:val="20"/>
        </w:rPr>
        <w:t>.05 - 4</w:t>
      </w:r>
      <w:r w:rsidRPr="002217E4">
        <w:rPr>
          <w:rFonts w:asciiTheme="majorBidi" w:hAnsiTheme="majorBidi" w:cstheme="majorBidi"/>
          <w:sz w:val="20"/>
          <w:szCs w:val="20"/>
        </w:rPr>
        <w:t xml:space="preserve"> µ</w:t>
      </w:r>
      <w:r w:rsidR="00DB4E8B" w:rsidRPr="002217E4">
        <w:rPr>
          <w:rFonts w:asciiTheme="majorBidi" w:hAnsiTheme="majorBidi" w:cstheme="majorBidi"/>
          <w:sz w:val="20"/>
          <w:szCs w:val="20"/>
        </w:rPr>
        <w:t>g/mL</w:t>
      </w:r>
      <w:r w:rsidRPr="002217E4">
        <w:rPr>
          <w:rFonts w:asciiTheme="majorBidi" w:hAnsiTheme="majorBidi" w:cstheme="majorBidi"/>
          <w:sz w:val="20"/>
          <w:szCs w:val="20"/>
        </w:rPr>
        <w:t xml:space="preserve">) in </w:t>
      </w:r>
      <w:r w:rsidR="00172F9E" w:rsidRPr="002217E4">
        <w:rPr>
          <w:rFonts w:asciiTheme="majorBidi" w:hAnsiTheme="majorBidi" w:cstheme="majorBidi"/>
          <w:sz w:val="20"/>
          <w:szCs w:val="20"/>
        </w:rPr>
        <w:t>citrate buffer</w:t>
      </w:r>
      <w:r w:rsidRPr="002217E4">
        <w:rPr>
          <w:rFonts w:asciiTheme="majorBidi" w:hAnsiTheme="majorBidi" w:cstheme="majorBidi"/>
          <w:sz w:val="20"/>
          <w:szCs w:val="20"/>
        </w:rPr>
        <w:t xml:space="preserve"> </w:t>
      </w:r>
      <w:r w:rsidR="00172F9E" w:rsidRPr="002217E4">
        <w:rPr>
          <w:rFonts w:asciiTheme="majorBidi" w:hAnsiTheme="majorBidi" w:cstheme="majorBidi"/>
          <w:sz w:val="20"/>
          <w:szCs w:val="20"/>
        </w:rPr>
        <w:t>with</w:t>
      </w:r>
      <w:r w:rsidRPr="002217E4">
        <w:rPr>
          <w:rFonts w:asciiTheme="majorBidi" w:hAnsiTheme="majorBidi" w:cstheme="majorBidi"/>
          <w:sz w:val="20"/>
          <w:szCs w:val="20"/>
        </w:rPr>
        <w:t xml:space="preserve"> pH 5.4 and </w:t>
      </w:r>
      <w:r w:rsidR="00172F9E" w:rsidRPr="002217E4">
        <w:rPr>
          <w:rFonts w:asciiTheme="majorBidi" w:hAnsiTheme="majorBidi" w:cstheme="majorBidi"/>
          <w:sz w:val="20"/>
          <w:szCs w:val="20"/>
        </w:rPr>
        <w:t>phosphate buffer saline with</w:t>
      </w:r>
      <w:r w:rsidRPr="002217E4">
        <w:rPr>
          <w:rFonts w:asciiTheme="majorBidi" w:hAnsiTheme="majorBidi" w:cstheme="majorBidi"/>
          <w:sz w:val="20"/>
          <w:szCs w:val="20"/>
        </w:rPr>
        <w:t xml:space="preserve"> pH 7.4. </w:t>
      </w:r>
    </w:p>
    <w:p w14:paraId="1BFA65C0" w14:textId="2B0D1204" w:rsidR="009D3D3F" w:rsidRPr="002217E4" w:rsidRDefault="009D3D3F" w:rsidP="009D3D3F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36FBB8B2" w14:textId="188905BB" w:rsidR="008656D9" w:rsidRPr="002217E4" w:rsidRDefault="00C1038D" w:rsidP="00C1038D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94592" behindDoc="0" locked="0" layoutInCell="1" allowOverlap="1" wp14:anchorId="63E9D380" wp14:editId="603C7DF5">
            <wp:simplePos x="0" y="0"/>
            <wp:positionH relativeFrom="margin">
              <wp:align>center</wp:align>
            </wp:positionH>
            <wp:positionV relativeFrom="paragraph">
              <wp:posOffset>3443605</wp:posOffset>
            </wp:positionV>
            <wp:extent cx="3609340" cy="4434840"/>
            <wp:effectExtent l="0" t="0" r="0" b="3810"/>
            <wp:wrapTopAndBottom/>
            <wp:docPr id="4256096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340" cy="443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17E4">
        <w:rPr>
          <w:noProof/>
          <w:sz w:val="20"/>
          <w:szCs w:val="20"/>
        </w:rPr>
        <w:drawing>
          <wp:anchor distT="0" distB="0" distL="114300" distR="114300" simplePos="0" relativeHeight="251692544" behindDoc="0" locked="0" layoutInCell="1" allowOverlap="1" wp14:anchorId="2AB8E016" wp14:editId="4F75409C">
            <wp:simplePos x="0" y="0"/>
            <wp:positionH relativeFrom="margin">
              <wp:align>center</wp:align>
            </wp:positionH>
            <wp:positionV relativeFrom="paragraph">
              <wp:posOffset>55579</wp:posOffset>
            </wp:positionV>
            <wp:extent cx="1186815" cy="2496820"/>
            <wp:effectExtent l="0" t="0" r="0" b="0"/>
            <wp:wrapTopAndBottom/>
            <wp:docPr id="11090682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481" w:rsidRPr="002217E4">
        <w:rPr>
          <w:rFonts w:asciiTheme="majorBidi" w:hAnsiTheme="majorBidi" w:cstheme="majorBidi"/>
          <w:b/>
          <w:bCs/>
          <w:sz w:val="20"/>
          <w:szCs w:val="20"/>
        </w:rPr>
        <w:t>Fig. S</w:t>
      </w:r>
      <w:r w:rsidR="00E34223">
        <w:rPr>
          <w:rFonts w:asciiTheme="majorBidi" w:hAnsiTheme="majorBidi" w:cstheme="majorBidi"/>
          <w:b/>
          <w:bCs/>
          <w:sz w:val="20"/>
          <w:szCs w:val="20"/>
        </w:rPr>
        <w:t>4</w:t>
      </w:r>
      <w:r w:rsidR="00B95481" w:rsidRPr="002217E4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="001A1BFD" w:rsidRPr="002217E4">
        <w:rPr>
          <w:rFonts w:asciiTheme="majorBidi" w:hAnsiTheme="majorBidi" w:cstheme="majorBidi"/>
          <w:sz w:val="20"/>
          <w:szCs w:val="20"/>
        </w:rPr>
        <w:t xml:space="preserve">Serum </w:t>
      </w:r>
      <w:r w:rsidR="009A79AA" w:rsidRPr="002217E4">
        <w:rPr>
          <w:rFonts w:asciiTheme="majorBidi" w:hAnsiTheme="majorBidi" w:cstheme="majorBidi"/>
          <w:sz w:val="20"/>
          <w:szCs w:val="20"/>
        </w:rPr>
        <w:t>stability</w:t>
      </w:r>
      <w:r w:rsidR="001A1BFD" w:rsidRPr="002217E4">
        <w:rPr>
          <w:rFonts w:asciiTheme="majorBidi" w:hAnsiTheme="majorBidi" w:cstheme="majorBidi"/>
          <w:sz w:val="20"/>
          <w:szCs w:val="20"/>
        </w:rPr>
        <w:t xml:space="preserve"> of </w:t>
      </w:r>
      <w:r w:rsidR="006E776F">
        <w:rPr>
          <w:rFonts w:asciiTheme="majorBidi" w:hAnsiTheme="majorBidi" w:cstheme="majorBidi"/>
          <w:sz w:val="20"/>
          <w:szCs w:val="20"/>
        </w:rPr>
        <w:t xml:space="preserve">the </w:t>
      </w:r>
      <w:r w:rsidR="001A1BFD" w:rsidRPr="002217E4">
        <w:rPr>
          <w:rFonts w:asciiTheme="majorBidi" w:hAnsiTheme="majorBidi" w:cstheme="majorBidi"/>
          <w:sz w:val="20"/>
          <w:szCs w:val="20"/>
        </w:rPr>
        <w:t>non-targeted and targeted nanodelivery system</w:t>
      </w:r>
      <w:r w:rsidR="009A79AA" w:rsidRPr="002217E4">
        <w:rPr>
          <w:rFonts w:asciiTheme="majorBidi" w:hAnsiTheme="majorBidi" w:cstheme="majorBidi"/>
          <w:sz w:val="20"/>
          <w:szCs w:val="20"/>
        </w:rPr>
        <w:t xml:space="preserve">. </w:t>
      </w:r>
      <w:r w:rsidR="007C284E" w:rsidRPr="002217E4">
        <w:rPr>
          <w:rFonts w:asciiTheme="majorBidi" w:hAnsiTheme="majorBidi" w:cstheme="majorBidi"/>
          <w:sz w:val="20"/>
          <w:szCs w:val="20"/>
        </w:rPr>
        <w:t xml:space="preserve">An image of </w:t>
      </w:r>
      <w:r w:rsidR="009A79AA" w:rsidRPr="002217E4">
        <w:rPr>
          <w:rFonts w:asciiTheme="majorBidi" w:hAnsiTheme="majorBidi" w:cstheme="majorBidi"/>
          <w:sz w:val="20"/>
          <w:szCs w:val="20"/>
        </w:rPr>
        <w:t xml:space="preserve">agarose </w:t>
      </w:r>
      <w:r w:rsidR="007C284E" w:rsidRPr="002217E4">
        <w:rPr>
          <w:rFonts w:asciiTheme="majorBidi" w:hAnsiTheme="majorBidi" w:cstheme="majorBidi"/>
          <w:sz w:val="20"/>
          <w:szCs w:val="20"/>
        </w:rPr>
        <w:t xml:space="preserve">gel post electrophoresis </w:t>
      </w:r>
      <w:r w:rsidR="00883A37" w:rsidRPr="002217E4">
        <w:rPr>
          <w:rFonts w:asciiTheme="majorBidi" w:hAnsiTheme="majorBidi" w:cstheme="majorBidi"/>
          <w:sz w:val="20"/>
          <w:szCs w:val="20"/>
        </w:rPr>
        <w:t xml:space="preserve">of </w:t>
      </w:r>
      <w:r w:rsidR="001A1BFD" w:rsidRPr="002217E4">
        <w:rPr>
          <w:rFonts w:asciiTheme="majorBidi" w:hAnsiTheme="majorBidi" w:cstheme="majorBidi"/>
          <w:sz w:val="20"/>
          <w:szCs w:val="20"/>
        </w:rPr>
        <w:t>FOXM1-</w:t>
      </w:r>
      <w:r w:rsidR="004271FA" w:rsidRPr="002217E4">
        <w:rPr>
          <w:rFonts w:asciiTheme="majorBidi" w:hAnsiTheme="majorBidi" w:cstheme="majorBidi"/>
          <w:sz w:val="20"/>
          <w:szCs w:val="20"/>
        </w:rPr>
        <w:t>PDA</w:t>
      </w:r>
      <w:r w:rsidR="009A79AA" w:rsidRPr="002217E4">
        <w:rPr>
          <w:rFonts w:asciiTheme="majorBidi" w:hAnsiTheme="majorBidi" w:cstheme="majorBidi"/>
          <w:sz w:val="20"/>
          <w:szCs w:val="20"/>
        </w:rPr>
        <w:t>-</w:t>
      </w:r>
      <w:r w:rsidR="004271FA" w:rsidRPr="002217E4">
        <w:rPr>
          <w:rFonts w:asciiTheme="majorBidi" w:hAnsiTheme="majorBidi" w:cstheme="majorBidi"/>
          <w:sz w:val="20"/>
          <w:szCs w:val="20"/>
        </w:rPr>
        <w:t>DOX</w:t>
      </w:r>
      <w:r w:rsidR="009A79AA" w:rsidRPr="002217E4">
        <w:rPr>
          <w:rFonts w:asciiTheme="majorBidi" w:hAnsiTheme="majorBidi" w:cstheme="majorBidi"/>
          <w:sz w:val="20"/>
          <w:szCs w:val="20"/>
        </w:rPr>
        <w:t>@</w:t>
      </w:r>
      <w:r w:rsidR="004271FA" w:rsidRPr="002217E4">
        <w:rPr>
          <w:rFonts w:asciiTheme="majorBidi" w:hAnsiTheme="majorBidi" w:cstheme="majorBidi"/>
          <w:sz w:val="20"/>
          <w:szCs w:val="20"/>
        </w:rPr>
        <w:t>TNP</w:t>
      </w:r>
      <w:r w:rsidR="00883A37" w:rsidRPr="002217E4">
        <w:rPr>
          <w:rFonts w:asciiTheme="majorBidi" w:hAnsiTheme="majorBidi" w:cstheme="majorBidi"/>
          <w:sz w:val="20"/>
          <w:szCs w:val="20"/>
        </w:rPr>
        <w:t xml:space="preserve"> </w:t>
      </w:r>
      <w:r w:rsidR="0036751E" w:rsidRPr="002217E4">
        <w:rPr>
          <w:rFonts w:asciiTheme="majorBidi" w:hAnsiTheme="majorBidi" w:cstheme="majorBidi"/>
          <w:sz w:val="20"/>
          <w:szCs w:val="20"/>
        </w:rPr>
        <w:t>(</w:t>
      </w:r>
      <w:r w:rsidR="00E918D7" w:rsidRPr="002217E4">
        <w:rPr>
          <w:rFonts w:asciiTheme="majorBidi" w:hAnsiTheme="majorBidi" w:cstheme="majorBidi"/>
          <w:sz w:val="20"/>
          <w:szCs w:val="20"/>
        </w:rPr>
        <w:t xml:space="preserve">lane a and </w:t>
      </w:r>
      <w:r w:rsidR="00063F19" w:rsidRPr="002217E4">
        <w:rPr>
          <w:rFonts w:asciiTheme="majorBidi" w:hAnsiTheme="majorBidi" w:cstheme="majorBidi"/>
          <w:sz w:val="20"/>
          <w:szCs w:val="20"/>
        </w:rPr>
        <w:t>b</w:t>
      </w:r>
      <w:r w:rsidR="00E918D7" w:rsidRPr="002217E4">
        <w:rPr>
          <w:rFonts w:asciiTheme="majorBidi" w:hAnsiTheme="majorBidi" w:cstheme="majorBidi"/>
          <w:sz w:val="20"/>
          <w:szCs w:val="20"/>
        </w:rPr>
        <w:t xml:space="preserve">) </w:t>
      </w:r>
      <w:r w:rsidR="002508F8" w:rsidRPr="002217E4">
        <w:rPr>
          <w:rFonts w:asciiTheme="majorBidi" w:hAnsiTheme="majorBidi" w:cstheme="majorBidi"/>
          <w:sz w:val="20"/>
          <w:szCs w:val="20"/>
        </w:rPr>
        <w:t>and A</w:t>
      </w:r>
      <w:r w:rsidR="00787AC1" w:rsidRPr="002217E4">
        <w:rPr>
          <w:rFonts w:asciiTheme="majorBidi" w:hAnsiTheme="majorBidi" w:cstheme="majorBidi"/>
          <w:sz w:val="20"/>
          <w:szCs w:val="20"/>
        </w:rPr>
        <w:t>F</w:t>
      </w:r>
      <w:r w:rsidR="002508F8" w:rsidRPr="002217E4">
        <w:rPr>
          <w:rFonts w:asciiTheme="majorBidi" w:hAnsiTheme="majorBidi" w:cstheme="majorBidi"/>
          <w:sz w:val="20"/>
          <w:szCs w:val="20"/>
        </w:rPr>
        <w:t>-PDA</w:t>
      </w:r>
      <w:r w:rsidR="009A79AA" w:rsidRPr="002217E4">
        <w:rPr>
          <w:rFonts w:asciiTheme="majorBidi" w:hAnsiTheme="majorBidi" w:cstheme="majorBidi"/>
          <w:sz w:val="20"/>
          <w:szCs w:val="20"/>
        </w:rPr>
        <w:t>-</w:t>
      </w:r>
      <w:r w:rsidR="002508F8" w:rsidRPr="002217E4">
        <w:rPr>
          <w:rFonts w:asciiTheme="majorBidi" w:hAnsiTheme="majorBidi" w:cstheme="majorBidi"/>
          <w:sz w:val="20"/>
          <w:szCs w:val="20"/>
        </w:rPr>
        <w:t>DOX</w:t>
      </w:r>
      <w:r w:rsidR="009A79AA" w:rsidRPr="002217E4">
        <w:rPr>
          <w:rFonts w:asciiTheme="majorBidi" w:hAnsiTheme="majorBidi" w:cstheme="majorBidi"/>
          <w:sz w:val="20"/>
          <w:szCs w:val="20"/>
        </w:rPr>
        <w:t>@</w:t>
      </w:r>
      <w:r w:rsidR="002508F8" w:rsidRPr="002217E4">
        <w:rPr>
          <w:rFonts w:asciiTheme="majorBidi" w:hAnsiTheme="majorBidi" w:cstheme="majorBidi"/>
          <w:sz w:val="20"/>
          <w:szCs w:val="20"/>
        </w:rPr>
        <w:t>TNP</w:t>
      </w:r>
      <w:r w:rsidR="00E918D7" w:rsidRPr="002217E4">
        <w:rPr>
          <w:rFonts w:asciiTheme="majorBidi" w:hAnsiTheme="majorBidi" w:cstheme="majorBidi"/>
          <w:sz w:val="20"/>
          <w:szCs w:val="20"/>
        </w:rPr>
        <w:t xml:space="preserve"> (lane </w:t>
      </w:r>
      <w:r w:rsidR="00063F19" w:rsidRPr="002217E4">
        <w:rPr>
          <w:rFonts w:asciiTheme="majorBidi" w:hAnsiTheme="majorBidi" w:cstheme="majorBidi"/>
          <w:sz w:val="20"/>
          <w:szCs w:val="20"/>
        </w:rPr>
        <w:t>c</w:t>
      </w:r>
      <w:r w:rsidR="00E918D7" w:rsidRPr="002217E4">
        <w:rPr>
          <w:rFonts w:asciiTheme="majorBidi" w:hAnsiTheme="majorBidi" w:cstheme="majorBidi"/>
          <w:sz w:val="20"/>
          <w:szCs w:val="20"/>
        </w:rPr>
        <w:t xml:space="preserve"> and d)</w:t>
      </w:r>
      <w:r w:rsidR="002508F8" w:rsidRPr="002217E4">
        <w:rPr>
          <w:rFonts w:asciiTheme="majorBidi" w:hAnsiTheme="majorBidi" w:cstheme="majorBidi"/>
          <w:sz w:val="20"/>
          <w:szCs w:val="20"/>
        </w:rPr>
        <w:t xml:space="preserve"> </w:t>
      </w:r>
      <w:r w:rsidR="00883A37" w:rsidRPr="002217E4">
        <w:rPr>
          <w:rFonts w:asciiTheme="majorBidi" w:hAnsiTheme="majorBidi" w:cstheme="majorBidi"/>
          <w:sz w:val="20"/>
          <w:szCs w:val="20"/>
        </w:rPr>
        <w:t xml:space="preserve">after 7 h incubation in human serum and </w:t>
      </w:r>
      <w:r w:rsidR="00E918D7" w:rsidRPr="002217E4">
        <w:rPr>
          <w:rFonts w:asciiTheme="majorBidi" w:hAnsiTheme="majorBidi" w:cstheme="majorBidi"/>
          <w:sz w:val="20"/>
          <w:szCs w:val="20"/>
        </w:rPr>
        <w:t>rat serum</w:t>
      </w:r>
      <w:r w:rsidR="00D56DEA" w:rsidRPr="002217E4">
        <w:rPr>
          <w:rFonts w:asciiTheme="majorBidi" w:hAnsiTheme="majorBidi" w:cstheme="majorBidi"/>
          <w:sz w:val="20"/>
          <w:szCs w:val="20"/>
        </w:rPr>
        <w:t>,</w:t>
      </w:r>
      <w:r w:rsidR="00835617" w:rsidRPr="002217E4">
        <w:rPr>
          <w:rFonts w:asciiTheme="majorBidi" w:hAnsiTheme="majorBidi" w:cstheme="majorBidi"/>
          <w:sz w:val="20"/>
          <w:szCs w:val="20"/>
        </w:rPr>
        <w:t xml:space="preserve"> </w:t>
      </w:r>
      <w:r w:rsidR="00D56DEA" w:rsidRPr="002217E4">
        <w:rPr>
          <w:rFonts w:asciiTheme="majorBidi" w:hAnsiTheme="majorBidi" w:cstheme="majorBidi"/>
          <w:sz w:val="20"/>
          <w:szCs w:val="20"/>
        </w:rPr>
        <w:t>respectively</w:t>
      </w:r>
      <w:r w:rsidR="00E918D7" w:rsidRPr="002217E4">
        <w:rPr>
          <w:rFonts w:asciiTheme="majorBidi" w:hAnsiTheme="majorBidi" w:cstheme="majorBidi"/>
          <w:sz w:val="20"/>
          <w:szCs w:val="20"/>
        </w:rPr>
        <w:t>.</w:t>
      </w:r>
    </w:p>
    <w:p w14:paraId="12A0C76F" w14:textId="2D2FA992" w:rsidR="009D3D3F" w:rsidRPr="002217E4" w:rsidRDefault="009D3D3F" w:rsidP="00E918D7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49B73E40" w14:textId="2E8E2DE1" w:rsidR="000D1162" w:rsidRPr="002217E4" w:rsidRDefault="000D1162" w:rsidP="009F2693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2217E4">
        <w:rPr>
          <w:rFonts w:asciiTheme="majorBidi" w:hAnsiTheme="majorBidi" w:cstheme="majorBidi"/>
          <w:b/>
          <w:bCs/>
          <w:sz w:val="20"/>
          <w:szCs w:val="20"/>
        </w:rPr>
        <w:t>Fig. S</w:t>
      </w:r>
      <w:r w:rsidR="00E34223">
        <w:rPr>
          <w:rFonts w:asciiTheme="majorBidi" w:hAnsiTheme="majorBidi" w:cstheme="majorBidi"/>
          <w:b/>
          <w:bCs/>
          <w:sz w:val="20"/>
          <w:szCs w:val="20"/>
        </w:rPr>
        <w:t>5</w:t>
      </w:r>
      <w:r w:rsidRPr="002217E4">
        <w:rPr>
          <w:rFonts w:asciiTheme="majorBidi" w:hAnsiTheme="majorBidi" w:cstheme="majorBidi"/>
          <w:b/>
          <w:bCs/>
          <w:sz w:val="20"/>
          <w:szCs w:val="20"/>
        </w:rPr>
        <w:t>.</w:t>
      </w:r>
      <w:r w:rsidR="003B02A1" w:rsidRPr="002217E4">
        <w:rPr>
          <w:sz w:val="20"/>
          <w:szCs w:val="20"/>
        </w:rPr>
        <w:t xml:space="preserve"> </w:t>
      </w:r>
      <w:r w:rsidR="009F2693" w:rsidRPr="002217E4">
        <w:rPr>
          <w:rFonts w:asciiTheme="majorBidi" w:hAnsiTheme="majorBidi" w:cstheme="majorBidi"/>
          <w:i/>
          <w:iCs/>
          <w:sz w:val="20"/>
          <w:szCs w:val="20"/>
        </w:rPr>
        <w:t>In vitro</w:t>
      </w:r>
      <w:r w:rsidR="009F2693" w:rsidRPr="002217E4">
        <w:rPr>
          <w:rFonts w:asciiTheme="majorBidi" w:hAnsiTheme="majorBidi" w:cstheme="majorBidi"/>
          <w:sz w:val="20"/>
          <w:szCs w:val="20"/>
        </w:rPr>
        <w:t xml:space="preserve"> cytotoxicity</w:t>
      </w:r>
      <w:r w:rsidR="003B02A1" w:rsidRPr="002217E4">
        <w:rPr>
          <w:rFonts w:asciiTheme="majorBidi" w:hAnsiTheme="majorBidi" w:cstheme="majorBidi"/>
          <w:sz w:val="20"/>
          <w:szCs w:val="20"/>
        </w:rPr>
        <w:t xml:space="preserve"> of CHO, 4T1, and MCF-7 cell</w:t>
      </w:r>
      <w:r w:rsidR="009F2693" w:rsidRPr="002217E4">
        <w:rPr>
          <w:rFonts w:asciiTheme="majorBidi" w:hAnsiTheme="majorBidi" w:cstheme="majorBidi"/>
          <w:sz w:val="20"/>
          <w:szCs w:val="20"/>
        </w:rPr>
        <w:t xml:space="preserve">s </w:t>
      </w:r>
      <w:r w:rsidR="003B02A1" w:rsidRPr="002217E4">
        <w:rPr>
          <w:rFonts w:asciiTheme="majorBidi" w:hAnsiTheme="majorBidi" w:cstheme="majorBidi"/>
          <w:sz w:val="20"/>
          <w:szCs w:val="20"/>
        </w:rPr>
        <w:t>at different concentrations of (</w:t>
      </w:r>
      <w:r w:rsidR="002217E4">
        <w:rPr>
          <w:rFonts w:asciiTheme="majorBidi" w:hAnsiTheme="majorBidi" w:cstheme="majorBidi"/>
          <w:sz w:val="20"/>
          <w:szCs w:val="20"/>
        </w:rPr>
        <w:t>a</w:t>
      </w:r>
      <w:r w:rsidR="003B02A1" w:rsidRPr="002217E4">
        <w:rPr>
          <w:rFonts w:asciiTheme="majorBidi" w:hAnsiTheme="majorBidi" w:cstheme="majorBidi"/>
          <w:sz w:val="20"/>
          <w:szCs w:val="20"/>
        </w:rPr>
        <w:t>) TNP (0.75 - 25 µg/mL) and (</w:t>
      </w:r>
      <w:r w:rsidR="002217E4">
        <w:rPr>
          <w:rFonts w:asciiTheme="majorBidi" w:hAnsiTheme="majorBidi" w:cstheme="majorBidi"/>
          <w:sz w:val="20"/>
          <w:szCs w:val="20"/>
        </w:rPr>
        <w:t>b</w:t>
      </w:r>
      <w:r w:rsidR="003B02A1" w:rsidRPr="002217E4">
        <w:rPr>
          <w:rFonts w:asciiTheme="majorBidi" w:hAnsiTheme="majorBidi" w:cstheme="majorBidi"/>
          <w:sz w:val="20"/>
          <w:szCs w:val="20"/>
        </w:rPr>
        <w:t xml:space="preserve">) DOX (0.03 </w:t>
      </w:r>
      <w:r w:rsidR="00AE56C2">
        <w:rPr>
          <w:rFonts w:asciiTheme="majorBidi" w:hAnsiTheme="majorBidi" w:cstheme="majorBidi"/>
          <w:sz w:val="20"/>
          <w:szCs w:val="20"/>
        </w:rPr>
        <w:t>-</w:t>
      </w:r>
      <w:r w:rsidR="003B02A1" w:rsidRPr="002217E4">
        <w:rPr>
          <w:rFonts w:asciiTheme="majorBidi" w:hAnsiTheme="majorBidi" w:cstheme="majorBidi"/>
          <w:sz w:val="20"/>
          <w:szCs w:val="20"/>
        </w:rPr>
        <w:t xml:space="preserve"> 1 µg/mL). (</w:t>
      </w:r>
      <w:r w:rsidR="002217E4">
        <w:rPr>
          <w:rFonts w:asciiTheme="majorBidi" w:hAnsiTheme="majorBidi" w:cstheme="majorBidi"/>
          <w:sz w:val="20"/>
          <w:szCs w:val="20"/>
        </w:rPr>
        <w:t>c</w:t>
      </w:r>
      <w:r w:rsidR="003B02A1" w:rsidRPr="002217E4">
        <w:rPr>
          <w:rFonts w:asciiTheme="majorBidi" w:hAnsiTheme="majorBidi" w:cstheme="majorBidi"/>
          <w:sz w:val="20"/>
          <w:szCs w:val="20"/>
        </w:rPr>
        <w:t>) Cell viability (%) versus Log concentration of DOX (µ</w:t>
      </w:r>
      <w:r w:rsidR="005512CE" w:rsidRPr="002217E4">
        <w:rPr>
          <w:rFonts w:asciiTheme="majorBidi" w:hAnsiTheme="majorBidi" w:cstheme="majorBidi"/>
          <w:sz w:val="20"/>
          <w:szCs w:val="20"/>
        </w:rPr>
        <w:t>g/mL</w:t>
      </w:r>
      <w:r w:rsidR="003B02A1" w:rsidRPr="002217E4">
        <w:rPr>
          <w:rFonts w:asciiTheme="majorBidi" w:hAnsiTheme="majorBidi" w:cstheme="majorBidi"/>
          <w:sz w:val="20"/>
          <w:szCs w:val="20"/>
        </w:rPr>
        <w:t xml:space="preserve">) graphs used </w:t>
      </w:r>
      <w:r w:rsidR="00E87089" w:rsidRPr="002217E4">
        <w:rPr>
          <w:rFonts w:asciiTheme="majorBidi" w:hAnsiTheme="majorBidi" w:cstheme="majorBidi"/>
          <w:sz w:val="20"/>
          <w:szCs w:val="20"/>
        </w:rPr>
        <w:t>to calculate</w:t>
      </w:r>
      <w:r w:rsidR="003B02A1" w:rsidRPr="002217E4">
        <w:rPr>
          <w:rFonts w:asciiTheme="majorBidi" w:hAnsiTheme="majorBidi" w:cstheme="majorBidi"/>
          <w:sz w:val="20"/>
          <w:szCs w:val="20"/>
        </w:rPr>
        <w:t xml:space="preserve"> IC</w:t>
      </w:r>
      <w:r w:rsidR="003B02A1" w:rsidRPr="002217E4">
        <w:rPr>
          <w:rFonts w:asciiTheme="majorBidi" w:hAnsiTheme="majorBidi" w:cstheme="majorBidi"/>
          <w:sz w:val="20"/>
          <w:szCs w:val="20"/>
          <w:vertAlign w:val="subscript"/>
        </w:rPr>
        <w:t>50</w:t>
      </w:r>
      <w:r w:rsidR="003B02A1" w:rsidRPr="002217E4">
        <w:rPr>
          <w:rFonts w:asciiTheme="majorBidi" w:hAnsiTheme="majorBidi" w:cstheme="majorBidi"/>
          <w:sz w:val="20"/>
          <w:szCs w:val="20"/>
        </w:rPr>
        <w:t xml:space="preserve"> value</w:t>
      </w:r>
      <w:r w:rsidR="00E87089" w:rsidRPr="002217E4">
        <w:rPr>
          <w:rFonts w:asciiTheme="majorBidi" w:hAnsiTheme="majorBidi" w:cstheme="majorBidi"/>
          <w:sz w:val="20"/>
          <w:szCs w:val="20"/>
        </w:rPr>
        <w:t>s of DOX</w:t>
      </w:r>
      <w:r w:rsidR="003B02A1" w:rsidRPr="002217E4">
        <w:rPr>
          <w:rFonts w:asciiTheme="majorBidi" w:hAnsiTheme="majorBidi" w:cstheme="majorBidi"/>
          <w:sz w:val="20"/>
          <w:szCs w:val="20"/>
        </w:rPr>
        <w:t xml:space="preserve"> against CHO, 4T1, and MCF-7 cell</w:t>
      </w:r>
      <w:r w:rsidR="00472D4C" w:rsidRPr="002217E4">
        <w:rPr>
          <w:rFonts w:asciiTheme="majorBidi" w:hAnsiTheme="majorBidi" w:cstheme="majorBidi"/>
          <w:sz w:val="20"/>
          <w:szCs w:val="20"/>
        </w:rPr>
        <w:t>s</w:t>
      </w:r>
      <w:r w:rsidR="003B02A1" w:rsidRPr="002217E4">
        <w:rPr>
          <w:rFonts w:asciiTheme="majorBidi" w:hAnsiTheme="majorBidi" w:cstheme="majorBidi"/>
          <w:sz w:val="20"/>
          <w:szCs w:val="20"/>
        </w:rPr>
        <w:t xml:space="preserve">. </w:t>
      </w:r>
      <w:r w:rsidR="00091208" w:rsidRPr="002217E4">
        <w:rPr>
          <w:rFonts w:asciiTheme="majorBidi" w:hAnsiTheme="majorBidi" w:cstheme="majorBidi"/>
          <w:noProof/>
          <w:sz w:val="20"/>
          <w:szCs w:val="20"/>
        </w:rPr>
        <w:fldChar w:fldCharType="begin"/>
      </w:r>
      <w:r w:rsidR="00091208" w:rsidRPr="002217E4">
        <w:rPr>
          <w:rFonts w:asciiTheme="majorBidi" w:hAnsiTheme="majorBidi" w:cstheme="majorBidi"/>
          <w:sz w:val="20"/>
          <w:szCs w:val="20"/>
        </w:rPr>
        <w:instrText xml:space="preserve"> ADDIN EN.REFLIST </w:instrText>
      </w:r>
      <w:r w:rsidR="00000000">
        <w:rPr>
          <w:rFonts w:asciiTheme="majorBidi" w:hAnsiTheme="majorBidi" w:cstheme="majorBidi"/>
          <w:noProof/>
          <w:sz w:val="20"/>
          <w:szCs w:val="20"/>
        </w:rPr>
        <w:fldChar w:fldCharType="separate"/>
      </w:r>
      <w:r w:rsidR="00091208" w:rsidRPr="002217E4">
        <w:rPr>
          <w:rFonts w:asciiTheme="majorBidi" w:hAnsiTheme="majorBidi" w:cstheme="majorBidi"/>
          <w:sz w:val="20"/>
          <w:szCs w:val="20"/>
        </w:rPr>
        <w:fldChar w:fldCharType="end"/>
      </w:r>
    </w:p>
    <w:sectPr w:rsidR="000D1162" w:rsidRPr="002217E4" w:rsidSect="00AE60A7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46F25"/>
    <w:multiLevelType w:val="multilevel"/>
    <w:tmpl w:val="75082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4" w:hanging="1800"/>
      </w:pPr>
      <w:rPr>
        <w:rFonts w:hint="default"/>
      </w:rPr>
    </w:lvl>
  </w:abstractNum>
  <w:abstractNum w:abstractNumId="1" w15:restartNumberingAfterBreak="0">
    <w:nsid w:val="7FDC7EBA"/>
    <w:multiLevelType w:val="hybridMultilevel"/>
    <w:tmpl w:val="0C5A5C3E"/>
    <w:lvl w:ilvl="0" w:tplc="1016A09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0620859">
    <w:abstractNumId w:val="1"/>
  </w:num>
  <w:num w:numId="2" w16cid:durableId="653870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dv Drug Delivery Rev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xdtddapxftva1edev4v9eaqe0vz00xdwd55&quot;&gt;articles phd&lt;record-ids&gt;&lt;item&gt;22&lt;/item&gt;&lt;/record-ids&gt;&lt;/item&gt;&lt;/Libraries&gt;"/>
  </w:docVars>
  <w:rsids>
    <w:rsidRoot w:val="00AE60A7"/>
    <w:rsid w:val="00043FB7"/>
    <w:rsid w:val="00052F4E"/>
    <w:rsid w:val="00063F19"/>
    <w:rsid w:val="00073BA7"/>
    <w:rsid w:val="00091208"/>
    <w:rsid w:val="00092592"/>
    <w:rsid w:val="000C6BDE"/>
    <w:rsid w:val="000D1162"/>
    <w:rsid w:val="000D5EF3"/>
    <w:rsid w:val="000E2239"/>
    <w:rsid w:val="000E3B75"/>
    <w:rsid w:val="00113F04"/>
    <w:rsid w:val="001349F4"/>
    <w:rsid w:val="00135D00"/>
    <w:rsid w:val="001427FF"/>
    <w:rsid w:val="001619B1"/>
    <w:rsid w:val="00167ABD"/>
    <w:rsid w:val="00172F9E"/>
    <w:rsid w:val="00174AB0"/>
    <w:rsid w:val="00193348"/>
    <w:rsid w:val="001A048B"/>
    <w:rsid w:val="001A1BFD"/>
    <w:rsid w:val="001C573A"/>
    <w:rsid w:val="001F2D76"/>
    <w:rsid w:val="001F51D6"/>
    <w:rsid w:val="00211419"/>
    <w:rsid w:val="002217E4"/>
    <w:rsid w:val="002475BA"/>
    <w:rsid w:val="002508F8"/>
    <w:rsid w:val="00287593"/>
    <w:rsid w:val="002952B7"/>
    <w:rsid w:val="0029609F"/>
    <w:rsid w:val="002974E6"/>
    <w:rsid w:val="002B7EAD"/>
    <w:rsid w:val="002C4AEA"/>
    <w:rsid w:val="002C5470"/>
    <w:rsid w:val="002C58FB"/>
    <w:rsid w:val="002D026B"/>
    <w:rsid w:val="002F2964"/>
    <w:rsid w:val="00304875"/>
    <w:rsid w:val="00304A6C"/>
    <w:rsid w:val="00315677"/>
    <w:rsid w:val="00352145"/>
    <w:rsid w:val="0036751E"/>
    <w:rsid w:val="00381FC3"/>
    <w:rsid w:val="003A2F2F"/>
    <w:rsid w:val="003B02A1"/>
    <w:rsid w:val="003B0883"/>
    <w:rsid w:val="003C3644"/>
    <w:rsid w:val="003D1549"/>
    <w:rsid w:val="003D17A8"/>
    <w:rsid w:val="003D2335"/>
    <w:rsid w:val="00415BA1"/>
    <w:rsid w:val="004271FA"/>
    <w:rsid w:val="0043515B"/>
    <w:rsid w:val="00437794"/>
    <w:rsid w:val="0044152C"/>
    <w:rsid w:val="00444D72"/>
    <w:rsid w:val="00455014"/>
    <w:rsid w:val="00472D4C"/>
    <w:rsid w:val="00475055"/>
    <w:rsid w:val="004767A1"/>
    <w:rsid w:val="004867AA"/>
    <w:rsid w:val="004B72C5"/>
    <w:rsid w:val="004C475E"/>
    <w:rsid w:val="004D33AA"/>
    <w:rsid w:val="004D3988"/>
    <w:rsid w:val="004E0FDB"/>
    <w:rsid w:val="00501FF7"/>
    <w:rsid w:val="00506795"/>
    <w:rsid w:val="00507886"/>
    <w:rsid w:val="00550B60"/>
    <w:rsid w:val="005512CE"/>
    <w:rsid w:val="00586A27"/>
    <w:rsid w:val="00590CE9"/>
    <w:rsid w:val="005B772F"/>
    <w:rsid w:val="005D43B7"/>
    <w:rsid w:val="005E5007"/>
    <w:rsid w:val="005F6A0E"/>
    <w:rsid w:val="0061068A"/>
    <w:rsid w:val="00615710"/>
    <w:rsid w:val="006866FB"/>
    <w:rsid w:val="00686A53"/>
    <w:rsid w:val="006C0773"/>
    <w:rsid w:val="006C2FF8"/>
    <w:rsid w:val="006E776F"/>
    <w:rsid w:val="006F1C3D"/>
    <w:rsid w:val="00704FCD"/>
    <w:rsid w:val="00724200"/>
    <w:rsid w:val="0075637D"/>
    <w:rsid w:val="00756DCE"/>
    <w:rsid w:val="00787AC1"/>
    <w:rsid w:val="00795667"/>
    <w:rsid w:val="007B3879"/>
    <w:rsid w:val="007C081A"/>
    <w:rsid w:val="007C284E"/>
    <w:rsid w:val="00814B6B"/>
    <w:rsid w:val="00821CAF"/>
    <w:rsid w:val="00826E2D"/>
    <w:rsid w:val="0083081F"/>
    <w:rsid w:val="00835617"/>
    <w:rsid w:val="0084598C"/>
    <w:rsid w:val="00853676"/>
    <w:rsid w:val="008656D9"/>
    <w:rsid w:val="00877427"/>
    <w:rsid w:val="00883A37"/>
    <w:rsid w:val="008C3B27"/>
    <w:rsid w:val="008C68E1"/>
    <w:rsid w:val="008F3D43"/>
    <w:rsid w:val="0090157D"/>
    <w:rsid w:val="009177DE"/>
    <w:rsid w:val="00917F63"/>
    <w:rsid w:val="0092498E"/>
    <w:rsid w:val="00927804"/>
    <w:rsid w:val="00942182"/>
    <w:rsid w:val="00942864"/>
    <w:rsid w:val="00946848"/>
    <w:rsid w:val="009565E2"/>
    <w:rsid w:val="00964439"/>
    <w:rsid w:val="0096449C"/>
    <w:rsid w:val="00974416"/>
    <w:rsid w:val="00994A4A"/>
    <w:rsid w:val="0099606F"/>
    <w:rsid w:val="009A79AA"/>
    <w:rsid w:val="009B05E5"/>
    <w:rsid w:val="009D0628"/>
    <w:rsid w:val="009D3D3F"/>
    <w:rsid w:val="009D4B1B"/>
    <w:rsid w:val="009E5932"/>
    <w:rsid w:val="009F2693"/>
    <w:rsid w:val="00A02A45"/>
    <w:rsid w:val="00A106EE"/>
    <w:rsid w:val="00A41D32"/>
    <w:rsid w:val="00A4635F"/>
    <w:rsid w:val="00A721FF"/>
    <w:rsid w:val="00A766CD"/>
    <w:rsid w:val="00A76782"/>
    <w:rsid w:val="00A829EE"/>
    <w:rsid w:val="00A8672C"/>
    <w:rsid w:val="00AA16DF"/>
    <w:rsid w:val="00AC3339"/>
    <w:rsid w:val="00AD15ED"/>
    <w:rsid w:val="00AD4BD2"/>
    <w:rsid w:val="00AE56C2"/>
    <w:rsid w:val="00AE60A7"/>
    <w:rsid w:val="00AF1783"/>
    <w:rsid w:val="00B07A2E"/>
    <w:rsid w:val="00B11843"/>
    <w:rsid w:val="00B81D50"/>
    <w:rsid w:val="00B84DAD"/>
    <w:rsid w:val="00B92777"/>
    <w:rsid w:val="00B95481"/>
    <w:rsid w:val="00BA05B6"/>
    <w:rsid w:val="00BA4109"/>
    <w:rsid w:val="00BC77CB"/>
    <w:rsid w:val="00BE7DD0"/>
    <w:rsid w:val="00C04D34"/>
    <w:rsid w:val="00C1038D"/>
    <w:rsid w:val="00C214F5"/>
    <w:rsid w:val="00C476FE"/>
    <w:rsid w:val="00C668E5"/>
    <w:rsid w:val="00C71AB4"/>
    <w:rsid w:val="00C918AE"/>
    <w:rsid w:val="00C95471"/>
    <w:rsid w:val="00CA2ECA"/>
    <w:rsid w:val="00CB68E3"/>
    <w:rsid w:val="00CC5B10"/>
    <w:rsid w:val="00CC5E45"/>
    <w:rsid w:val="00D22C02"/>
    <w:rsid w:val="00D255DD"/>
    <w:rsid w:val="00D364D0"/>
    <w:rsid w:val="00D43791"/>
    <w:rsid w:val="00D51819"/>
    <w:rsid w:val="00D56DEA"/>
    <w:rsid w:val="00D74250"/>
    <w:rsid w:val="00D864A4"/>
    <w:rsid w:val="00DB4E8B"/>
    <w:rsid w:val="00DC3F37"/>
    <w:rsid w:val="00DD01AF"/>
    <w:rsid w:val="00E06822"/>
    <w:rsid w:val="00E213EE"/>
    <w:rsid w:val="00E24B01"/>
    <w:rsid w:val="00E34223"/>
    <w:rsid w:val="00E34B9D"/>
    <w:rsid w:val="00E43CB1"/>
    <w:rsid w:val="00E47670"/>
    <w:rsid w:val="00E47ABF"/>
    <w:rsid w:val="00E510AE"/>
    <w:rsid w:val="00E632F8"/>
    <w:rsid w:val="00E76367"/>
    <w:rsid w:val="00E87089"/>
    <w:rsid w:val="00E8792C"/>
    <w:rsid w:val="00E918D7"/>
    <w:rsid w:val="00E942B1"/>
    <w:rsid w:val="00ED1EA2"/>
    <w:rsid w:val="00ED3E84"/>
    <w:rsid w:val="00EF1016"/>
    <w:rsid w:val="00EF7D38"/>
    <w:rsid w:val="00F1025F"/>
    <w:rsid w:val="00F1640C"/>
    <w:rsid w:val="00F40462"/>
    <w:rsid w:val="00F801DB"/>
    <w:rsid w:val="00F93268"/>
    <w:rsid w:val="00F95DA6"/>
    <w:rsid w:val="00F9783C"/>
    <w:rsid w:val="00FB6DB8"/>
    <w:rsid w:val="00FC1D0D"/>
    <w:rsid w:val="00FE02B9"/>
    <w:rsid w:val="00FF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49D6E3AB"/>
  <w15:chartTrackingRefBased/>
  <w15:docId w15:val="{B18BEEB4-DE4D-4FFE-BAB0-BCB8E376E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5ED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091208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91208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91208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91208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6866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66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bnouskh@mums.ac.ir" TargetMode="External"/><Relationship Id="rId11" Type="http://schemas.openxmlformats.org/officeDocument/2006/relationships/image" Target="media/image5.tiff"/><Relationship Id="rId5" Type="http://schemas.openxmlformats.org/officeDocument/2006/relationships/hyperlink" Target="mailto:hashemit@um.ac.ir" TargetMode="Externa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 Masoudi</dc:creator>
  <cp:keywords/>
  <dc:description/>
  <cp:lastModifiedBy>Mina Masoudi</cp:lastModifiedBy>
  <cp:revision>11</cp:revision>
  <cp:lastPrinted>2023-09-11T10:09:00Z</cp:lastPrinted>
  <dcterms:created xsi:type="dcterms:W3CDTF">2023-09-26T13:29:00Z</dcterms:created>
  <dcterms:modified xsi:type="dcterms:W3CDTF">2023-09-27T08:19:00Z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a0c7fdd8-3327-415e-b486-cb3ab4623e6a</vt:lpwstr>
  </property>
</Properties>
</file>