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6DE" w:rsidRDefault="006176DE" w:rsidP="006176DE">
      <w:pPr>
        <w:pStyle w:val="LO-Normal0"/>
        <w:pBdr>
          <w:bottom w:val="single" w:sz="4" w:space="1" w:color="000000"/>
        </w:pBdr>
        <w:jc w:val="both"/>
        <w:rPr>
          <w:rFonts w:cs="Calibri"/>
          <w:b/>
          <w:bCs/>
        </w:rPr>
      </w:pPr>
    </w:p>
    <w:p w:rsidR="006176DE" w:rsidRDefault="006176DE" w:rsidP="006176DE">
      <w:pPr>
        <w:pStyle w:val="LO-Normal0"/>
        <w:pBdr>
          <w:bottom w:val="single" w:sz="4" w:space="1" w:color="000000"/>
        </w:pBdr>
        <w:jc w:val="both"/>
      </w:pPr>
      <w:r>
        <w:rPr>
          <w:rFonts w:cs="Calibri"/>
          <w:b/>
          <w:bCs/>
        </w:rPr>
        <w:t>Supplementary Material</w:t>
      </w:r>
    </w:p>
    <w:p w:rsidR="006176DE" w:rsidRDefault="006176DE" w:rsidP="006176DE">
      <w:pPr>
        <w:pStyle w:val="NormalWeb"/>
        <w:spacing w:before="0" w:after="0" w:line="276" w:lineRule="auto"/>
        <w:jc w:val="both"/>
      </w:pPr>
    </w:p>
    <w:p w:rsidR="006176DE" w:rsidRDefault="006176DE" w:rsidP="006176DE">
      <w:pPr>
        <w:pStyle w:val="Corpodetexto"/>
        <w:jc w:val="both"/>
      </w:pPr>
    </w:p>
    <w:p w:rsidR="006176DE" w:rsidRDefault="006176DE" w:rsidP="006176DE">
      <w:pPr>
        <w:spacing w:line="276" w:lineRule="auto"/>
        <w:jc w:val="both"/>
        <w:rPr>
          <w:b/>
          <w:bCs/>
          <w:color w:val="000000"/>
          <w:sz w:val="20"/>
          <w:szCs w:val="20"/>
        </w:rPr>
      </w:pPr>
      <w:r w:rsidRPr="00846EDC">
        <w:rPr>
          <w:b/>
          <w:bCs/>
          <w:noProof/>
          <w:color w:val="000000"/>
          <w:sz w:val="20"/>
          <w:szCs w:val="20"/>
        </w:rPr>
        <w:drawing>
          <wp:inline distT="0" distB="0" distL="0" distR="0" wp14:anchorId="227CEFB9" wp14:editId="2E054082">
            <wp:extent cx="5731510" cy="5882005"/>
            <wp:effectExtent l="0" t="0" r="0" b="0"/>
            <wp:docPr id="690014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143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6DE" w:rsidRDefault="006176DE" w:rsidP="006176DE">
      <w:pPr>
        <w:spacing w:line="276" w:lineRule="auto"/>
        <w:jc w:val="both"/>
        <w:rPr>
          <w:rFonts w:eastAsia="Times New Roman" w:cs="Calibri"/>
          <w:color w:val="000000"/>
          <w:sz w:val="20"/>
          <w:szCs w:val="20"/>
        </w:rPr>
      </w:pPr>
      <w:r w:rsidRPr="00846EDC">
        <w:rPr>
          <w:rFonts w:eastAsia="Times New Roman" w:cs="Calibri"/>
          <w:noProof/>
          <w:color w:val="000000"/>
          <w:sz w:val="20"/>
          <w:szCs w:val="20"/>
        </w:rPr>
        <w:lastRenderedPageBreak/>
        <w:drawing>
          <wp:inline distT="0" distB="0" distL="0" distR="0" wp14:anchorId="1A888CD3" wp14:editId="038F4D14">
            <wp:extent cx="5731510" cy="7952105"/>
            <wp:effectExtent l="0" t="0" r="0" b="0"/>
            <wp:docPr id="1791468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685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6DE" w:rsidRDefault="006176DE" w:rsidP="006176DE">
      <w:pPr>
        <w:spacing w:line="276" w:lineRule="auto"/>
        <w:jc w:val="both"/>
        <w:rPr>
          <w:b/>
          <w:bCs/>
          <w:color w:val="000000"/>
          <w:sz w:val="20"/>
          <w:szCs w:val="20"/>
        </w:rPr>
      </w:pPr>
    </w:p>
    <w:p w:rsidR="006176DE" w:rsidRDefault="006176DE" w:rsidP="006176DE">
      <w:pPr>
        <w:spacing w:line="276" w:lineRule="auto"/>
        <w:jc w:val="both"/>
        <w:rPr>
          <w:rFonts w:eastAsia="Times New Roman" w:cs="Calibri"/>
          <w:color w:val="000000"/>
          <w:sz w:val="20"/>
          <w:szCs w:val="20"/>
        </w:rPr>
      </w:pPr>
    </w:p>
    <w:p w:rsidR="006176DE" w:rsidRPr="003E59A2" w:rsidRDefault="006176DE" w:rsidP="006176DE">
      <w:pPr>
        <w:spacing w:line="276" w:lineRule="auto"/>
        <w:jc w:val="both"/>
        <w:rPr>
          <w:b/>
          <w:bCs/>
          <w:color w:val="000000"/>
          <w:sz w:val="20"/>
          <w:szCs w:val="20"/>
          <w:lang w:val="pt-BR"/>
        </w:rPr>
      </w:pPr>
    </w:p>
    <w:p w:rsidR="006176DE" w:rsidRDefault="006176DE" w:rsidP="006176DE">
      <w:pPr>
        <w:spacing w:line="276" w:lineRule="auto"/>
        <w:jc w:val="both"/>
        <w:rPr>
          <w:rFonts w:eastAsia="Times New Roman" w:cs="Calibri"/>
          <w:color w:val="000000"/>
          <w:sz w:val="20"/>
          <w:szCs w:val="20"/>
        </w:rPr>
      </w:pPr>
    </w:p>
    <w:p w:rsidR="006176DE" w:rsidRDefault="006176DE" w:rsidP="006176DE">
      <w:pPr>
        <w:spacing w:line="276" w:lineRule="auto"/>
        <w:jc w:val="both"/>
      </w:pPr>
      <w:r>
        <w:rPr>
          <w:b/>
          <w:bCs/>
          <w:color w:val="000000"/>
          <w:sz w:val="20"/>
          <w:szCs w:val="20"/>
        </w:rPr>
        <w:lastRenderedPageBreak/>
        <w:t>Figure S1.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Gating strategies for the assessment of myeloid and lymphoid cells.</w:t>
      </w:r>
      <w:r>
        <w:rPr>
          <w:color w:val="000000"/>
          <w:sz w:val="20"/>
          <w:szCs w:val="20"/>
        </w:rPr>
        <w:t xml:space="preserve"> </w:t>
      </w:r>
      <w:r>
        <w:rPr>
          <w:rFonts w:eastAsia="Times New Roman" w:cs="Calibri"/>
          <w:color w:val="000000"/>
          <w:sz w:val="20"/>
          <w:szCs w:val="20"/>
        </w:rPr>
        <w:t xml:space="preserve">Total cells were gated by plotting forward scatter area (FSC-A) versus side scatter area (SSC-A). Single cells were selected by plotting forward scatter area (FSC-A) versus forward scatter height. Live cells were selected by gating unstained cells for the viability dye. Total leukocytes in the samples were selected by gating CD45+ cells. </w:t>
      </w:r>
      <w:r>
        <w:rPr>
          <w:rFonts w:eastAsia="Times New Roman" w:cs="Calibri"/>
          <w:b/>
          <w:bCs/>
          <w:color w:val="000000"/>
          <w:sz w:val="20"/>
          <w:szCs w:val="20"/>
        </w:rPr>
        <w:t>(a)</w:t>
      </w:r>
      <w:r>
        <w:rPr>
          <w:rFonts w:eastAsia="Times New Roman" w:cs="Calibri"/>
          <w:color w:val="000000"/>
          <w:sz w:val="20"/>
          <w:szCs w:val="20"/>
        </w:rPr>
        <w:t xml:space="preserve"> Lymphoid cell populations were gated by plotting CD19 versus CD3, and myeloid cells were gated by plotting side scatter height (SSC-H) versus CD11b. Each population of interest were gated as follows: B Cell (CD45+ CD19+); TCD4 Cells (CD45+ CD3+ CD4+); TCD8 Cells (CD45+ CD3+ CD8+); Polymorphonuclear myeloid cells (CD11b+ Ly-6G+ Ly-6C-); Mononuclear myeloid cells (CD11b+ Ly-6G- Ly-6C+). </w:t>
      </w: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(b) </w:t>
      </w:r>
      <w:r>
        <w:rPr>
          <w:rFonts w:eastAsia="Times New Roman" w:cs="Calibri"/>
          <w:color w:val="000000"/>
          <w:sz w:val="20"/>
          <w:szCs w:val="20"/>
        </w:rPr>
        <w:t xml:space="preserve">Each population of interest were gated as follows: B Cell (CD45+ CD19+); Plasma cells (CD45+ CD138+); B10 B cell (CD45+ CD19+ CD5+ CD1d+), Naive B Cell (CD45+ CD19+ </w:t>
      </w:r>
      <w:proofErr w:type="spellStart"/>
      <w:r>
        <w:rPr>
          <w:rFonts w:eastAsia="Times New Roman" w:cs="Calibri"/>
          <w:color w:val="000000"/>
          <w:sz w:val="20"/>
          <w:szCs w:val="20"/>
        </w:rPr>
        <w:t>IgD</w:t>
      </w:r>
      <w:proofErr w:type="spellEnd"/>
      <w:r>
        <w:rPr>
          <w:rFonts w:eastAsia="Times New Roman" w:cs="Calibri"/>
          <w:color w:val="000000"/>
          <w:sz w:val="20"/>
          <w:szCs w:val="20"/>
        </w:rPr>
        <w:t xml:space="preserve"> High), Early-activated B cells (CD45+ CD19+ </w:t>
      </w:r>
      <w:proofErr w:type="spellStart"/>
      <w:r>
        <w:rPr>
          <w:rFonts w:eastAsia="Times New Roman" w:cs="Calibri"/>
          <w:color w:val="000000"/>
          <w:sz w:val="20"/>
          <w:szCs w:val="20"/>
        </w:rPr>
        <w:t>IgD</w:t>
      </w:r>
      <w:proofErr w:type="spellEnd"/>
      <w:r>
        <w:rPr>
          <w:rFonts w:eastAsia="Times New Roman" w:cs="Calibri"/>
          <w:color w:val="000000"/>
          <w:sz w:val="20"/>
          <w:szCs w:val="20"/>
        </w:rPr>
        <w:t xml:space="preserve"> Int Low); B Cell LAG-3+ subsets (CD45+ CD19+ LAG-3+): </w:t>
      </w:r>
      <w:proofErr w:type="spellStart"/>
      <w:r>
        <w:rPr>
          <w:rFonts w:eastAsia="Times New Roman" w:cs="Calibri"/>
          <w:color w:val="000000"/>
          <w:sz w:val="20"/>
          <w:szCs w:val="20"/>
        </w:rPr>
        <w:t>IgD</w:t>
      </w:r>
      <w:proofErr w:type="spellEnd"/>
      <w:r>
        <w:rPr>
          <w:rFonts w:eastAsia="Times New Roman" w:cs="Calibri"/>
          <w:color w:val="000000"/>
          <w:sz w:val="20"/>
          <w:szCs w:val="20"/>
        </w:rPr>
        <w:t xml:space="preserve"> Int Low, </w:t>
      </w:r>
      <w:proofErr w:type="spellStart"/>
      <w:r>
        <w:rPr>
          <w:rFonts w:eastAsia="Times New Roman" w:cs="Calibri"/>
          <w:color w:val="000000"/>
          <w:sz w:val="20"/>
          <w:szCs w:val="20"/>
        </w:rPr>
        <w:t>IgD</w:t>
      </w:r>
      <w:proofErr w:type="spellEnd"/>
      <w:r>
        <w:rPr>
          <w:rFonts w:eastAsia="Times New Roman" w:cs="Calibri"/>
          <w:color w:val="000000"/>
          <w:sz w:val="20"/>
          <w:szCs w:val="20"/>
        </w:rPr>
        <w:t xml:space="preserve"> High, CD138+. </w:t>
      </w:r>
    </w:p>
    <w:p w:rsidR="006176DE" w:rsidRDefault="006176DE" w:rsidP="006176DE">
      <w:pPr>
        <w:jc w:val="both"/>
      </w:pPr>
      <w:r>
        <w:t xml:space="preserve"> </w:t>
      </w:r>
      <w:r>
        <w:tab/>
      </w:r>
    </w:p>
    <w:p w:rsidR="006176DE" w:rsidRDefault="006176DE" w:rsidP="006176DE">
      <w:pPr>
        <w:jc w:val="both"/>
      </w:pPr>
    </w:p>
    <w:p w:rsidR="006176DE" w:rsidRDefault="006176DE" w:rsidP="006176DE">
      <w:pPr>
        <w:spacing w:line="276" w:lineRule="auto"/>
        <w:jc w:val="both"/>
      </w:pPr>
    </w:p>
    <w:p w:rsidR="006176DE" w:rsidRDefault="006176DE" w:rsidP="006176DE">
      <w:pPr>
        <w:spacing w:line="276" w:lineRule="auto"/>
        <w:jc w:val="both"/>
      </w:pPr>
    </w:p>
    <w:p w:rsidR="006176DE" w:rsidRDefault="006176DE" w:rsidP="006176DE">
      <w:pPr>
        <w:spacing w:line="276" w:lineRule="auto"/>
        <w:jc w:val="both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2B8CA440" wp14:editId="4D85F6A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4919980"/>
            <wp:effectExtent l="0" t="0" r="0" b="0"/>
            <wp:wrapSquare wrapText="largest"/>
            <wp:docPr id="1069268123" name="Picture 106926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6DE" w:rsidRPr="003E59A2" w:rsidRDefault="006176DE" w:rsidP="006176DE">
      <w:pPr>
        <w:spacing w:line="276" w:lineRule="auto"/>
        <w:jc w:val="both"/>
      </w:pPr>
      <w:r>
        <w:rPr>
          <w:b/>
          <w:bCs/>
          <w:color w:val="000000"/>
          <w:sz w:val="20"/>
          <w:szCs w:val="20"/>
        </w:rPr>
        <w:t xml:space="preserve">Figure S2. Area and weight of spleen and </w:t>
      </w:r>
      <w:proofErr w:type="spellStart"/>
      <w:r>
        <w:rPr>
          <w:b/>
          <w:bCs/>
          <w:color w:val="000000"/>
          <w:sz w:val="20"/>
          <w:szCs w:val="20"/>
        </w:rPr>
        <w:t>tDLNs</w:t>
      </w:r>
      <w:proofErr w:type="spellEnd"/>
      <w:r>
        <w:rPr>
          <w:b/>
          <w:bCs/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Area of the </w:t>
      </w:r>
      <w:proofErr w:type="spellStart"/>
      <w:r>
        <w:rPr>
          <w:color w:val="000000"/>
          <w:sz w:val="20"/>
          <w:szCs w:val="20"/>
        </w:rPr>
        <w:t>tDLNs</w:t>
      </w:r>
      <w:proofErr w:type="spellEnd"/>
      <w:r>
        <w:rPr>
          <w:color w:val="000000"/>
          <w:sz w:val="20"/>
          <w:szCs w:val="20"/>
        </w:rPr>
        <w:t xml:space="preserve"> (right) and the spleen (right) in mice from control (blue) and 4T1/E0771 tumor-bearing mice after 7, 14 and 21 days of tumoral challenge </w:t>
      </w:r>
      <w:r>
        <w:rPr>
          <w:b/>
          <w:bCs/>
          <w:color w:val="000000"/>
          <w:sz w:val="20"/>
          <w:szCs w:val="20"/>
        </w:rPr>
        <w:t xml:space="preserve">(a). </w:t>
      </w:r>
      <w:r>
        <w:rPr>
          <w:color w:val="000000"/>
          <w:sz w:val="20"/>
          <w:szCs w:val="20"/>
        </w:rPr>
        <w:t xml:space="preserve">Weight of the </w:t>
      </w:r>
      <w:proofErr w:type="spellStart"/>
      <w:r>
        <w:rPr>
          <w:color w:val="000000"/>
          <w:sz w:val="20"/>
          <w:szCs w:val="20"/>
        </w:rPr>
        <w:t>tDLNs</w:t>
      </w:r>
      <w:proofErr w:type="spellEnd"/>
      <w:r>
        <w:rPr>
          <w:color w:val="000000"/>
          <w:sz w:val="20"/>
          <w:szCs w:val="20"/>
        </w:rPr>
        <w:t xml:space="preserve"> (right) and the spleen (right) in mice from control (blue) and 4T1/E0771 tumor-bearing mice after 7, 14 and 21 days of tumoral challenge </w:t>
      </w:r>
      <w:r>
        <w:rPr>
          <w:b/>
          <w:bCs/>
          <w:color w:val="000000"/>
          <w:sz w:val="20"/>
          <w:szCs w:val="20"/>
        </w:rPr>
        <w:t>(b).</w:t>
      </w:r>
      <w:r>
        <w:rPr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t>p&lt;0.05, ** p&lt;0.01, *** p&lt;0.001, **** p&lt;0.0001.</w:t>
      </w:r>
      <w:r>
        <w:rPr>
          <w:rFonts w:ascii="HelveticaNeue" w:hAnsi="HelveticaNeue" w:cs="Calibri"/>
          <w:color w:val="000000"/>
          <w:sz w:val="26"/>
          <w:szCs w:val="20"/>
        </w:rPr>
        <w:t xml:space="preserve">  </w:t>
      </w:r>
    </w:p>
    <w:p w:rsidR="006176DE" w:rsidRDefault="006176DE" w:rsidP="006176DE">
      <w:pPr>
        <w:spacing w:line="276" w:lineRule="auto"/>
        <w:jc w:val="both"/>
        <w:rPr>
          <w:rFonts w:ascii="HelveticaNeue" w:hAnsi="HelveticaNeue" w:cs="Calibri"/>
          <w:color w:val="000000"/>
          <w:sz w:val="26"/>
          <w:szCs w:val="20"/>
        </w:rPr>
      </w:pPr>
      <w:r>
        <w:rPr>
          <w:rFonts w:ascii="HelveticaNeue" w:hAnsi="HelveticaNeue" w:cs="Calibri"/>
          <w:noProof/>
          <w:color w:val="000000"/>
          <w:sz w:val="26"/>
          <w:szCs w:val="20"/>
        </w:rPr>
        <w:lastRenderedPageBreak/>
        <w:drawing>
          <wp:anchor distT="0" distB="0" distL="0" distR="0" simplePos="0" relativeHeight="251660288" behindDoc="0" locked="0" layoutInCell="0" allowOverlap="1" wp14:anchorId="27534DFD" wp14:editId="41E3B20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679190" cy="8719820"/>
            <wp:effectExtent l="0" t="0" r="0" b="0"/>
            <wp:wrapTopAndBottom/>
            <wp:docPr id="1993420887" name="Picture 1993420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6DE" w:rsidRDefault="006176DE" w:rsidP="006176DE">
      <w:pPr>
        <w:spacing w:line="276" w:lineRule="auto"/>
        <w:jc w:val="both"/>
        <w:rPr>
          <w:rFonts w:ascii="HelveticaNeue" w:hAnsi="HelveticaNeue" w:cs="Calibri"/>
          <w:color w:val="000000"/>
          <w:sz w:val="26"/>
          <w:szCs w:val="20"/>
        </w:rPr>
      </w:pPr>
    </w:p>
    <w:p w:rsidR="006176DE" w:rsidRDefault="006176DE" w:rsidP="006176DE">
      <w:pPr>
        <w:spacing w:line="276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Figure S3. Absolute cell </w:t>
      </w:r>
      <w:proofErr w:type="gramStart"/>
      <w:r>
        <w:rPr>
          <w:rFonts w:cs="Calibri"/>
          <w:b/>
          <w:bCs/>
          <w:color w:val="000000"/>
          <w:sz w:val="20"/>
          <w:szCs w:val="20"/>
        </w:rPr>
        <w:t>count</w:t>
      </w:r>
      <w:proofErr w:type="gramEnd"/>
      <w:r>
        <w:rPr>
          <w:rFonts w:cs="Calibri"/>
          <w:b/>
          <w:bCs/>
          <w:color w:val="000000"/>
          <w:sz w:val="20"/>
          <w:szCs w:val="20"/>
        </w:rPr>
        <w:t xml:space="preserve"> for lymphoid and myeloid cells in the </w:t>
      </w:r>
      <w:proofErr w:type="spellStart"/>
      <w:r>
        <w:rPr>
          <w:rFonts w:cs="Calibri"/>
          <w:b/>
          <w:bCs/>
          <w:color w:val="000000"/>
          <w:sz w:val="20"/>
          <w:szCs w:val="20"/>
        </w:rPr>
        <w:t>tDLN</w:t>
      </w:r>
      <w:proofErr w:type="spellEnd"/>
      <w:r>
        <w:rPr>
          <w:rFonts w:cs="Calibri"/>
          <w:b/>
          <w:bCs/>
          <w:color w:val="000000"/>
          <w:sz w:val="20"/>
          <w:szCs w:val="20"/>
        </w:rPr>
        <w:t xml:space="preserve"> and spleen. </w:t>
      </w:r>
      <w:r>
        <w:rPr>
          <w:rFonts w:cs="Calibri"/>
          <w:color w:val="000000"/>
          <w:sz w:val="20"/>
          <w:szCs w:val="20"/>
        </w:rPr>
        <w:t xml:space="preserve">Cell count for B cells </w:t>
      </w:r>
      <w:r>
        <w:rPr>
          <w:rFonts w:cs="Calibri"/>
          <w:b/>
          <w:bCs/>
          <w:color w:val="000000"/>
          <w:sz w:val="20"/>
          <w:szCs w:val="20"/>
        </w:rPr>
        <w:t>(a, f)</w:t>
      </w:r>
      <w:r>
        <w:rPr>
          <w:rFonts w:cs="Calibri"/>
          <w:color w:val="000000"/>
          <w:sz w:val="20"/>
          <w:szCs w:val="20"/>
        </w:rPr>
        <w:t xml:space="preserve">, TCD4 cells </w:t>
      </w:r>
      <w:r>
        <w:rPr>
          <w:rFonts w:cs="Calibri"/>
          <w:b/>
          <w:bCs/>
          <w:color w:val="000000"/>
          <w:sz w:val="20"/>
          <w:szCs w:val="20"/>
        </w:rPr>
        <w:t>(b, g)</w:t>
      </w:r>
      <w:r>
        <w:rPr>
          <w:rFonts w:cs="Calibri"/>
          <w:color w:val="000000"/>
          <w:sz w:val="20"/>
          <w:szCs w:val="20"/>
        </w:rPr>
        <w:t xml:space="preserve">, TCD8 cells </w:t>
      </w:r>
      <w:r>
        <w:rPr>
          <w:rFonts w:cs="Calibri"/>
          <w:b/>
          <w:bCs/>
          <w:color w:val="000000"/>
          <w:sz w:val="20"/>
          <w:szCs w:val="20"/>
        </w:rPr>
        <w:t>(c, h)</w:t>
      </w:r>
      <w:r>
        <w:rPr>
          <w:rFonts w:cs="Calibri"/>
          <w:color w:val="000000"/>
          <w:sz w:val="20"/>
          <w:szCs w:val="20"/>
        </w:rPr>
        <w:t xml:space="preserve">, PMN myeloid cells </w:t>
      </w:r>
      <w:r>
        <w:rPr>
          <w:rFonts w:cs="Calibri"/>
          <w:b/>
          <w:bCs/>
          <w:color w:val="000000"/>
          <w:sz w:val="20"/>
          <w:szCs w:val="20"/>
        </w:rPr>
        <w:t xml:space="preserve">(d, </w:t>
      </w:r>
      <w:proofErr w:type="spellStart"/>
      <w:r>
        <w:rPr>
          <w:rFonts w:cs="Calibri"/>
          <w:b/>
          <w:bCs/>
          <w:color w:val="000000"/>
          <w:sz w:val="20"/>
          <w:szCs w:val="20"/>
        </w:rPr>
        <w:t>i</w:t>
      </w:r>
      <w:proofErr w:type="spellEnd"/>
      <w:r>
        <w:rPr>
          <w:rFonts w:cs="Calibri"/>
          <w:b/>
          <w:bCs/>
          <w:color w:val="000000"/>
          <w:sz w:val="20"/>
          <w:szCs w:val="20"/>
        </w:rPr>
        <w:t xml:space="preserve">), </w:t>
      </w:r>
      <w:r>
        <w:rPr>
          <w:rFonts w:cs="Calibri"/>
          <w:color w:val="000000"/>
          <w:sz w:val="20"/>
          <w:szCs w:val="20"/>
        </w:rPr>
        <w:t xml:space="preserve">and MN myeloid cells </w:t>
      </w:r>
      <w:r>
        <w:rPr>
          <w:rFonts w:cs="Calibri"/>
          <w:b/>
          <w:bCs/>
          <w:color w:val="000000"/>
          <w:sz w:val="20"/>
          <w:szCs w:val="20"/>
        </w:rPr>
        <w:t>(e, j)</w:t>
      </w:r>
      <w:r>
        <w:rPr>
          <w:rFonts w:cs="Calibri"/>
          <w:color w:val="000000"/>
          <w:sz w:val="20"/>
          <w:szCs w:val="20"/>
        </w:rPr>
        <w:t xml:space="preserve"> in the </w:t>
      </w:r>
      <w:proofErr w:type="spellStart"/>
      <w:r>
        <w:rPr>
          <w:rFonts w:cs="Calibri"/>
          <w:color w:val="000000"/>
          <w:sz w:val="20"/>
          <w:szCs w:val="20"/>
        </w:rPr>
        <w:t>tDLNs</w:t>
      </w:r>
      <w:proofErr w:type="spellEnd"/>
      <w:r>
        <w:rPr>
          <w:rFonts w:cs="Calibri"/>
          <w:color w:val="000000"/>
          <w:sz w:val="20"/>
          <w:szCs w:val="20"/>
        </w:rPr>
        <w:t xml:space="preserve"> and the spleen from control (blue) and 4T1/E0771 tumor-bearing mice (red) 7, 14 and 21 days after the initial inoculation, respectively</w:t>
      </w:r>
      <w:r>
        <w:rPr>
          <w:rFonts w:cs="Calibri"/>
          <w:b/>
          <w:bCs/>
          <w:color w:val="000000"/>
          <w:sz w:val="20"/>
          <w:szCs w:val="20"/>
        </w:rPr>
        <w:t>.</w:t>
      </w:r>
      <w:r>
        <w:rPr>
          <w:rFonts w:cs="Calibri"/>
          <w:color w:val="000000"/>
          <w:sz w:val="20"/>
          <w:szCs w:val="20"/>
        </w:rPr>
        <w:t xml:space="preserve"> p&lt;0.05, ** p&lt;0.01, *** p&lt;0.001, **** p&lt;0.0001.</w:t>
      </w:r>
      <w:r>
        <w:rPr>
          <w:rFonts w:ascii="HelveticaNeue" w:hAnsi="HelveticaNeue" w:cs="Calibri"/>
          <w:color w:val="000000"/>
          <w:sz w:val="26"/>
          <w:szCs w:val="20"/>
        </w:rPr>
        <w:t xml:space="preserve">  </w:t>
      </w:r>
    </w:p>
    <w:p w:rsidR="006176DE" w:rsidRPr="007B0F92" w:rsidRDefault="006176DE" w:rsidP="006176DE">
      <w:pPr>
        <w:spacing w:line="276" w:lineRule="auto"/>
        <w:jc w:val="both"/>
        <w:rPr>
          <w:rFonts w:ascii="HelveticaNeue" w:hAnsi="HelveticaNeue"/>
          <w:color w:val="000000"/>
          <w:sz w:val="26"/>
        </w:rPr>
      </w:pPr>
    </w:p>
    <w:p w:rsidR="006176DE" w:rsidRPr="007B0F92" w:rsidRDefault="006176DE" w:rsidP="006176DE">
      <w:pPr>
        <w:spacing w:line="276" w:lineRule="auto"/>
        <w:jc w:val="both"/>
        <w:rPr>
          <w:rFonts w:ascii="HelveticaNeue" w:hAnsi="HelveticaNeue"/>
          <w:color w:val="000000"/>
          <w:sz w:val="26"/>
        </w:rPr>
      </w:pPr>
    </w:p>
    <w:p w:rsidR="006176DE" w:rsidRPr="007B0F92" w:rsidRDefault="006176DE" w:rsidP="006176DE">
      <w:pPr>
        <w:spacing w:line="276" w:lineRule="auto"/>
        <w:jc w:val="both"/>
        <w:rPr>
          <w:rFonts w:ascii="HelveticaNeue" w:hAnsi="HelveticaNeue"/>
          <w:color w:val="000000"/>
          <w:sz w:val="26"/>
        </w:rPr>
      </w:pPr>
    </w:p>
    <w:p w:rsidR="006176DE" w:rsidRDefault="006176DE" w:rsidP="006176DE"/>
    <w:p w:rsidR="006176DE" w:rsidRDefault="006176DE"/>
    <w:sectPr w:rsidR="006176DE" w:rsidSect="007B0F92">
      <w:pgSz w:w="11906" w:h="16838"/>
      <w:pgMar w:top="1440" w:right="1440" w:bottom="1440" w:left="144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DE"/>
    <w:rsid w:val="0061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6744C"/>
  <w15:chartTrackingRefBased/>
  <w15:docId w15:val="{C68D354C-1869-F245-A968-523CC6AF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6DE"/>
    <w:pPr>
      <w:suppressAutoHyphens/>
      <w:overflowPunct w:val="0"/>
    </w:pPr>
    <w:rPr>
      <w:rFonts w:ascii="Arial" w:eastAsia="Songti SC" w:hAnsi="Arial" w:cs="Arial Unicode MS"/>
      <w:lang w:val="en-US" w:eastAsia="zh-CN" w:bidi="hi-I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176DE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6176DE"/>
    <w:rPr>
      <w:rFonts w:ascii="Arial" w:eastAsia="Songti SC" w:hAnsi="Arial" w:cs="Arial Unicode MS"/>
      <w:lang w:val="en-US" w:eastAsia="zh-CN" w:bidi="hi-IN"/>
      <w14:ligatures w14:val="none"/>
    </w:rPr>
  </w:style>
  <w:style w:type="paragraph" w:customStyle="1" w:styleId="LO-Normal0">
    <w:name w:val="LO-Normal0"/>
    <w:qFormat/>
    <w:rsid w:val="006176DE"/>
    <w:pPr>
      <w:suppressAutoHyphens/>
      <w:overflowPunct w:val="0"/>
    </w:pPr>
    <w:rPr>
      <w:rFonts w:ascii="Arial" w:eastAsia="Songti SC" w:hAnsi="Arial" w:cs="Arial Unicode MS"/>
      <w:lang w:val="en-US" w:eastAsia="zh-CN" w:bidi="hi-IN"/>
      <w14:ligatures w14:val="none"/>
    </w:rPr>
  </w:style>
  <w:style w:type="paragraph" w:styleId="NormalWeb">
    <w:name w:val="Normal (Web)"/>
    <w:basedOn w:val="Normal"/>
    <w:qFormat/>
    <w:rsid w:val="006176DE"/>
    <w:pPr>
      <w:spacing w:before="280" w:after="2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311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Felicori</dc:creator>
  <cp:keywords/>
  <dc:description/>
  <cp:lastModifiedBy>Liza Felicori</cp:lastModifiedBy>
  <cp:revision>1</cp:revision>
  <dcterms:created xsi:type="dcterms:W3CDTF">2023-09-27T18:09:00Z</dcterms:created>
  <dcterms:modified xsi:type="dcterms:W3CDTF">2023-09-27T18:10:00Z</dcterms:modified>
</cp:coreProperties>
</file>