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15"/>
        <w:gridCol w:w="7735"/>
      </w:tblGrid>
      <w:tr w:rsidR="00904C99" w:rsidRPr="007478E1" w14:paraId="71840D4C" w14:textId="77777777" w:rsidTr="00904C99">
        <w:trPr>
          <w:trHeight w:val="980"/>
        </w:trPr>
        <w:tc>
          <w:tcPr>
            <w:tcW w:w="1615" w:type="dxa"/>
          </w:tcPr>
          <w:p w14:paraId="19CDE60B" w14:textId="7BC79DDA" w:rsidR="00904C99" w:rsidRPr="007478E1" w:rsidRDefault="00904C99" w:rsidP="00904C99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7478E1">
              <w:rPr>
                <w:rFonts w:asciiTheme="majorBidi" w:hAnsiTheme="majorBidi" w:cstheme="majorBidi"/>
                <w:sz w:val="32"/>
                <w:szCs w:val="32"/>
              </w:rPr>
              <w:t>Conicity Index</w:t>
            </w:r>
          </w:p>
        </w:tc>
        <w:tc>
          <w:tcPr>
            <w:tcW w:w="7735" w:type="dxa"/>
          </w:tcPr>
          <w:p w14:paraId="0AFEF184" w14:textId="6F5D0AA2" w:rsidR="00904C99" w:rsidRPr="007478E1" w:rsidRDefault="00000000" w:rsidP="00402599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m:oMath>
              <m:f>
                <m:fPr>
                  <m:ctrlPr>
                    <w:rPr>
                      <w:rFonts w:ascii="Cambria Math" w:hAnsi="Cambria Math" w:cstheme="majorBidi"/>
                      <w:i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hAnsi="Cambria Math" w:cstheme="majorBidi"/>
                      <w:sz w:val="32"/>
                      <w:szCs w:val="32"/>
                    </w:rPr>
                    <m:t>WC(m)</m:t>
                  </m:r>
                </m:num>
                <m:den>
                  <m:r>
                    <w:rPr>
                      <w:rFonts w:ascii="Cambria Math" w:hAnsi="Cambria Math" w:cstheme="majorBidi"/>
                      <w:sz w:val="32"/>
                      <w:szCs w:val="32"/>
                    </w:rPr>
                    <m:t>0.109×</m:t>
                  </m:r>
                  <m:rad>
                    <m:radPr>
                      <m:degHide m:val="1"/>
                      <m:ctrlPr>
                        <w:rPr>
                          <w:rFonts w:ascii="Cambria Math" w:hAnsi="Cambria Math" w:cstheme="majorBidi"/>
                          <w:i/>
                          <w:sz w:val="32"/>
                          <w:szCs w:val="32"/>
                        </w:rPr>
                      </m:ctrlPr>
                    </m:radPr>
                    <m:deg/>
                    <m:e>
                      <m:f>
                        <m:fPr>
                          <m:ctrlPr>
                            <w:rPr>
                              <w:rFonts w:ascii="Cambria Math" w:hAnsi="Cambria Math" w:cstheme="majorBidi"/>
                              <w:i/>
                              <w:sz w:val="32"/>
                              <w:szCs w:val="32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theme="majorBidi"/>
                              <w:sz w:val="32"/>
                              <w:szCs w:val="32"/>
                            </w:rPr>
                            <m:t>weight(Kg)</m:t>
                          </m:r>
                        </m:num>
                        <m:den>
                          <m:r>
                            <w:rPr>
                              <w:rFonts w:ascii="Cambria Math" w:hAnsi="Cambria Math" w:cstheme="majorBidi"/>
                              <w:sz w:val="32"/>
                              <w:szCs w:val="32"/>
                            </w:rPr>
                            <m:t>height(m)</m:t>
                          </m:r>
                        </m:den>
                      </m:f>
                    </m:e>
                  </m:rad>
                </m:den>
              </m:f>
            </m:oMath>
            <w:r w:rsidR="00904C99" w:rsidRPr="007478E1">
              <w:rPr>
                <w:rFonts w:asciiTheme="majorBidi" w:hAnsiTheme="majorBidi" w:cstheme="majorBidi"/>
                <w:sz w:val="32"/>
                <w:szCs w:val="32"/>
              </w:rPr>
              <w:fldChar w:fldCharType="begin"/>
            </w:r>
            <w:r w:rsidR="00904C99" w:rsidRPr="007478E1">
              <w:rPr>
                <w:rFonts w:asciiTheme="majorBidi" w:hAnsiTheme="majorBidi" w:cstheme="majorBidi"/>
                <w:sz w:val="32"/>
                <w:szCs w:val="32"/>
              </w:rPr>
              <w:instrText xml:space="preserve"> ADDIN EN.CITE &lt;EndNote&gt;&lt;Cite&gt;&lt;Author&gt;Valdez&lt;/Author&gt;&lt;Year&gt;1991&lt;/Year&gt;&lt;RecNum&gt;25&lt;/RecNum&gt;&lt;DisplayText&gt;(1)&lt;/DisplayText&gt;&lt;record&gt;&lt;rec-number&gt;25&lt;/rec-number&gt;&lt;foreign-keys&gt;&lt;key app="EN" db-id="z0fz90zw8tswauetw5vpexpewpsxzzx2x20x" timestamp="1671568724"&gt;25&lt;/key&gt;&lt;/foreign-keys&gt;&lt;ref-type name="Journal Article"&gt;17&lt;/ref-type&gt;&lt;contributors&gt;&lt;authors&gt;&lt;author&gt;Valdez, Rodolfo&lt;/author&gt;&lt;/authors&gt;&lt;/contributors&gt;&lt;titles&gt;&lt;title&gt;A simple model-based index of abdominal adiposity&lt;/title&gt;&lt;secondary-title&gt;Journal of clinical epidemiology&lt;/secondary-title&gt;&lt;/titles&gt;&lt;periodical&gt;&lt;full-title&gt;Journal of clinical epidemiology&lt;/full-title&gt;&lt;/periodical&gt;&lt;pages&gt;955-956&lt;/pages&gt;&lt;volume&gt;44&lt;/volume&gt;&lt;number&gt;9&lt;/number&gt;&lt;dates&gt;&lt;year&gt;1991&lt;/year&gt;&lt;/dates&gt;&lt;isbn&gt;0895-4356&lt;/isbn&gt;&lt;urls&gt;&lt;/urls&gt;&lt;/record&gt;&lt;/Cite&gt;&lt;/EndNote&gt;</w:instrText>
            </w:r>
            <w:r w:rsidR="00904C99" w:rsidRPr="007478E1">
              <w:rPr>
                <w:rFonts w:asciiTheme="majorBidi" w:hAnsiTheme="majorBidi" w:cstheme="majorBidi"/>
                <w:sz w:val="32"/>
                <w:szCs w:val="32"/>
              </w:rPr>
              <w:fldChar w:fldCharType="separate"/>
            </w:r>
            <w:r w:rsidR="00904C99" w:rsidRPr="007478E1">
              <w:rPr>
                <w:rFonts w:asciiTheme="majorBidi" w:hAnsiTheme="majorBidi" w:cstheme="majorBidi"/>
                <w:noProof/>
                <w:sz w:val="32"/>
                <w:szCs w:val="32"/>
              </w:rPr>
              <w:t>(1)</w:t>
            </w:r>
            <w:r w:rsidR="00904C99" w:rsidRPr="007478E1">
              <w:rPr>
                <w:rFonts w:asciiTheme="majorBidi" w:hAnsiTheme="majorBidi" w:cstheme="majorBidi"/>
                <w:sz w:val="32"/>
                <w:szCs w:val="32"/>
              </w:rPr>
              <w:fldChar w:fldCharType="end"/>
            </w:r>
          </w:p>
        </w:tc>
      </w:tr>
      <w:tr w:rsidR="00904C99" w:rsidRPr="007478E1" w14:paraId="256492E0" w14:textId="77777777" w:rsidTr="00904C99">
        <w:tc>
          <w:tcPr>
            <w:tcW w:w="1615" w:type="dxa"/>
          </w:tcPr>
          <w:p w14:paraId="71FF0D39" w14:textId="653F1FBD" w:rsidR="00904C99" w:rsidRPr="007478E1" w:rsidRDefault="0062595B" w:rsidP="00904C99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7478E1">
              <w:rPr>
                <w:rFonts w:asciiTheme="majorBidi" w:hAnsiTheme="majorBidi" w:cstheme="majorBidi"/>
                <w:sz w:val="32"/>
                <w:szCs w:val="32"/>
              </w:rPr>
              <w:t xml:space="preserve">BRI </w:t>
            </w:r>
          </w:p>
        </w:tc>
        <w:tc>
          <w:tcPr>
            <w:tcW w:w="7735" w:type="dxa"/>
          </w:tcPr>
          <w:p w14:paraId="60AB4435" w14:textId="6E40978C" w:rsidR="00904C99" w:rsidRPr="007478E1" w:rsidRDefault="00EE1E1B" w:rsidP="00402599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m:oMath>
              <m:r>
                <w:rPr>
                  <w:rFonts w:ascii="Cambria Math" w:hAnsi="Cambria Math" w:cstheme="majorBidi"/>
                  <w:sz w:val="32"/>
                  <w:szCs w:val="32"/>
                </w:rPr>
                <m:t>364.2-365.5×</m:t>
              </m:r>
              <m:rad>
                <m:radPr>
                  <m:degHide m:val="1"/>
                  <m:ctrlPr>
                    <w:rPr>
                      <w:rFonts w:ascii="Cambria Math" w:hAnsi="Cambria Math" w:cstheme="majorBidi"/>
                      <w:i/>
                      <w:sz w:val="32"/>
                      <w:szCs w:val="32"/>
                    </w:rPr>
                  </m:ctrlPr>
                </m:radPr>
                <m:deg/>
                <m:e>
                  <m:r>
                    <w:rPr>
                      <w:rFonts w:ascii="Cambria Math" w:hAnsi="Cambria Math" w:cstheme="majorBidi"/>
                      <w:sz w:val="32"/>
                      <w:szCs w:val="32"/>
                    </w:rPr>
                    <m:t>1-</m:t>
                  </m:r>
                  <m:f>
                    <m:fPr>
                      <m:ctrlPr>
                        <w:rPr>
                          <w:rFonts w:ascii="Cambria Math" w:hAnsi="Cambria Math" w:cstheme="majorBidi"/>
                          <w:i/>
                          <w:sz w:val="32"/>
                          <w:szCs w:val="32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 w:cstheme="majorBidi"/>
                              <w:i/>
                              <w:sz w:val="32"/>
                              <w:szCs w:val="32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theme="majorBidi"/>
                              <w:sz w:val="32"/>
                              <w:szCs w:val="32"/>
                            </w:rPr>
                            <m:t>(</m:t>
                          </m:r>
                          <m:f>
                            <m:fPr>
                              <m:ctrlPr>
                                <w:rPr>
                                  <w:rFonts w:ascii="Cambria Math" w:hAnsi="Cambria Math" w:cstheme="majorBidi"/>
                                  <w:i/>
                                  <w:sz w:val="32"/>
                                  <w:szCs w:val="32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 w:cstheme="majorBidi"/>
                                  <w:sz w:val="32"/>
                                  <w:szCs w:val="32"/>
                                </w:rPr>
                                <m:t>(WC(m)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 w:cstheme="majorBidi"/>
                                  <w:sz w:val="32"/>
                                  <w:szCs w:val="32"/>
                                </w:rPr>
                                <m:t>2π</m:t>
                              </m:r>
                            </m:den>
                          </m:f>
                          <m:r>
                            <w:rPr>
                              <w:rFonts w:ascii="Cambria Math" w:hAnsi="Cambria Math" w:cstheme="majorBidi"/>
                              <w:sz w:val="32"/>
                              <w:szCs w:val="32"/>
                            </w:rPr>
                            <m:t>)</m:t>
                          </m:r>
                        </m:e>
                        <m:sup>
                          <m:r>
                            <w:rPr>
                              <w:rFonts w:ascii="Cambria Math" w:hAnsi="Cambria Math" w:cstheme="majorBidi"/>
                              <w:sz w:val="32"/>
                              <w:szCs w:val="32"/>
                            </w:rPr>
                            <m:t>2</m:t>
                          </m:r>
                        </m:sup>
                      </m:sSup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 w:cstheme="majorBidi"/>
                              <w:i/>
                              <w:sz w:val="32"/>
                              <w:szCs w:val="32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theme="majorBidi"/>
                              <w:sz w:val="32"/>
                              <w:szCs w:val="32"/>
                            </w:rPr>
                            <m:t>(0.5×</m:t>
                          </m:r>
                          <m:r>
                            <w:rPr>
                              <w:rFonts w:ascii="Cambria Math" w:hAnsi="Cambria Math" w:cstheme="majorBidi"/>
                              <w:sz w:val="32"/>
                              <w:szCs w:val="32"/>
                            </w:rPr>
                            <m:t>height</m:t>
                          </m:r>
                          <m:d>
                            <m:dPr>
                              <m:ctrlPr>
                                <w:rPr>
                                  <w:rFonts w:ascii="Cambria Math" w:hAnsi="Cambria Math" w:cstheme="majorBidi"/>
                                  <w:i/>
                                  <w:sz w:val="32"/>
                                  <w:szCs w:val="32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 w:cstheme="majorBidi"/>
                                  <w:sz w:val="32"/>
                                  <w:szCs w:val="32"/>
                                </w:rPr>
                                <m:t>m</m:t>
                              </m:r>
                            </m:e>
                          </m:d>
                          <m:r>
                            <w:rPr>
                              <w:rFonts w:ascii="Cambria Math" w:hAnsi="Cambria Math" w:cstheme="majorBidi"/>
                              <w:sz w:val="32"/>
                              <w:szCs w:val="32"/>
                            </w:rPr>
                            <m:t>)</m:t>
                          </m:r>
                        </m:e>
                        <m:sup>
                          <m:r>
                            <w:rPr>
                              <w:rFonts w:ascii="Cambria Math" w:hAnsi="Cambria Math" w:cstheme="majorBidi"/>
                              <w:sz w:val="32"/>
                              <w:szCs w:val="32"/>
                            </w:rPr>
                            <m:t>2</m:t>
                          </m:r>
                        </m:sup>
                      </m:sSup>
                    </m:den>
                  </m:f>
                </m:e>
              </m:rad>
            </m:oMath>
            <w:r w:rsidR="00662048" w:rsidRPr="007478E1">
              <w:rPr>
                <w:rFonts w:asciiTheme="majorBidi" w:hAnsiTheme="majorBidi" w:cstheme="majorBidi"/>
                <w:sz w:val="32"/>
                <w:szCs w:val="32"/>
              </w:rPr>
              <w:fldChar w:fldCharType="begin"/>
            </w:r>
            <w:r w:rsidR="00662048" w:rsidRPr="007478E1">
              <w:rPr>
                <w:rFonts w:asciiTheme="majorBidi" w:hAnsiTheme="majorBidi" w:cstheme="majorBidi"/>
                <w:sz w:val="32"/>
                <w:szCs w:val="32"/>
              </w:rPr>
              <w:instrText xml:space="preserve"> ADDIN EN.CITE &lt;EndNote&gt;&lt;Cite&gt;&lt;Author&gt;Thomas&lt;/Author&gt;&lt;Year&gt;2013&lt;/Year&gt;&lt;RecNum&gt;19&lt;/RecNum&gt;&lt;DisplayText&gt;(2)&lt;/DisplayText&gt;&lt;record&gt;&lt;rec-number&gt;19&lt;/rec-number&gt;&lt;foreign-keys&gt;&lt;key app="EN" db-id="z0fz90zw8tswauetw5vpexpewpsxzzx2x20x" timestamp="1671205540"&gt;19&lt;/key&gt;&lt;/foreign-keys&gt;&lt;ref-type name="Journal Article"&gt;17&lt;/ref-type&gt;&lt;contributors&gt;&lt;authors&gt;&lt;author&gt;Thomas, Diana M&lt;/author&gt;&lt;author&gt;Bredlau, Carl&lt;/author&gt;&lt;author&gt;Bosy‐Westphal, Anja&lt;/author&gt;&lt;author&gt;Mueller, Manfred&lt;/author&gt;&lt;author&gt;Shen, Wei&lt;/author&gt;&lt;author&gt;Gallagher, Dympna&lt;/author&gt;&lt;author&gt;Maeda, Yuna&lt;/author&gt;&lt;author&gt;McDougall, Andrew&lt;/author&gt;&lt;author&gt;Peterson, Courtney M&lt;/author&gt;&lt;author&gt;Ravussin, Eric&lt;/author&gt;&lt;/authors&gt;&lt;/contributors&gt;&lt;titles&gt;&lt;title&gt;Relationships between body roundness with body fat and visceral adipose tissue emerging from a new geometrical model&lt;/title&gt;&lt;secondary-title&gt;Obesity&lt;/secondary-title&gt;&lt;/titles&gt;&lt;periodical&gt;&lt;full-title&gt;Obesity&lt;/full-title&gt;&lt;/periodical&gt;&lt;pages&gt;2264-2271&lt;/pages&gt;&lt;volume&gt;21&lt;/volume&gt;&lt;number&gt;11&lt;/number&gt;&lt;dates&gt;&lt;year&gt;2013&lt;/year&gt;&lt;/dates&gt;&lt;isbn&gt;1930-7381&lt;/isbn&gt;&lt;urls&gt;&lt;/urls&gt;&lt;/record&gt;&lt;/Cite&gt;&lt;/EndNote&gt;</w:instrText>
            </w:r>
            <w:r w:rsidR="00662048" w:rsidRPr="007478E1">
              <w:rPr>
                <w:rFonts w:asciiTheme="majorBidi" w:hAnsiTheme="majorBidi" w:cstheme="majorBidi"/>
                <w:sz w:val="32"/>
                <w:szCs w:val="32"/>
              </w:rPr>
              <w:fldChar w:fldCharType="separate"/>
            </w:r>
            <w:r w:rsidR="00662048" w:rsidRPr="007478E1">
              <w:rPr>
                <w:rFonts w:asciiTheme="majorBidi" w:hAnsiTheme="majorBidi" w:cstheme="majorBidi"/>
                <w:noProof/>
                <w:sz w:val="32"/>
                <w:szCs w:val="32"/>
              </w:rPr>
              <w:t>(2)</w:t>
            </w:r>
            <w:r w:rsidR="00662048" w:rsidRPr="007478E1">
              <w:rPr>
                <w:rFonts w:asciiTheme="majorBidi" w:hAnsiTheme="majorBidi" w:cstheme="majorBidi"/>
                <w:sz w:val="32"/>
                <w:szCs w:val="32"/>
              </w:rPr>
              <w:fldChar w:fldCharType="end"/>
            </w:r>
          </w:p>
        </w:tc>
      </w:tr>
      <w:tr w:rsidR="00904C99" w:rsidRPr="007478E1" w14:paraId="5BE92C99" w14:textId="77777777" w:rsidTr="00904C99">
        <w:tc>
          <w:tcPr>
            <w:tcW w:w="1615" w:type="dxa"/>
          </w:tcPr>
          <w:p w14:paraId="1E636B40" w14:textId="24C523AC" w:rsidR="00904C99" w:rsidRPr="007478E1" w:rsidRDefault="00C72D66" w:rsidP="00904C99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7478E1">
              <w:rPr>
                <w:rFonts w:asciiTheme="majorBidi" w:hAnsiTheme="majorBidi" w:cstheme="majorBidi"/>
                <w:sz w:val="32"/>
                <w:szCs w:val="32"/>
              </w:rPr>
              <w:t>VAI</w:t>
            </w:r>
          </w:p>
        </w:tc>
        <w:tc>
          <w:tcPr>
            <w:tcW w:w="7735" w:type="dxa"/>
          </w:tcPr>
          <w:p w14:paraId="54C4C422" w14:textId="05CBB0BF" w:rsidR="00692635" w:rsidRPr="007478E1" w:rsidRDefault="00C72D66" w:rsidP="00B469A8">
            <w:pPr>
              <w:rPr>
                <w:rFonts w:asciiTheme="majorBidi" w:eastAsiaTheme="minorEastAsia" w:hAnsiTheme="majorBidi" w:cstheme="majorBidi"/>
                <w:sz w:val="32"/>
                <w:szCs w:val="32"/>
              </w:rPr>
            </w:pPr>
            <w:r w:rsidRPr="007478E1">
              <w:rPr>
                <w:rFonts w:asciiTheme="majorBidi" w:eastAsiaTheme="minorEastAsia" w:hAnsiTheme="majorBidi" w:cstheme="majorBidi"/>
                <w:sz w:val="32"/>
                <w:szCs w:val="32"/>
              </w:rPr>
              <w:t>Men:</w:t>
            </w:r>
          </w:p>
          <w:p w14:paraId="1E0D81EF" w14:textId="17E102ED" w:rsidR="005B5A3F" w:rsidRPr="007478E1" w:rsidRDefault="00000000" w:rsidP="00402599">
            <w:pPr>
              <w:jc w:val="center"/>
              <w:rPr>
                <w:rFonts w:asciiTheme="majorBidi" w:eastAsiaTheme="minorEastAsia" w:hAnsiTheme="majorBidi" w:cstheme="majorBidi"/>
                <w:sz w:val="32"/>
                <w:szCs w:val="32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 w:cstheme="majorBidi"/>
                      <w:i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eastAsiaTheme="minorEastAsia" w:hAnsi="Cambria Math" w:cstheme="majorBidi"/>
                      <w:sz w:val="32"/>
                      <w:szCs w:val="32"/>
                    </w:rPr>
                    <m:t>WC</m:t>
                  </m:r>
                  <m:d>
                    <m:dPr>
                      <m:ctrlPr>
                        <w:rPr>
                          <w:rFonts w:ascii="Cambria Math" w:eastAsiaTheme="minorEastAsia" w:hAnsi="Cambria Math" w:cstheme="majorBidi"/>
                          <w:i/>
                          <w:sz w:val="32"/>
                          <w:szCs w:val="32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theme="majorBidi"/>
                          <w:sz w:val="32"/>
                          <w:szCs w:val="32"/>
                        </w:rPr>
                        <m:t>cm</m:t>
                      </m:r>
                    </m:e>
                  </m:d>
                </m:num>
                <m:den>
                  <m:r>
                    <w:rPr>
                      <w:rFonts w:ascii="Cambria Math" w:eastAsiaTheme="minorEastAsia" w:hAnsi="Cambria Math" w:cstheme="majorBidi"/>
                      <w:sz w:val="32"/>
                      <w:szCs w:val="32"/>
                    </w:rPr>
                    <m:t>[39.68+(1.88×BMI</m:t>
                  </m:r>
                  <m:d>
                    <m:dPr>
                      <m:ctrlPr>
                        <w:rPr>
                          <w:rFonts w:ascii="Cambria Math" w:eastAsiaTheme="minorEastAsia" w:hAnsi="Cambria Math" w:cstheme="majorBidi"/>
                          <w:i/>
                          <w:sz w:val="32"/>
                          <w:szCs w:val="32"/>
                        </w:rPr>
                      </m:ctrlPr>
                    </m:dPr>
                    <m:e>
                      <m:f>
                        <m:fPr>
                          <m:type m:val="skw"/>
                          <m:ctrlPr>
                            <w:rPr>
                              <w:rFonts w:ascii="Cambria Math" w:eastAsiaTheme="minorEastAsia" w:hAnsi="Cambria Math" w:cstheme="majorBidi"/>
                              <w:i/>
                              <w:sz w:val="32"/>
                              <w:szCs w:val="32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Theme="minorEastAsia" w:hAnsi="Cambria Math" w:cstheme="majorBidi"/>
                              <w:sz w:val="32"/>
                              <w:szCs w:val="32"/>
                            </w:rPr>
                            <m:t>Kg</m:t>
                          </m:r>
                        </m:num>
                        <m:den>
                          <m:sSup>
                            <m:sSupPr>
                              <m:ctrlPr>
                                <w:rPr>
                                  <w:rFonts w:ascii="Cambria Math" w:eastAsiaTheme="minorEastAsia" w:hAnsi="Cambria Math" w:cstheme="majorBidi"/>
                                  <w:i/>
                                  <w:sz w:val="32"/>
                                  <w:szCs w:val="32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eastAsiaTheme="minorEastAsia" w:hAnsi="Cambria Math" w:cstheme="majorBidi"/>
                                  <w:sz w:val="32"/>
                                  <w:szCs w:val="32"/>
                                </w:rPr>
                                <m:t>m</m:t>
                              </m:r>
                            </m:e>
                            <m:sup>
                              <m:r>
                                <w:rPr>
                                  <w:rFonts w:ascii="Cambria Math" w:eastAsiaTheme="minorEastAsia" w:hAnsi="Cambria Math" w:cstheme="majorBidi"/>
                                  <w:sz w:val="32"/>
                                  <w:szCs w:val="32"/>
                                </w:rPr>
                                <m:t>2</m:t>
                              </m:r>
                            </m:sup>
                          </m:sSup>
                        </m:den>
                      </m:f>
                    </m:e>
                  </m:d>
                  <m:r>
                    <w:rPr>
                      <w:rFonts w:ascii="Cambria Math" w:eastAsiaTheme="minorEastAsia" w:hAnsi="Cambria Math" w:cstheme="majorBidi"/>
                      <w:sz w:val="32"/>
                      <w:szCs w:val="32"/>
                    </w:rPr>
                    <m:t>]</m:t>
                  </m:r>
                </m:den>
              </m:f>
              <m:r>
                <w:rPr>
                  <w:rFonts w:ascii="Cambria Math" w:eastAsiaTheme="minorEastAsia" w:hAnsi="Cambria Math" w:cstheme="majorBidi"/>
                  <w:sz w:val="32"/>
                  <w:szCs w:val="32"/>
                </w:rPr>
                <m:t>×(</m:t>
              </m:r>
              <m:f>
                <m:fPr>
                  <m:ctrlPr>
                    <w:rPr>
                      <w:rFonts w:ascii="Cambria Math" w:eastAsiaTheme="minorEastAsia" w:hAnsi="Cambria Math" w:cstheme="majorBidi"/>
                      <w:i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eastAsiaTheme="minorEastAsia" w:hAnsi="Cambria Math" w:cstheme="majorBidi"/>
                      <w:sz w:val="32"/>
                      <w:szCs w:val="32"/>
                    </w:rPr>
                    <m:t>TG</m:t>
                  </m:r>
                  <m:d>
                    <m:dPr>
                      <m:ctrlPr>
                        <w:rPr>
                          <w:rFonts w:ascii="Cambria Math" w:eastAsiaTheme="minorEastAsia" w:hAnsi="Cambria Math" w:cstheme="majorBidi"/>
                          <w:i/>
                          <w:sz w:val="32"/>
                          <w:szCs w:val="32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eastAsiaTheme="minorEastAsia" w:hAnsi="Cambria Math" w:cstheme="majorBidi"/>
                              <w:i/>
                              <w:sz w:val="32"/>
                              <w:szCs w:val="32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Theme="minorEastAsia" w:hAnsi="Cambria Math" w:cstheme="majorBidi"/>
                              <w:sz w:val="32"/>
                              <w:szCs w:val="32"/>
                            </w:rPr>
                            <m:t>mmol</m:t>
                          </m:r>
                        </m:num>
                        <m:den>
                          <m:r>
                            <w:rPr>
                              <w:rFonts w:ascii="Cambria Math" w:eastAsiaTheme="minorEastAsia" w:hAnsi="Cambria Math" w:cstheme="majorBidi"/>
                              <w:sz w:val="32"/>
                              <w:szCs w:val="32"/>
                            </w:rPr>
                            <m:t>L</m:t>
                          </m:r>
                        </m:den>
                      </m:f>
                    </m:e>
                  </m:d>
                </m:num>
                <m:den>
                  <m:r>
                    <w:rPr>
                      <w:rFonts w:ascii="Cambria Math" w:eastAsiaTheme="minorEastAsia" w:hAnsi="Cambria Math" w:cstheme="majorBidi"/>
                      <w:sz w:val="32"/>
                      <w:szCs w:val="32"/>
                    </w:rPr>
                    <m:t>1.03</m:t>
                  </m:r>
                </m:den>
              </m:f>
              <m:r>
                <w:rPr>
                  <w:rFonts w:ascii="Cambria Math" w:eastAsiaTheme="minorEastAsia" w:hAnsi="Cambria Math" w:cstheme="majorBidi"/>
                  <w:sz w:val="32"/>
                  <w:szCs w:val="32"/>
                </w:rPr>
                <m:t>×(</m:t>
              </m:r>
              <m:f>
                <m:fPr>
                  <m:ctrlPr>
                    <w:rPr>
                      <w:rFonts w:ascii="Cambria Math" w:eastAsiaTheme="minorEastAsia" w:hAnsi="Cambria Math" w:cstheme="majorBidi"/>
                      <w:i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eastAsiaTheme="minorEastAsia" w:hAnsi="Cambria Math" w:cstheme="majorBidi"/>
                      <w:sz w:val="32"/>
                      <w:szCs w:val="32"/>
                    </w:rPr>
                    <m:t>1.31</m:t>
                  </m:r>
                </m:num>
                <m:den>
                  <m:r>
                    <w:rPr>
                      <w:rFonts w:ascii="Cambria Math" w:eastAsiaTheme="minorEastAsia" w:hAnsi="Cambria Math" w:cstheme="majorBidi"/>
                      <w:sz w:val="32"/>
                      <w:szCs w:val="32"/>
                    </w:rPr>
                    <m:t>HDL(</m:t>
                  </m:r>
                  <m:f>
                    <m:fPr>
                      <m:ctrlPr>
                        <w:rPr>
                          <w:rFonts w:ascii="Cambria Math" w:eastAsiaTheme="minorEastAsia" w:hAnsi="Cambria Math" w:cstheme="majorBidi"/>
                          <w:i/>
                          <w:sz w:val="32"/>
                          <w:szCs w:val="32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theme="majorBidi"/>
                          <w:sz w:val="32"/>
                          <w:szCs w:val="32"/>
                        </w:rPr>
                        <m:t>mmol</m:t>
                      </m:r>
                    </m:num>
                    <m:den>
                      <m:r>
                        <w:rPr>
                          <w:rFonts w:ascii="Cambria Math" w:eastAsiaTheme="minorEastAsia" w:hAnsi="Cambria Math" w:cstheme="majorBidi"/>
                          <w:sz w:val="32"/>
                          <w:szCs w:val="32"/>
                        </w:rPr>
                        <m:t>L</m:t>
                      </m:r>
                    </m:den>
                  </m:f>
                  <m:r>
                    <w:rPr>
                      <w:rFonts w:ascii="Cambria Math" w:eastAsiaTheme="minorEastAsia" w:hAnsi="Cambria Math" w:cstheme="majorBidi"/>
                      <w:sz w:val="32"/>
                      <w:szCs w:val="32"/>
                    </w:rPr>
                    <m:t>)</m:t>
                  </m:r>
                </m:den>
              </m:f>
            </m:oMath>
            <w:r w:rsidR="00651AC1" w:rsidRPr="007478E1">
              <w:rPr>
                <w:rFonts w:asciiTheme="majorBidi" w:eastAsiaTheme="minorEastAsia" w:hAnsiTheme="majorBidi" w:cstheme="majorBidi"/>
                <w:sz w:val="32"/>
                <w:szCs w:val="32"/>
                <w:rtl/>
              </w:rPr>
              <w:t>(</w:t>
            </w:r>
          </w:p>
          <w:p w14:paraId="71628962" w14:textId="724845DB" w:rsidR="00913C3B" w:rsidRPr="007478E1" w:rsidRDefault="00E83BFA" w:rsidP="00B469A8">
            <w:pPr>
              <w:rPr>
                <w:rFonts w:asciiTheme="majorBidi" w:eastAsiaTheme="minorEastAsia" w:hAnsiTheme="majorBidi" w:cstheme="majorBidi"/>
                <w:sz w:val="32"/>
                <w:szCs w:val="32"/>
              </w:rPr>
            </w:pPr>
            <w:r w:rsidRPr="007478E1">
              <w:rPr>
                <w:rFonts w:asciiTheme="majorBidi" w:eastAsiaTheme="minorEastAsia" w:hAnsiTheme="majorBidi" w:cstheme="majorBidi"/>
                <w:sz w:val="32"/>
                <w:szCs w:val="32"/>
              </w:rPr>
              <w:t>Women:</w:t>
            </w:r>
          </w:p>
          <w:p w14:paraId="671641DA" w14:textId="21253C45" w:rsidR="00E83BFA" w:rsidRPr="007478E1" w:rsidRDefault="00000000" w:rsidP="00402599">
            <w:pPr>
              <w:jc w:val="center"/>
              <w:rPr>
                <w:rFonts w:asciiTheme="majorBidi" w:eastAsiaTheme="minorEastAsia" w:hAnsiTheme="majorBidi" w:cstheme="majorBidi"/>
                <w:sz w:val="32"/>
                <w:szCs w:val="32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 w:cstheme="majorBidi"/>
                      <w:i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eastAsiaTheme="minorEastAsia" w:hAnsi="Cambria Math" w:cstheme="majorBidi"/>
                      <w:sz w:val="32"/>
                      <w:szCs w:val="32"/>
                    </w:rPr>
                    <m:t>WC</m:t>
                  </m:r>
                  <m:d>
                    <m:dPr>
                      <m:ctrlPr>
                        <w:rPr>
                          <w:rFonts w:ascii="Cambria Math" w:eastAsiaTheme="minorEastAsia" w:hAnsi="Cambria Math" w:cstheme="majorBidi"/>
                          <w:i/>
                          <w:sz w:val="32"/>
                          <w:szCs w:val="32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theme="majorBidi"/>
                          <w:sz w:val="32"/>
                          <w:szCs w:val="32"/>
                        </w:rPr>
                        <m:t>cm</m:t>
                      </m:r>
                    </m:e>
                  </m:d>
                </m:num>
                <m:den>
                  <m:r>
                    <w:rPr>
                      <w:rFonts w:ascii="Cambria Math" w:eastAsiaTheme="minorEastAsia" w:hAnsi="Cambria Math" w:cstheme="majorBidi"/>
                      <w:sz w:val="32"/>
                      <w:szCs w:val="32"/>
                    </w:rPr>
                    <m:t>[39.58+(1.89×BMI</m:t>
                  </m:r>
                  <m:d>
                    <m:dPr>
                      <m:ctrlPr>
                        <w:rPr>
                          <w:rFonts w:ascii="Cambria Math" w:eastAsiaTheme="minorEastAsia" w:hAnsi="Cambria Math" w:cstheme="majorBidi"/>
                          <w:i/>
                          <w:sz w:val="32"/>
                          <w:szCs w:val="32"/>
                        </w:rPr>
                      </m:ctrlPr>
                    </m:dPr>
                    <m:e>
                      <m:f>
                        <m:fPr>
                          <m:type m:val="skw"/>
                          <m:ctrlPr>
                            <w:rPr>
                              <w:rFonts w:ascii="Cambria Math" w:eastAsiaTheme="minorEastAsia" w:hAnsi="Cambria Math" w:cstheme="majorBidi"/>
                              <w:i/>
                              <w:sz w:val="32"/>
                              <w:szCs w:val="32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Theme="minorEastAsia" w:hAnsi="Cambria Math" w:cstheme="majorBidi"/>
                              <w:sz w:val="32"/>
                              <w:szCs w:val="32"/>
                            </w:rPr>
                            <m:t>Kg</m:t>
                          </m:r>
                        </m:num>
                        <m:den>
                          <m:sSup>
                            <m:sSupPr>
                              <m:ctrlPr>
                                <w:rPr>
                                  <w:rFonts w:ascii="Cambria Math" w:eastAsiaTheme="minorEastAsia" w:hAnsi="Cambria Math" w:cstheme="majorBidi"/>
                                  <w:i/>
                                  <w:sz w:val="32"/>
                                  <w:szCs w:val="32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eastAsiaTheme="minorEastAsia" w:hAnsi="Cambria Math" w:cstheme="majorBidi"/>
                                  <w:sz w:val="32"/>
                                  <w:szCs w:val="32"/>
                                </w:rPr>
                                <m:t>m</m:t>
                              </m:r>
                            </m:e>
                            <m:sup>
                              <m:r>
                                <w:rPr>
                                  <w:rFonts w:ascii="Cambria Math" w:eastAsiaTheme="minorEastAsia" w:hAnsi="Cambria Math" w:cstheme="majorBidi"/>
                                  <w:sz w:val="32"/>
                                  <w:szCs w:val="32"/>
                                </w:rPr>
                                <m:t>2</m:t>
                              </m:r>
                            </m:sup>
                          </m:sSup>
                        </m:den>
                      </m:f>
                    </m:e>
                  </m:d>
                  <m:r>
                    <w:rPr>
                      <w:rFonts w:ascii="Cambria Math" w:eastAsiaTheme="minorEastAsia" w:hAnsi="Cambria Math" w:cstheme="majorBidi"/>
                      <w:sz w:val="32"/>
                      <w:szCs w:val="32"/>
                    </w:rPr>
                    <m:t>]</m:t>
                  </m:r>
                </m:den>
              </m:f>
              <m:r>
                <w:rPr>
                  <w:rFonts w:ascii="Cambria Math" w:eastAsiaTheme="minorEastAsia" w:hAnsi="Cambria Math" w:cstheme="majorBidi"/>
                  <w:sz w:val="32"/>
                  <w:szCs w:val="32"/>
                </w:rPr>
                <m:t>×(</m:t>
              </m:r>
              <m:f>
                <m:fPr>
                  <m:ctrlPr>
                    <w:rPr>
                      <w:rFonts w:ascii="Cambria Math" w:eastAsiaTheme="minorEastAsia" w:hAnsi="Cambria Math" w:cstheme="majorBidi"/>
                      <w:i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eastAsiaTheme="minorEastAsia" w:hAnsi="Cambria Math" w:cstheme="majorBidi"/>
                      <w:sz w:val="32"/>
                      <w:szCs w:val="32"/>
                    </w:rPr>
                    <m:t>TG</m:t>
                  </m:r>
                  <m:d>
                    <m:dPr>
                      <m:ctrlPr>
                        <w:rPr>
                          <w:rFonts w:ascii="Cambria Math" w:eastAsiaTheme="minorEastAsia" w:hAnsi="Cambria Math" w:cstheme="majorBidi"/>
                          <w:i/>
                          <w:sz w:val="32"/>
                          <w:szCs w:val="32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eastAsiaTheme="minorEastAsia" w:hAnsi="Cambria Math" w:cstheme="majorBidi"/>
                              <w:i/>
                              <w:sz w:val="32"/>
                              <w:szCs w:val="32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Theme="minorEastAsia" w:hAnsi="Cambria Math" w:cstheme="majorBidi"/>
                              <w:sz w:val="32"/>
                              <w:szCs w:val="32"/>
                            </w:rPr>
                            <m:t>mmol</m:t>
                          </m:r>
                        </m:num>
                        <m:den>
                          <m:r>
                            <w:rPr>
                              <w:rFonts w:ascii="Cambria Math" w:eastAsiaTheme="minorEastAsia" w:hAnsi="Cambria Math" w:cstheme="majorBidi"/>
                              <w:sz w:val="32"/>
                              <w:szCs w:val="32"/>
                            </w:rPr>
                            <m:t>L</m:t>
                          </m:r>
                        </m:den>
                      </m:f>
                    </m:e>
                  </m:d>
                </m:num>
                <m:den>
                  <m:r>
                    <w:rPr>
                      <w:rFonts w:ascii="Cambria Math" w:eastAsiaTheme="minorEastAsia" w:hAnsi="Cambria Math" w:cstheme="majorBidi"/>
                      <w:sz w:val="32"/>
                      <w:szCs w:val="32"/>
                    </w:rPr>
                    <m:t>0.81</m:t>
                  </m:r>
                </m:den>
              </m:f>
              <m:r>
                <w:rPr>
                  <w:rFonts w:ascii="Cambria Math" w:eastAsiaTheme="minorEastAsia" w:hAnsi="Cambria Math" w:cstheme="majorBidi"/>
                  <w:sz w:val="32"/>
                  <w:szCs w:val="32"/>
                </w:rPr>
                <m:t>×(</m:t>
              </m:r>
              <m:f>
                <m:fPr>
                  <m:ctrlPr>
                    <w:rPr>
                      <w:rFonts w:ascii="Cambria Math" w:eastAsiaTheme="minorEastAsia" w:hAnsi="Cambria Math" w:cstheme="majorBidi"/>
                      <w:i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eastAsiaTheme="minorEastAsia" w:hAnsi="Cambria Math" w:cstheme="majorBidi"/>
                      <w:sz w:val="32"/>
                      <w:szCs w:val="32"/>
                    </w:rPr>
                    <m:t>1.52</m:t>
                  </m:r>
                </m:num>
                <m:den>
                  <m:r>
                    <w:rPr>
                      <w:rFonts w:ascii="Cambria Math" w:eastAsiaTheme="minorEastAsia" w:hAnsi="Cambria Math" w:cstheme="majorBidi"/>
                      <w:sz w:val="32"/>
                      <w:szCs w:val="32"/>
                    </w:rPr>
                    <m:t>HDL(</m:t>
                  </m:r>
                  <m:f>
                    <m:fPr>
                      <m:ctrlPr>
                        <w:rPr>
                          <w:rFonts w:ascii="Cambria Math" w:eastAsiaTheme="minorEastAsia" w:hAnsi="Cambria Math" w:cstheme="majorBidi"/>
                          <w:i/>
                          <w:sz w:val="32"/>
                          <w:szCs w:val="32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theme="majorBidi"/>
                          <w:sz w:val="32"/>
                          <w:szCs w:val="32"/>
                        </w:rPr>
                        <m:t>mmol</m:t>
                      </m:r>
                    </m:num>
                    <m:den>
                      <m:r>
                        <w:rPr>
                          <w:rFonts w:ascii="Cambria Math" w:eastAsiaTheme="minorEastAsia" w:hAnsi="Cambria Math" w:cstheme="majorBidi"/>
                          <w:sz w:val="32"/>
                          <w:szCs w:val="32"/>
                        </w:rPr>
                        <m:t>L</m:t>
                      </m:r>
                    </m:den>
                  </m:f>
                  <m:r>
                    <w:rPr>
                      <w:rFonts w:ascii="Cambria Math" w:eastAsiaTheme="minorEastAsia" w:hAnsi="Cambria Math" w:cstheme="majorBidi"/>
                      <w:sz w:val="32"/>
                      <w:szCs w:val="32"/>
                    </w:rPr>
                    <m:t>)</m:t>
                  </m:r>
                </m:den>
              </m:f>
            </m:oMath>
            <w:r w:rsidR="00651AC1" w:rsidRPr="007478E1">
              <w:rPr>
                <w:rFonts w:asciiTheme="majorBidi" w:eastAsiaTheme="minorEastAsia" w:hAnsiTheme="majorBidi" w:cstheme="majorBidi"/>
                <w:sz w:val="32"/>
                <w:szCs w:val="32"/>
                <w:rtl/>
              </w:rPr>
              <w:t>(</w:t>
            </w:r>
            <w:r w:rsidR="00E83BFA" w:rsidRPr="007478E1">
              <w:rPr>
                <w:rFonts w:asciiTheme="majorBidi" w:eastAsiaTheme="minorEastAsia" w:hAnsiTheme="majorBidi" w:cstheme="majorBidi"/>
                <w:sz w:val="32"/>
                <w:szCs w:val="32"/>
              </w:rPr>
              <w:fldChar w:fldCharType="begin"/>
            </w:r>
            <w:r w:rsidR="00E83BFA" w:rsidRPr="007478E1">
              <w:rPr>
                <w:rFonts w:asciiTheme="majorBidi" w:eastAsiaTheme="minorEastAsia" w:hAnsiTheme="majorBidi" w:cstheme="majorBidi"/>
                <w:sz w:val="32"/>
                <w:szCs w:val="32"/>
              </w:rPr>
              <w:instrText xml:space="preserve"> ADDIN EN.CITE &lt;EndNote&gt;&lt;Cite&gt;&lt;Author&gt;Amato&lt;/Author&gt;&lt;Year&gt;2010&lt;/Year&gt;&lt;RecNum&gt;31&lt;/RecNum&gt;&lt;DisplayText&gt;(3)&lt;/DisplayText&gt;&lt;record&gt;&lt;rec-number&gt;31&lt;/rec-number&gt;&lt;foreign-keys&gt;&lt;key app="EN" db-id="z0fz90zw8tswauetw5vpexpewpsxzzx2x20x" timestamp="1676717608"&gt;31&lt;/key&gt;&lt;/foreign-keys&gt;&lt;ref-type name="Journal Article"&gt;17&lt;/ref-type&gt;&lt;contributors&gt;&lt;authors&gt;&lt;author&gt;Amato, Marco C&lt;/author&gt;&lt;author&gt;Giordano, Carla&lt;/author&gt;&lt;author&gt;Galia, Massimo&lt;/author&gt;&lt;author&gt;Criscimanna, Angela&lt;/author&gt;&lt;author&gt;Vitabile, Salvatore&lt;/author&gt;&lt;author&gt;Midiri, Massimo&lt;/author&gt;&lt;author&gt;Galluzzo, Aldo&lt;/author&gt;&lt;author&gt;AlkaMeSy Study Group&lt;/author&gt;&lt;/authors&gt;&lt;/contributors&gt;&lt;titles&gt;&lt;title&gt;Visceral Adiposity Index: a reliable indicator of visceral fat function associated with cardiometabolic risk&lt;/title&gt;&lt;secondary-title&gt;Diabetes care&lt;/secondary-title&gt;&lt;/titles&gt;&lt;periodical&gt;&lt;full-title&gt;Diabetes care&lt;/full-title&gt;&lt;/periodical&gt;&lt;pages&gt;920-922&lt;/pages&gt;&lt;volume&gt;33&lt;/volume&gt;&lt;number&gt;4&lt;/number&gt;&lt;dates&gt;&lt;year&gt;2010&lt;/year&gt;&lt;/dates&gt;&lt;isbn&gt;0149-5992&lt;/isbn&gt;&lt;urls&gt;&lt;/urls&gt;&lt;/record&gt;&lt;/Cite&gt;&lt;/EndNote&gt;</w:instrText>
            </w:r>
            <w:r w:rsidR="00E83BFA" w:rsidRPr="007478E1">
              <w:rPr>
                <w:rFonts w:asciiTheme="majorBidi" w:eastAsiaTheme="minorEastAsia" w:hAnsiTheme="majorBidi" w:cstheme="majorBidi"/>
                <w:sz w:val="32"/>
                <w:szCs w:val="32"/>
              </w:rPr>
              <w:fldChar w:fldCharType="separate"/>
            </w:r>
            <w:r w:rsidR="00E83BFA" w:rsidRPr="007478E1">
              <w:rPr>
                <w:rFonts w:asciiTheme="majorBidi" w:eastAsiaTheme="minorEastAsia" w:hAnsiTheme="majorBidi" w:cstheme="majorBidi"/>
                <w:noProof/>
                <w:sz w:val="32"/>
                <w:szCs w:val="32"/>
              </w:rPr>
              <w:t>(3)</w:t>
            </w:r>
            <w:r w:rsidR="00E83BFA" w:rsidRPr="007478E1">
              <w:rPr>
                <w:rFonts w:asciiTheme="majorBidi" w:eastAsiaTheme="minorEastAsia" w:hAnsiTheme="majorBidi" w:cstheme="majorBidi"/>
                <w:sz w:val="32"/>
                <w:szCs w:val="32"/>
              </w:rPr>
              <w:fldChar w:fldCharType="end"/>
            </w:r>
          </w:p>
        </w:tc>
      </w:tr>
      <w:tr w:rsidR="00904C99" w:rsidRPr="007478E1" w14:paraId="0EC51A5F" w14:textId="77777777" w:rsidTr="00222AD8">
        <w:trPr>
          <w:trHeight w:val="1817"/>
        </w:trPr>
        <w:tc>
          <w:tcPr>
            <w:tcW w:w="1615" w:type="dxa"/>
          </w:tcPr>
          <w:p w14:paraId="1B60D2B5" w14:textId="2FE2ADBD" w:rsidR="00904C99" w:rsidRPr="007478E1" w:rsidRDefault="00692635" w:rsidP="00904C99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7478E1">
              <w:rPr>
                <w:rFonts w:asciiTheme="majorBidi" w:hAnsiTheme="majorBidi" w:cstheme="majorBidi"/>
                <w:sz w:val="32"/>
                <w:szCs w:val="32"/>
              </w:rPr>
              <w:t>LAP</w:t>
            </w:r>
          </w:p>
        </w:tc>
        <w:tc>
          <w:tcPr>
            <w:tcW w:w="7735" w:type="dxa"/>
          </w:tcPr>
          <w:p w14:paraId="537C1AE1" w14:textId="542C9851" w:rsidR="009F2408" w:rsidRPr="007478E1" w:rsidRDefault="00222AD8" w:rsidP="00402599">
            <w:pPr>
              <w:pStyle w:val="NormalWeb"/>
              <w:shd w:val="clear" w:color="auto" w:fill="FFFFFF"/>
              <w:spacing w:before="400" w:beforeAutospacing="0" w:after="400" w:afterAutospacing="0"/>
              <w:jc w:val="center"/>
              <w:rPr>
                <w:rFonts w:asciiTheme="majorBidi" w:hAnsiTheme="majorBidi" w:cstheme="majorBidi"/>
                <w:color w:val="212121"/>
                <w:sz w:val="32"/>
                <w:szCs w:val="32"/>
              </w:rPr>
            </w:pPr>
            <w:r w:rsidRPr="007478E1">
              <w:rPr>
                <w:rFonts w:asciiTheme="majorBidi" w:hAnsiTheme="majorBidi" w:cstheme="majorBidi"/>
                <w:color w:val="212121"/>
                <w:sz w:val="32"/>
                <w:szCs w:val="32"/>
              </w:rPr>
              <w:t xml:space="preserve">men = </w:t>
            </w:r>
            <m:oMath>
              <m:r>
                <w:rPr>
                  <w:rFonts w:ascii="Cambria Math" w:hAnsi="Cambria Math" w:cstheme="majorBidi"/>
                  <w:color w:val="212121"/>
                  <w:sz w:val="32"/>
                  <w:szCs w:val="32"/>
                </w:rPr>
                <m:t>(WC</m:t>
              </m:r>
              <m:d>
                <m:dPr>
                  <m:ctrlPr>
                    <w:rPr>
                      <w:rFonts w:ascii="Cambria Math" w:hAnsi="Cambria Math" w:cstheme="majorBidi"/>
                      <w:i/>
                      <w:color w:val="212121"/>
                      <w:sz w:val="32"/>
                      <w:szCs w:val="32"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  <w:color w:val="212121"/>
                      <w:sz w:val="32"/>
                      <w:szCs w:val="32"/>
                    </w:rPr>
                    <m:t>cm</m:t>
                  </m:r>
                </m:e>
              </m:d>
              <m:r>
                <w:rPr>
                  <w:rFonts w:ascii="Cambria Math" w:hAnsi="Cambria Math" w:cstheme="majorBidi"/>
                  <w:color w:val="212121"/>
                  <w:sz w:val="32"/>
                  <w:szCs w:val="32"/>
                </w:rPr>
                <m:t>-65)×(TG(</m:t>
              </m:r>
              <m:f>
                <m:fPr>
                  <m:ctrlPr>
                    <w:rPr>
                      <w:rFonts w:ascii="Cambria Math" w:eastAsiaTheme="minorEastAsia" w:hAnsi="Cambria Math" w:cstheme="majorBidi"/>
                      <w:i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eastAsiaTheme="minorEastAsia" w:hAnsi="Cambria Math" w:cstheme="majorBidi"/>
                      <w:sz w:val="32"/>
                      <w:szCs w:val="32"/>
                    </w:rPr>
                    <m:t>mmol</m:t>
                  </m:r>
                </m:num>
                <m:den>
                  <m:r>
                    <w:rPr>
                      <w:rFonts w:ascii="Cambria Math" w:eastAsiaTheme="minorEastAsia" w:hAnsi="Cambria Math" w:cstheme="majorBidi"/>
                      <w:sz w:val="32"/>
                      <w:szCs w:val="32"/>
                    </w:rPr>
                    <m:t>L</m:t>
                  </m:r>
                </m:den>
              </m:f>
              <m:r>
                <w:rPr>
                  <w:rFonts w:ascii="Cambria Math" w:eastAsiaTheme="minorEastAsia" w:hAnsi="Cambria Math" w:cstheme="majorBidi"/>
                  <w:sz w:val="32"/>
                  <w:szCs w:val="32"/>
                </w:rPr>
                <m:t>)</m:t>
              </m:r>
            </m:oMath>
            <w:r w:rsidR="009F2408" w:rsidRPr="007478E1">
              <w:rPr>
                <w:rFonts w:asciiTheme="majorBidi" w:hAnsiTheme="majorBidi" w:cstheme="majorBidi"/>
                <w:sz w:val="32"/>
                <w:szCs w:val="32"/>
              </w:rPr>
              <w:t>)</w:t>
            </w:r>
          </w:p>
          <w:p w14:paraId="6C803D85" w14:textId="28B1DF92" w:rsidR="00904C99" w:rsidRPr="00402599" w:rsidRDefault="00222AD8" w:rsidP="00402599">
            <w:pPr>
              <w:pStyle w:val="NormalWeb"/>
              <w:shd w:val="clear" w:color="auto" w:fill="FFFFFF"/>
              <w:spacing w:before="400" w:beforeAutospacing="0" w:after="400" w:afterAutospacing="0"/>
              <w:jc w:val="center"/>
              <w:rPr>
                <w:rFonts w:asciiTheme="majorBidi" w:hAnsiTheme="majorBidi" w:cstheme="majorBidi"/>
                <w:color w:val="212121"/>
                <w:sz w:val="32"/>
                <w:szCs w:val="32"/>
              </w:rPr>
            </w:pPr>
            <w:r w:rsidRPr="007478E1">
              <w:rPr>
                <w:rFonts w:asciiTheme="majorBidi" w:hAnsiTheme="majorBidi" w:cstheme="majorBidi"/>
                <w:color w:val="212121"/>
                <w:sz w:val="32"/>
                <w:szCs w:val="32"/>
              </w:rPr>
              <w:t xml:space="preserve">women = </w:t>
            </w:r>
            <m:oMath>
              <m:r>
                <w:rPr>
                  <w:rFonts w:ascii="Cambria Math" w:hAnsi="Cambria Math" w:cstheme="majorBidi"/>
                  <w:color w:val="212121"/>
                  <w:sz w:val="32"/>
                  <w:szCs w:val="32"/>
                </w:rPr>
                <m:t>(WC</m:t>
              </m:r>
              <m:d>
                <m:dPr>
                  <m:ctrlPr>
                    <w:rPr>
                      <w:rFonts w:ascii="Cambria Math" w:hAnsi="Cambria Math" w:cstheme="majorBidi"/>
                      <w:i/>
                      <w:color w:val="212121"/>
                      <w:sz w:val="32"/>
                      <w:szCs w:val="32"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  <w:color w:val="212121"/>
                      <w:sz w:val="32"/>
                      <w:szCs w:val="32"/>
                    </w:rPr>
                    <m:t>cm</m:t>
                  </m:r>
                </m:e>
              </m:d>
              <m:r>
                <w:rPr>
                  <w:rFonts w:ascii="Cambria Math" w:hAnsi="Cambria Math" w:cstheme="majorBidi"/>
                  <w:color w:val="212121"/>
                  <w:sz w:val="32"/>
                  <w:szCs w:val="32"/>
                </w:rPr>
                <m:t>-58)×(TG(</m:t>
              </m:r>
              <m:f>
                <m:fPr>
                  <m:ctrlPr>
                    <w:rPr>
                      <w:rFonts w:ascii="Cambria Math" w:eastAsiaTheme="minorEastAsia" w:hAnsi="Cambria Math" w:cstheme="majorBidi"/>
                      <w:i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eastAsiaTheme="minorEastAsia" w:hAnsi="Cambria Math" w:cstheme="majorBidi"/>
                      <w:sz w:val="32"/>
                      <w:szCs w:val="32"/>
                    </w:rPr>
                    <m:t>mmol</m:t>
                  </m:r>
                </m:num>
                <m:den>
                  <m:r>
                    <w:rPr>
                      <w:rFonts w:ascii="Cambria Math" w:eastAsiaTheme="minorEastAsia" w:hAnsi="Cambria Math" w:cstheme="majorBidi"/>
                      <w:sz w:val="32"/>
                      <w:szCs w:val="32"/>
                    </w:rPr>
                    <m:t>L</m:t>
                  </m:r>
                </m:den>
              </m:f>
              <m:r>
                <w:rPr>
                  <w:rFonts w:ascii="Cambria Math" w:eastAsiaTheme="minorEastAsia" w:hAnsi="Cambria Math" w:cstheme="majorBidi"/>
                  <w:sz w:val="32"/>
                  <w:szCs w:val="32"/>
                </w:rPr>
                <m:t>))</m:t>
              </m:r>
            </m:oMath>
            <w:r w:rsidR="000C533C" w:rsidRPr="007478E1">
              <w:rPr>
                <w:rFonts w:asciiTheme="majorBidi" w:hAnsiTheme="majorBidi" w:cstheme="majorBidi"/>
                <w:color w:val="212121"/>
                <w:sz w:val="32"/>
                <w:szCs w:val="32"/>
              </w:rPr>
              <w:fldChar w:fldCharType="begin"/>
            </w:r>
            <w:r w:rsidR="00E83BFA" w:rsidRPr="007478E1">
              <w:rPr>
                <w:rFonts w:asciiTheme="majorBidi" w:hAnsiTheme="majorBidi" w:cstheme="majorBidi"/>
                <w:color w:val="212121"/>
                <w:sz w:val="32"/>
                <w:szCs w:val="32"/>
              </w:rPr>
              <w:instrText xml:space="preserve"> ADDIN EN.CITE &lt;EndNote&gt;&lt;Cite&gt;&lt;Author&gt;Kahn&lt;/Author&gt;&lt;Year&gt;2005&lt;/Year&gt;&lt;RecNum&gt;30&lt;/RecNum&gt;&lt;DisplayText&gt;(4)&lt;/DisplayText&gt;&lt;record&gt;&lt;rec-number&gt;30&lt;/rec-number&gt;&lt;foreign-keys&gt;&lt;key app="EN" db-id="z0fz90zw8tswauetw5vpexpewpsxzzx2x20x" timestamp="1676717048"&gt;30&lt;/key&gt;&lt;/foreign-keys&gt;&lt;ref-type name="Journal Article"&gt;17&lt;/ref-type&gt;&lt;contributors&gt;&lt;authors&gt;&lt;author&gt;Kahn, Henry S&lt;/author&gt;&lt;/authors&gt;&lt;/contributors&gt;&lt;titles&gt;&lt;title&gt;The&amp;quot; lipid accumulation product&amp;quot; performs better than the body mass index for recognizing cardiovascular risk: a population-based comparison&lt;/title&gt;&lt;secondary-title&gt;BMC cardiovascular disorders&lt;/secondary-title&gt;&lt;/titles&gt;&lt;periodical&gt;&lt;full-title&gt;BMC cardiovascular disorders&lt;/full-title&gt;&lt;/periodical&gt;&lt;pages&gt;1-10&lt;/pages&gt;&lt;volume&gt;5&lt;/volume&gt;&lt;dates&gt;&lt;year&gt;2005&lt;/year&gt;&lt;/dates&gt;&lt;urls&gt;&lt;/urls&gt;&lt;/record&gt;&lt;/Cite&gt;&lt;/EndNote&gt;</w:instrText>
            </w:r>
            <w:r w:rsidR="000C533C" w:rsidRPr="007478E1">
              <w:rPr>
                <w:rFonts w:asciiTheme="majorBidi" w:hAnsiTheme="majorBidi" w:cstheme="majorBidi"/>
                <w:color w:val="212121"/>
                <w:sz w:val="32"/>
                <w:szCs w:val="32"/>
              </w:rPr>
              <w:fldChar w:fldCharType="separate"/>
            </w:r>
            <w:r w:rsidR="00E83BFA" w:rsidRPr="007478E1">
              <w:rPr>
                <w:rFonts w:asciiTheme="majorBidi" w:hAnsiTheme="majorBidi" w:cstheme="majorBidi"/>
                <w:noProof/>
                <w:color w:val="212121"/>
                <w:sz w:val="32"/>
                <w:szCs w:val="32"/>
              </w:rPr>
              <w:t>(4)</w:t>
            </w:r>
            <w:r w:rsidR="000C533C" w:rsidRPr="007478E1">
              <w:rPr>
                <w:rFonts w:asciiTheme="majorBidi" w:hAnsiTheme="majorBidi" w:cstheme="majorBidi"/>
                <w:color w:val="212121"/>
                <w:sz w:val="32"/>
                <w:szCs w:val="32"/>
              </w:rPr>
              <w:fldChar w:fldCharType="end"/>
            </w:r>
          </w:p>
        </w:tc>
      </w:tr>
      <w:tr w:rsidR="00692635" w:rsidRPr="007478E1" w14:paraId="3A894715" w14:textId="77777777" w:rsidTr="00904C99">
        <w:tc>
          <w:tcPr>
            <w:tcW w:w="1615" w:type="dxa"/>
          </w:tcPr>
          <w:p w14:paraId="0E850E0F" w14:textId="26A1E62C" w:rsidR="00692635" w:rsidRPr="007478E1" w:rsidRDefault="00692635" w:rsidP="00904C99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7478E1">
              <w:rPr>
                <w:rFonts w:asciiTheme="majorBidi" w:hAnsiTheme="majorBidi" w:cstheme="majorBidi"/>
                <w:sz w:val="32"/>
                <w:szCs w:val="32"/>
              </w:rPr>
              <w:t>AVI</w:t>
            </w:r>
          </w:p>
        </w:tc>
        <w:tc>
          <w:tcPr>
            <w:tcW w:w="7735" w:type="dxa"/>
          </w:tcPr>
          <w:p w14:paraId="21790388" w14:textId="01EC79C6" w:rsidR="00692635" w:rsidRPr="007478E1" w:rsidRDefault="00000000" w:rsidP="00402599">
            <w:pPr>
              <w:jc w:val="center"/>
              <w:rPr>
                <w:rFonts w:asciiTheme="majorBidi" w:eastAsiaTheme="minorEastAsia" w:hAnsiTheme="majorBidi" w:cstheme="majorBidi"/>
                <w:sz w:val="32"/>
                <w:szCs w:val="32"/>
                <w:rtl/>
              </w:rPr>
            </w:pPr>
            <m:oMath>
              <m:f>
                <m:fPr>
                  <m:ctrlPr>
                    <w:rPr>
                      <w:rFonts w:ascii="Cambria Math" w:eastAsiaTheme="minorEastAsia" w:hAnsi="Cambria Math" w:cstheme="majorBidi"/>
                      <w:i/>
                      <w:sz w:val="32"/>
                      <w:szCs w:val="32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theme="majorBidi"/>
                      <w:sz w:val="32"/>
                      <w:szCs w:val="32"/>
                    </w:rPr>
                    <m:t>[2</m:t>
                  </m:r>
                  <m:r>
                    <w:rPr>
                      <w:rFonts w:ascii="Cambria Math" w:hAnsi="Cambria Math" w:cstheme="majorBidi"/>
                      <w:sz w:val="32"/>
                      <w:szCs w:val="32"/>
                    </w:rPr>
                    <m:t>×</m:t>
                  </m:r>
                  <m:sSup>
                    <m:sSupPr>
                      <m:ctrlPr>
                        <w:rPr>
                          <w:rFonts w:ascii="Cambria Math" w:hAnsi="Cambria Math" w:cstheme="majorBidi"/>
                          <w:i/>
                          <w:sz w:val="32"/>
                          <w:szCs w:val="32"/>
                        </w:rPr>
                      </m:ctrlPr>
                    </m:sSupPr>
                    <m:e>
                      <m:r>
                        <w:rPr>
                          <w:rFonts w:ascii="Cambria Math" w:hAnsi="Cambria Math" w:cstheme="majorBidi"/>
                          <w:sz w:val="32"/>
                          <w:szCs w:val="32"/>
                        </w:rPr>
                        <m:t>WC</m:t>
                      </m:r>
                    </m:e>
                    <m:sup>
                      <m:r>
                        <w:rPr>
                          <w:rFonts w:ascii="Cambria Math" w:hAnsi="Cambria Math" w:cstheme="majorBidi"/>
                          <w:sz w:val="32"/>
                          <w:szCs w:val="32"/>
                        </w:rPr>
                        <m:t>2</m:t>
                      </m:r>
                    </m:sup>
                  </m:sSup>
                  <m:d>
                    <m:dPr>
                      <m:ctrlPr>
                        <w:rPr>
                          <w:rFonts w:ascii="Cambria Math" w:hAnsi="Cambria Math" w:cstheme="majorBidi"/>
                          <w:i/>
                          <w:sz w:val="32"/>
                          <w:szCs w:val="32"/>
                        </w:rPr>
                      </m:ctrlPr>
                    </m:dPr>
                    <m:e>
                      <m:r>
                        <w:rPr>
                          <w:rFonts w:ascii="Cambria Math" w:hAnsi="Cambria Math" w:cstheme="majorBidi"/>
                          <w:sz w:val="32"/>
                          <w:szCs w:val="32"/>
                        </w:rPr>
                        <m:t>cm</m:t>
                      </m:r>
                    </m:e>
                  </m:d>
                  <m:r>
                    <w:rPr>
                      <w:rFonts w:ascii="Cambria Math" w:hAnsi="Cambria Math" w:cstheme="majorBidi"/>
                      <w:sz w:val="32"/>
                      <w:szCs w:val="32"/>
                    </w:rPr>
                    <m:t>+0.7</m:t>
                  </m:r>
                  <m:sSup>
                    <m:sSupPr>
                      <m:ctrlPr>
                        <w:rPr>
                          <w:rFonts w:ascii="Cambria Math" w:hAnsi="Cambria Math" w:cstheme="majorBidi"/>
                          <w:i/>
                          <w:sz w:val="32"/>
                          <w:szCs w:val="32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 w:cstheme="majorBidi"/>
                              <w:i/>
                              <w:sz w:val="32"/>
                              <w:szCs w:val="32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theme="majorBidi"/>
                              <w:sz w:val="32"/>
                              <w:szCs w:val="32"/>
                            </w:rPr>
                            <m:t>WHR</m:t>
                          </m:r>
                        </m:e>
                      </m:d>
                    </m:e>
                    <m:sup>
                      <m:r>
                        <w:rPr>
                          <w:rFonts w:ascii="Cambria Math" w:hAnsi="Cambria Math" w:cstheme="majorBidi"/>
                          <w:sz w:val="32"/>
                          <w:szCs w:val="32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theme="majorBidi"/>
                      <w:sz w:val="32"/>
                      <w:szCs w:val="32"/>
                    </w:rPr>
                    <m:t>]</m:t>
                  </m:r>
                </m:num>
                <m:den>
                  <m:r>
                    <w:rPr>
                      <w:rFonts w:ascii="Cambria Math" w:eastAsiaTheme="minorEastAsia" w:hAnsi="Cambria Math" w:cstheme="majorBidi"/>
                      <w:sz w:val="32"/>
                      <w:szCs w:val="32"/>
                    </w:rPr>
                    <m:t>1000</m:t>
                  </m:r>
                </m:den>
              </m:f>
            </m:oMath>
            <w:r w:rsidR="005B1F61" w:rsidRPr="007478E1">
              <w:rPr>
                <w:rFonts w:asciiTheme="majorBidi" w:hAnsiTheme="majorBidi" w:cstheme="majorBidi"/>
                <w:sz w:val="32"/>
                <w:szCs w:val="32"/>
              </w:rPr>
              <w:fldChar w:fldCharType="begin"/>
            </w:r>
            <w:r w:rsidR="005B1F61" w:rsidRPr="007478E1">
              <w:rPr>
                <w:rFonts w:asciiTheme="majorBidi" w:hAnsiTheme="majorBidi" w:cstheme="majorBidi"/>
                <w:sz w:val="32"/>
                <w:szCs w:val="32"/>
              </w:rPr>
              <w:instrText xml:space="preserve"> ADDIN EN.CITE &lt;EndNote&gt;&lt;Cite&gt;&lt;Author&gt;Guerrero-Romero&lt;/Author&gt;&lt;Year&gt;2003&lt;/Year&gt;&lt;RecNum&gt;35&lt;/RecNum&gt;&lt;DisplayText&gt;(5)&lt;/DisplayText&gt;&lt;record&gt;&lt;rec-number&gt;35&lt;/rec-number&gt;&lt;foreign-keys&gt;&lt;key app="EN" db-id="z0fz90zw8tswauetw5vpexpewpsxzzx2x20x" timestamp="1677001746"&gt;35&lt;/key&gt;&lt;/foreign-keys&gt;&lt;ref-type name="Journal Article"&gt;17&lt;/ref-type&gt;&lt;contributors&gt;&lt;authors&gt;&lt;author&gt;Guerrero-Romero, Fernando&lt;/author&gt;&lt;author&gt;Rodrı́guez-Morán, Martha&lt;/author&gt;&lt;/authors&gt;&lt;/contributors&gt;&lt;titles&gt;&lt;title&gt;Abdominal volume index. An anthropometry-based index for estimation of obesity is strongly related to impaired glucose tolerance and type 2 diabetes mellitus&lt;/title&gt;&lt;secondary-title&gt;Archives of medical research&lt;/secondary-title&gt;&lt;/titles&gt;&lt;periodical&gt;&lt;full-title&gt;Archives of medical research&lt;/full-title&gt;&lt;/periodical&gt;&lt;pages&gt;428-432&lt;/pages&gt;&lt;volume&gt;34&lt;/volume&gt;&lt;number&gt;5&lt;/number&gt;&lt;dates&gt;&lt;year&gt;2003&lt;/year&gt;&lt;/dates&gt;&lt;isbn&gt;0188-4409&lt;/isbn&gt;&lt;urls&gt;&lt;/urls&gt;&lt;/record&gt;&lt;/Cite&gt;&lt;/EndNote&gt;</w:instrText>
            </w:r>
            <w:r w:rsidR="005B1F61" w:rsidRPr="007478E1">
              <w:rPr>
                <w:rFonts w:asciiTheme="majorBidi" w:hAnsiTheme="majorBidi" w:cstheme="majorBidi"/>
                <w:sz w:val="32"/>
                <w:szCs w:val="32"/>
              </w:rPr>
              <w:fldChar w:fldCharType="separate"/>
            </w:r>
            <w:r w:rsidR="005B1F61" w:rsidRPr="007478E1">
              <w:rPr>
                <w:rFonts w:asciiTheme="majorBidi" w:hAnsiTheme="majorBidi" w:cstheme="majorBidi"/>
                <w:noProof/>
                <w:sz w:val="32"/>
                <w:szCs w:val="32"/>
              </w:rPr>
              <w:t>(5)</w:t>
            </w:r>
            <w:r w:rsidR="005B1F61" w:rsidRPr="007478E1">
              <w:rPr>
                <w:rFonts w:asciiTheme="majorBidi" w:hAnsiTheme="majorBidi" w:cstheme="majorBidi"/>
                <w:sz w:val="32"/>
                <w:szCs w:val="32"/>
              </w:rPr>
              <w:fldChar w:fldCharType="end"/>
            </w:r>
          </w:p>
        </w:tc>
      </w:tr>
      <w:tr w:rsidR="00B1241D" w:rsidRPr="007478E1" w14:paraId="3EFD1F9D" w14:textId="77777777" w:rsidTr="00904C99">
        <w:tc>
          <w:tcPr>
            <w:tcW w:w="1615" w:type="dxa"/>
          </w:tcPr>
          <w:p w14:paraId="556CA491" w14:textId="3E49A5C2" w:rsidR="00B1241D" w:rsidRPr="007478E1" w:rsidRDefault="00B1241D" w:rsidP="00904C99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7478E1">
              <w:rPr>
                <w:rFonts w:asciiTheme="majorBidi" w:hAnsiTheme="majorBidi" w:cstheme="majorBidi"/>
                <w:sz w:val="32"/>
                <w:szCs w:val="32"/>
              </w:rPr>
              <w:t>WWI</w:t>
            </w:r>
          </w:p>
        </w:tc>
        <w:tc>
          <w:tcPr>
            <w:tcW w:w="7735" w:type="dxa"/>
          </w:tcPr>
          <w:p w14:paraId="43F23C39" w14:textId="68084AAA" w:rsidR="00B1241D" w:rsidRPr="007478E1" w:rsidRDefault="00000000" w:rsidP="00402599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m:oMath>
              <m:f>
                <m:fPr>
                  <m:ctrlPr>
                    <w:rPr>
                      <w:rFonts w:ascii="Cambria Math" w:hAnsi="Cambria Math" w:cstheme="majorBidi"/>
                      <w:i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hAnsi="Cambria Math" w:cstheme="majorBidi"/>
                      <w:sz w:val="32"/>
                      <w:szCs w:val="32"/>
                    </w:rPr>
                    <m:t>WC(cm)</m:t>
                  </m:r>
                </m:num>
                <m:den>
                  <m:rad>
                    <m:radPr>
                      <m:degHide m:val="1"/>
                      <m:ctrlPr>
                        <w:rPr>
                          <w:rFonts w:ascii="Cambria Math" w:hAnsi="Cambria Math" w:cstheme="majorBidi"/>
                          <w:i/>
                          <w:sz w:val="32"/>
                          <w:szCs w:val="32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 w:cstheme="majorBidi"/>
                          <w:sz w:val="32"/>
                          <w:szCs w:val="32"/>
                        </w:rPr>
                        <m:t>weight(Kg)</m:t>
                      </m:r>
                    </m:e>
                  </m:rad>
                </m:den>
              </m:f>
            </m:oMath>
            <w:r w:rsidR="00884BB2" w:rsidRPr="007478E1">
              <w:rPr>
                <w:rFonts w:asciiTheme="majorBidi" w:hAnsiTheme="majorBidi" w:cstheme="majorBidi"/>
                <w:sz w:val="32"/>
                <w:szCs w:val="32"/>
              </w:rPr>
              <w:fldChar w:fldCharType="begin"/>
            </w:r>
            <w:r w:rsidR="00884BB2" w:rsidRPr="007478E1">
              <w:rPr>
                <w:rFonts w:asciiTheme="majorBidi" w:hAnsiTheme="majorBidi" w:cstheme="majorBidi"/>
                <w:sz w:val="32"/>
                <w:szCs w:val="32"/>
              </w:rPr>
              <w:instrText xml:space="preserve"> ADDIN EN.CITE &lt;EndNote&gt;&lt;Cite&gt;&lt;Author&gt;Park&lt;/Author&gt;&lt;Year&gt;2018&lt;/Year&gt;&lt;RecNum&gt;36&lt;/RecNum&gt;&lt;DisplayText&gt;(6)&lt;/DisplayText&gt;&lt;record&gt;&lt;rec-number&gt;36&lt;/rec-number&gt;&lt;foreign-keys&gt;&lt;key app="EN" db-id="z0fz90zw8tswauetw5vpexpewpsxzzx2x20x" timestamp="1677002492"&gt;36&lt;/key&gt;&lt;/foreign-keys&gt;&lt;ref-type name="Journal Article"&gt;17&lt;/ref-type&gt;&lt;contributors&gt;&lt;authors&gt;&lt;author&gt;Park, Yousung&lt;/author&gt;&lt;author&gt;Kim, Nam Hoon&lt;/author&gt;&lt;author&gt;Kwon, Tae Yeon&lt;/author&gt;&lt;author&gt;Kim, Sin Gon&lt;/author&gt;&lt;/authors&gt;&lt;/contributors&gt;&lt;titles&gt;&lt;title&gt;A novel adiposity index as an integrated predictor of cardiometabolic disease morbidity and mortality&lt;/title&gt;&lt;secondary-title&gt;Scientific reports&lt;/secondary-title&gt;&lt;/titles&gt;&lt;periodical&gt;&lt;full-title&gt;Scientific reports&lt;/full-title&gt;&lt;/periodical&gt;&lt;pages&gt;16753&lt;/pages&gt;&lt;volume&gt;8&lt;/volume&gt;&lt;number&gt;1&lt;/number&gt;&lt;dates&gt;&lt;year&gt;2018&lt;/year&gt;&lt;/dates&gt;&lt;isbn&gt;2045-2322&lt;/isbn&gt;&lt;urls&gt;&lt;/urls&gt;&lt;/record&gt;&lt;/Cite&gt;&lt;/EndNote&gt;</w:instrText>
            </w:r>
            <w:r w:rsidR="00884BB2" w:rsidRPr="007478E1">
              <w:rPr>
                <w:rFonts w:asciiTheme="majorBidi" w:hAnsiTheme="majorBidi" w:cstheme="majorBidi"/>
                <w:sz w:val="32"/>
                <w:szCs w:val="32"/>
              </w:rPr>
              <w:fldChar w:fldCharType="separate"/>
            </w:r>
            <w:r w:rsidR="00884BB2" w:rsidRPr="007478E1">
              <w:rPr>
                <w:rFonts w:asciiTheme="majorBidi" w:hAnsiTheme="majorBidi" w:cstheme="majorBidi"/>
                <w:noProof/>
                <w:sz w:val="32"/>
                <w:szCs w:val="32"/>
              </w:rPr>
              <w:t>(6)</w:t>
            </w:r>
            <w:r w:rsidR="00884BB2" w:rsidRPr="007478E1">
              <w:rPr>
                <w:rFonts w:asciiTheme="majorBidi" w:hAnsiTheme="majorBidi" w:cstheme="majorBidi"/>
                <w:sz w:val="32"/>
                <w:szCs w:val="32"/>
              </w:rPr>
              <w:fldChar w:fldCharType="end"/>
            </w:r>
          </w:p>
        </w:tc>
      </w:tr>
      <w:tr w:rsidR="005369D5" w:rsidRPr="007478E1" w14:paraId="5DC83408" w14:textId="77777777" w:rsidTr="00904C99">
        <w:tc>
          <w:tcPr>
            <w:tcW w:w="1615" w:type="dxa"/>
          </w:tcPr>
          <w:p w14:paraId="39986914" w14:textId="487F5972" w:rsidR="005369D5" w:rsidRPr="007478E1" w:rsidRDefault="0080555E" w:rsidP="00904C99">
            <w:pPr>
              <w:jc w:val="center"/>
              <w:rPr>
                <w:rFonts w:asciiTheme="majorBidi" w:hAnsiTheme="majorBidi" w:cstheme="majorBidi"/>
                <w:sz w:val="32"/>
                <w:szCs w:val="32"/>
                <w:lang w:val="en-GB"/>
              </w:rPr>
            </w:pPr>
            <w:r w:rsidRPr="007478E1">
              <w:rPr>
                <w:rFonts w:asciiTheme="majorBidi" w:hAnsiTheme="majorBidi" w:cstheme="majorBidi"/>
                <w:sz w:val="32"/>
                <w:szCs w:val="32"/>
                <w:lang w:val="en-GB"/>
              </w:rPr>
              <w:t>BAI</w:t>
            </w:r>
          </w:p>
        </w:tc>
        <w:tc>
          <w:tcPr>
            <w:tcW w:w="7735" w:type="dxa"/>
          </w:tcPr>
          <w:p w14:paraId="2703F484" w14:textId="708AC3AE" w:rsidR="005369D5" w:rsidRPr="007478E1" w:rsidRDefault="00000000" w:rsidP="00402599">
            <w:pPr>
              <w:jc w:val="center"/>
              <w:rPr>
                <w:rFonts w:asciiTheme="majorBidi" w:hAnsiTheme="majorBidi" w:cstheme="majorBidi"/>
                <w:color w:val="000000" w:themeColor="text1"/>
                <w:sz w:val="32"/>
                <w:szCs w:val="32"/>
              </w:rPr>
            </w:pPr>
            <m:oMath>
              <m:f>
                <m:fPr>
                  <m:ctrlPr>
                    <w:rPr>
                      <w:rFonts w:ascii="Cambria Math" w:hAnsi="Cambria Math" w:cstheme="majorBidi"/>
                      <w:iCs/>
                      <w:sz w:val="32"/>
                      <w:szCs w:val="32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theme="majorBidi"/>
                      <w:sz w:val="32"/>
                      <w:szCs w:val="32"/>
                    </w:rPr>
                    <m:t>HC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 w:cstheme="majorBidi"/>
                          <w:iCs/>
                          <w:sz w:val="32"/>
                          <w:szCs w:val="32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theme="majorBidi"/>
                          <w:sz w:val="32"/>
                          <w:szCs w:val="32"/>
                        </w:rPr>
                        <m:t>height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theme="majorBidi"/>
                          <w:sz w:val="32"/>
                          <w:szCs w:val="32"/>
                        </w:rPr>
                        <m:t>1.5</m:t>
                      </m:r>
                    </m:sup>
                  </m:sSup>
                </m:den>
              </m:f>
              <m:r>
                <m:rPr>
                  <m:sty m:val="p"/>
                </m:rPr>
                <w:rPr>
                  <w:rFonts w:ascii="Cambria Math" w:hAnsi="Cambria Math" w:cstheme="majorBidi"/>
                  <w:sz w:val="32"/>
                  <w:szCs w:val="32"/>
                </w:rPr>
                <m:t>-18</m:t>
              </m:r>
            </m:oMath>
            <w:r w:rsidR="00F0707A" w:rsidRPr="007478E1">
              <w:rPr>
                <w:rFonts w:asciiTheme="majorBidi" w:hAnsiTheme="majorBidi" w:cstheme="majorBidi"/>
                <w:color w:val="000000" w:themeColor="text1"/>
                <w:sz w:val="32"/>
                <w:szCs w:val="32"/>
              </w:rPr>
              <w:t xml:space="preserve"> </w:t>
            </w:r>
            <w:r w:rsidR="00F0707A" w:rsidRPr="007478E1">
              <w:rPr>
                <w:rFonts w:asciiTheme="majorBidi" w:hAnsiTheme="majorBidi" w:cstheme="majorBidi"/>
                <w:color w:val="000000" w:themeColor="text1"/>
                <w:sz w:val="32"/>
                <w:szCs w:val="32"/>
              </w:rPr>
              <w:fldChar w:fldCharType="begin"/>
            </w:r>
            <w:r w:rsidR="00F0707A" w:rsidRPr="007478E1">
              <w:rPr>
                <w:rFonts w:asciiTheme="majorBidi" w:hAnsiTheme="majorBidi" w:cstheme="majorBidi"/>
                <w:color w:val="000000" w:themeColor="text1"/>
                <w:sz w:val="32"/>
                <w:szCs w:val="32"/>
              </w:rPr>
              <w:instrText xml:space="preserve"> ADDIN EN.CITE &lt;EndNote&gt;&lt;Cite&gt;&lt;Author&gt;Bergman&lt;/Author&gt;&lt;Year&gt;2011&lt;/Year&gt;&lt;RecNum&gt;24&lt;/RecNum&gt;&lt;DisplayText&gt;(7)&lt;/DisplayText&gt;&lt;record&gt;&lt;rec-number&gt;24&lt;/rec-number&gt;&lt;foreign-keys&gt;&lt;key app="EN" db-id="z0fz90zw8tswauetw5vpexpewpsxzzx2x20x" timestamp="1671564929"&gt;24&lt;/key&gt;&lt;/foreign-keys&gt;&lt;ref-type name="Journal Article"&gt;17&lt;/ref-type&gt;&lt;contributors&gt;&lt;authors&gt;&lt;author&gt;Bergman, Richard N&lt;/author&gt;&lt;author&gt;Stefanovski, Darko&lt;/author&gt;&lt;author&gt;Buchanan, Thomas A&lt;/author&gt;&lt;author&gt;Sumner, Anne E&lt;/author&gt;&lt;author&gt;Reynolds, James C&lt;/author&gt;&lt;author&gt;Sebring, Nancy G&lt;/author&gt;&lt;author&gt;Xiang, Anny H&lt;/author&gt;&lt;author&gt;Watanabe, Richard M&lt;/author&gt;&lt;/authors&gt;&lt;/contributors&gt;&lt;titles&gt;&lt;title&gt;A better index of body adiposity&lt;/title&gt;&lt;secondary-title&gt;Obesity&lt;/secondary-title&gt;&lt;/titles&gt;&lt;periodical&gt;&lt;full-title&gt;Obesity&lt;/full-title&gt;&lt;/periodical&gt;&lt;pages&gt;1083-1089&lt;/pages&gt;&lt;volume&gt;19&lt;/volume&gt;&lt;number&gt;5&lt;/number&gt;&lt;dates&gt;&lt;year&gt;2011&lt;/year&gt;&lt;/dates&gt;&lt;isbn&gt;1930-7381&lt;/isbn&gt;&lt;urls&gt;&lt;/urls&gt;&lt;/record&gt;&lt;/Cite&gt;&lt;/EndNote&gt;</w:instrText>
            </w:r>
            <w:r w:rsidR="00F0707A" w:rsidRPr="007478E1">
              <w:rPr>
                <w:rFonts w:asciiTheme="majorBidi" w:hAnsiTheme="majorBidi" w:cstheme="majorBidi"/>
                <w:color w:val="000000" w:themeColor="text1"/>
                <w:sz w:val="32"/>
                <w:szCs w:val="32"/>
              </w:rPr>
              <w:fldChar w:fldCharType="separate"/>
            </w:r>
            <w:r w:rsidR="00F0707A" w:rsidRPr="007478E1">
              <w:rPr>
                <w:rFonts w:asciiTheme="majorBidi" w:hAnsiTheme="majorBidi" w:cstheme="majorBidi"/>
                <w:noProof/>
                <w:color w:val="000000" w:themeColor="text1"/>
                <w:sz w:val="32"/>
                <w:szCs w:val="32"/>
              </w:rPr>
              <w:t>(7)</w:t>
            </w:r>
            <w:r w:rsidR="00F0707A" w:rsidRPr="007478E1">
              <w:rPr>
                <w:rFonts w:asciiTheme="majorBidi" w:hAnsiTheme="majorBidi" w:cstheme="majorBidi"/>
                <w:color w:val="000000" w:themeColor="text1"/>
                <w:sz w:val="32"/>
                <w:szCs w:val="32"/>
              </w:rPr>
              <w:fldChar w:fldCharType="end"/>
            </w:r>
          </w:p>
        </w:tc>
      </w:tr>
      <w:tr w:rsidR="005D2116" w:rsidRPr="007478E1" w14:paraId="1894FAA0" w14:textId="77777777" w:rsidTr="00904C99">
        <w:tc>
          <w:tcPr>
            <w:tcW w:w="1615" w:type="dxa"/>
          </w:tcPr>
          <w:p w14:paraId="544CC9C4" w14:textId="0A965FAE" w:rsidR="005D2116" w:rsidRPr="007478E1" w:rsidRDefault="005D2116" w:rsidP="00904C99">
            <w:pPr>
              <w:jc w:val="center"/>
              <w:rPr>
                <w:rFonts w:asciiTheme="majorBidi" w:hAnsiTheme="majorBidi" w:cstheme="majorBidi"/>
                <w:sz w:val="32"/>
                <w:szCs w:val="32"/>
                <w:lang w:val="en-GB"/>
              </w:rPr>
            </w:pPr>
            <w:r w:rsidRPr="007478E1">
              <w:rPr>
                <w:rFonts w:asciiTheme="majorBidi" w:hAnsiTheme="majorBidi" w:cstheme="majorBidi"/>
                <w:sz w:val="32"/>
                <w:szCs w:val="32"/>
                <w:lang w:val="en-GB"/>
              </w:rPr>
              <w:t>BSA</w:t>
            </w:r>
          </w:p>
        </w:tc>
        <w:tc>
          <w:tcPr>
            <w:tcW w:w="7735" w:type="dxa"/>
          </w:tcPr>
          <w:p w14:paraId="20E5525A" w14:textId="6F43F19B" w:rsidR="005D2116" w:rsidRPr="007478E1" w:rsidRDefault="00000000" w:rsidP="00402599">
            <w:pPr>
              <w:jc w:val="center"/>
              <w:rPr>
                <w:rFonts w:asciiTheme="majorBidi" w:hAnsiTheme="majorBidi" w:cstheme="majorBidi"/>
                <w:color w:val="000000" w:themeColor="text1"/>
                <w:sz w:val="32"/>
                <w:szCs w:val="32"/>
                <w:lang w:val="en-GB"/>
              </w:rPr>
            </w:pPr>
            <m:oMath>
              <m:rad>
                <m:radPr>
                  <m:degHide m:val="1"/>
                  <m:ctrlPr>
                    <w:rPr>
                      <w:rFonts w:ascii="Cambria Math" w:hAnsi="Cambria Math" w:cstheme="majorBidi"/>
                      <w:i/>
                      <w:color w:val="000000" w:themeColor="text1"/>
                      <w:sz w:val="32"/>
                      <w:szCs w:val="32"/>
                    </w:rPr>
                  </m:ctrlPr>
                </m:radPr>
                <m:deg/>
                <m:e>
                  <m:f>
                    <m:fPr>
                      <m:ctrlPr>
                        <w:rPr>
                          <w:rFonts w:ascii="Cambria Math" w:hAnsi="Cambria Math" w:cstheme="majorBidi"/>
                          <w:i/>
                          <w:color w:val="000000" w:themeColor="text1"/>
                          <w:sz w:val="32"/>
                          <w:szCs w:val="32"/>
                        </w:rPr>
                      </m:ctrlPr>
                    </m:fPr>
                    <m:num>
                      <m:r>
                        <w:rPr>
                          <w:rFonts w:ascii="Cambria Math" w:hAnsi="Cambria Math" w:cstheme="majorBidi"/>
                          <w:color w:val="000000" w:themeColor="text1"/>
                          <w:sz w:val="32"/>
                          <w:szCs w:val="32"/>
                        </w:rPr>
                        <m:t>height(cm)×weight(kg)</m:t>
                      </m:r>
                    </m:num>
                    <m:den>
                      <m:r>
                        <w:rPr>
                          <w:rFonts w:ascii="Cambria Math" w:hAnsi="Cambria Math" w:cstheme="majorBidi"/>
                          <w:color w:val="000000" w:themeColor="text1"/>
                          <w:sz w:val="32"/>
                          <w:szCs w:val="32"/>
                        </w:rPr>
                        <m:t>3600</m:t>
                      </m:r>
                    </m:den>
                  </m:f>
                </m:e>
              </m:rad>
            </m:oMath>
            <w:r w:rsidR="003672C0" w:rsidRPr="007478E1">
              <w:rPr>
                <w:rFonts w:asciiTheme="majorBidi" w:eastAsiaTheme="minorEastAsia" w:hAnsiTheme="majorBidi" w:cstheme="majorBidi"/>
                <w:color w:val="000000" w:themeColor="text1"/>
                <w:sz w:val="32"/>
                <w:szCs w:val="32"/>
              </w:rPr>
              <w:t xml:space="preserve">   </w:t>
            </w:r>
            <w:r w:rsidR="003672C0" w:rsidRPr="007478E1">
              <w:rPr>
                <w:rFonts w:asciiTheme="majorBidi" w:eastAsiaTheme="minorEastAsia" w:hAnsiTheme="majorBidi" w:cstheme="majorBidi"/>
                <w:color w:val="000000" w:themeColor="text1"/>
                <w:sz w:val="32"/>
                <w:szCs w:val="32"/>
              </w:rPr>
              <w:fldChar w:fldCharType="begin"/>
            </w:r>
            <w:r w:rsidR="003672C0" w:rsidRPr="007478E1">
              <w:rPr>
                <w:rFonts w:asciiTheme="majorBidi" w:eastAsiaTheme="minorEastAsia" w:hAnsiTheme="majorBidi" w:cstheme="majorBidi"/>
                <w:color w:val="000000" w:themeColor="text1"/>
                <w:sz w:val="32"/>
                <w:szCs w:val="32"/>
              </w:rPr>
              <w:instrText xml:space="preserve"> ADDIN EN.CITE &lt;EndNote&gt;&lt;Cite&gt;&lt;Author&gt;Mosteller&lt;/Author&gt;&lt;Year&gt;1987&lt;/Year&gt;&lt;RecNum&gt;55&lt;/RecNum&gt;&lt;DisplayText&gt;(8)&lt;/DisplayText&gt;&lt;record&gt;&lt;rec-number&gt;55&lt;/rec-number&gt;&lt;foreign-keys&gt;&lt;key app="EN" db-id="z0fz90zw8tswauetw5vpexpewpsxzzx2x20x" timestamp="1687627615"&gt;55&lt;/key&gt;&lt;/foreign-keys&gt;&lt;ref-type name="Journal Article"&gt;17&lt;/ref-type&gt;&lt;contributors&gt;&lt;authors&gt;&lt;author&gt;Mosteller, RD&lt;/author&gt;&lt;/authors&gt;&lt;/contributors&gt;&lt;titles&gt;&lt;title&gt;Simplified calculation of body surface area&lt;/title&gt;&lt;secondary-title&gt;New Engl J Med&lt;/secondary-title&gt;&lt;/titles&gt;&lt;periodical&gt;&lt;full-title&gt;New Engl J Med&lt;/full-title&gt;&lt;/periodical&gt;&lt;pages&gt;1098&lt;/pages&gt;&lt;volume&gt;317&lt;/volume&gt;&lt;dates&gt;&lt;year&gt;1987&lt;/year&gt;&lt;/dates&gt;&lt;urls&gt;&lt;/urls&gt;&lt;/record&gt;&lt;/Cite&gt;&lt;/EndNote&gt;</w:instrText>
            </w:r>
            <w:r w:rsidR="003672C0" w:rsidRPr="007478E1">
              <w:rPr>
                <w:rFonts w:asciiTheme="majorBidi" w:eastAsiaTheme="minorEastAsia" w:hAnsiTheme="majorBidi" w:cstheme="majorBidi"/>
                <w:color w:val="000000" w:themeColor="text1"/>
                <w:sz w:val="32"/>
                <w:szCs w:val="32"/>
              </w:rPr>
              <w:fldChar w:fldCharType="separate"/>
            </w:r>
            <w:r w:rsidR="003672C0" w:rsidRPr="007478E1">
              <w:rPr>
                <w:rFonts w:asciiTheme="majorBidi" w:eastAsiaTheme="minorEastAsia" w:hAnsiTheme="majorBidi" w:cstheme="majorBidi"/>
                <w:noProof/>
                <w:color w:val="000000" w:themeColor="text1"/>
                <w:sz w:val="32"/>
                <w:szCs w:val="32"/>
              </w:rPr>
              <w:t>(8)</w:t>
            </w:r>
            <w:r w:rsidR="003672C0" w:rsidRPr="007478E1">
              <w:rPr>
                <w:rFonts w:asciiTheme="majorBidi" w:eastAsiaTheme="minorEastAsia" w:hAnsiTheme="majorBidi" w:cstheme="majorBidi"/>
                <w:color w:val="000000" w:themeColor="text1"/>
                <w:sz w:val="32"/>
                <w:szCs w:val="32"/>
              </w:rPr>
              <w:fldChar w:fldCharType="end"/>
            </w:r>
          </w:p>
        </w:tc>
      </w:tr>
      <w:tr w:rsidR="0088397E" w:rsidRPr="007478E1" w14:paraId="76F2910A" w14:textId="77777777" w:rsidTr="00904C99">
        <w:tc>
          <w:tcPr>
            <w:tcW w:w="1615" w:type="dxa"/>
          </w:tcPr>
          <w:p w14:paraId="321EA39E" w14:textId="2ABA10DB" w:rsidR="0088397E" w:rsidRPr="007478E1" w:rsidRDefault="0088397E" w:rsidP="00904C99">
            <w:pPr>
              <w:jc w:val="center"/>
              <w:rPr>
                <w:rFonts w:asciiTheme="majorBidi" w:hAnsiTheme="majorBidi" w:cstheme="majorBidi"/>
                <w:sz w:val="32"/>
                <w:szCs w:val="32"/>
                <w:lang w:val="en-GB"/>
              </w:rPr>
            </w:pPr>
            <w:r>
              <w:rPr>
                <w:rFonts w:asciiTheme="majorBidi" w:hAnsiTheme="majorBidi" w:cstheme="majorBidi"/>
                <w:sz w:val="32"/>
                <w:szCs w:val="32"/>
                <w:lang w:val="en-GB"/>
              </w:rPr>
              <w:t>BMI</w:t>
            </w:r>
          </w:p>
        </w:tc>
        <w:tc>
          <w:tcPr>
            <w:tcW w:w="7735" w:type="dxa"/>
          </w:tcPr>
          <w:p w14:paraId="5C77B1F3" w14:textId="1C72AE98" w:rsidR="0088397E" w:rsidRPr="00402599" w:rsidRDefault="00402599" w:rsidP="00402599">
            <w:pPr>
              <w:rPr>
                <w:rFonts w:ascii="Times New Roman" w:eastAsia="Calibri" w:hAnsi="Times New Roman" w:cs="Times New Roman"/>
                <w:color w:val="000000" w:themeColor="text1"/>
                <w:sz w:val="32"/>
                <w:szCs w:val="32"/>
              </w:rPr>
            </w:pPr>
            <m:oMath>
              <m:r>
                <w:rPr>
                  <w:rFonts w:ascii="Cambria Math" w:eastAsia="Calibri" w:hAnsi="Cambria Math" w:cs="Times New Roman"/>
                  <w:color w:val="000000" w:themeColor="text1"/>
                  <w:sz w:val="32"/>
                  <w:szCs w:val="32"/>
                </w:rPr>
                <m:t xml:space="preserve">                                        </m:t>
              </m:r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color w:val="000000" w:themeColor="text1"/>
                      <w:sz w:val="32"/>
                      <w:szCs w:val="32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color w:val="000000" w:themeColor="text1"/>
                      <w:sz w:val="32"/>
                      <w:szCs w:val="32"/>
                    </w:rPr>
                    <m:t>Weight(kg)</m:t>
                  </m:r>
                </m:num>
                <m:den>
                  <m:sSup>
                    <m:sSupPr>
                      <m:ctrlPr>
                        <w:rPr>
                          <w:rFonts w:ascii="Cambria Math" w:eastAsia="Calibri" w:hAnsi="Cambria Math" w:cs="Times New Roman"/>
                          <w:i/>
                          <w:color w:val="000000" w:themeColor="text1"/>
                          <w:sz w:val="32"/>
                          <w:szCs w:val="32"/>
                        </w:rPr>
                      </m:ctrlPr>
                    </m:sSupPr>
                    <m:e>
                      <m:r>
                        <w:rPr>
                          <w:rFonts w:ascii="Cambria Math" w:eastAsia="Calibri" w:hAnsi="Cambria Math" w:cs="Times New Roman"/>
                          <w:color w:val="000000" w:themeColor="text1"/>
                          <w:sz w:val="32"/>
                          <w:szCs w:val="32"/>
                        </w:rPr>
                        <m:t>height</m:t>
                      </m:r>
                    </m:e>
                    <m:sup>
                      <m:r>
                        <w:rPr>
                          <w:rFonts w:ascii="Cambria Math" w:eastAsia="Calibri" w:hAnsi="Cambria Math" w:cs="Times New Roman"/>
                          <w:color w:val="000000" w:themeColor="text1"/>
                          <w:sz w:val="32"/>
                          <w:szCs w:val="32"/>
                        </w:rPr>
                        <m:t>2</m:t>
                      </m:r>
                    </m:sup>
                  </m:sSup>
                  <m:r>
                    <w:rPr>
                      <w:rFonts w:ascii="Cambria Math" w:eastAsia="Calibri" w:hAnsi="Cambria Math" w:cs="Times New Roman"/>
                      <w:color w:val="000000" w:themeColor="text1"/>
                      <w:sz w:val="32"/>
                      <w:szCs w:val="32"/>
                    </w:rPr>
                    <m:t>(</m:t>
                  </m:r>
                  <m:sSup>
                    <m:sSupPr>
                      <m:ctrlPr>
                        <w:rPr>
                          <w:rFonts w:ascii="Cambria Math" w:eastAsia="Calibri" w:hAnsi="Cambria Math" w:cs="Times New Roman"/>
                          <w:i/>
                          <w:color w:val="000000" w:themeColor="text1"/>
                          <w:sz w:val="32"/>
                          <w:szCs w:val="32"/>
                        </w:rPr>
                      </m:ctrlPr>
                    </m:sSupPr>
                    <m:e>
                      <m:r>
                        <w:rPr>
                          <w:rFonts w:ascii="Cambria Math" w:eastAsia="Calibri" w:hAnsi="Cambria Math" w:cs="Times New Roman"/>
                          <w:color w:val="000000" w:themeColor="text1"/>
                          <w:sz w:val="32"/>
                          <w:szCs w:val="32"/>
                        </w:rPr>
                        <m:t>m</m:t>
                      </m:r>
                    </m:e>
                    <m:sup>
                      <m:r>
                        <w:rPr>
                          <w:rFonts w:ascii="Cambria Math" w:eastAsia="Calibri" w:hAnsi="Cambria Math" w:cs="Times New Roman"/>
                          <w:color w:val="000000" w:themeColor="text1"/>
                          <w:sz w:val="32"/>
                          <w:szCs w:val="32"/>
                        </w:rPr>
                        <m:t>2</m:t>
                      </m:r>
                    </m:sup>
                  </m:sSup>
                  <m:r>
                    <w:rPr>
                      <w:rFonts w:ascii="Cambria Math" w:eastAsia="Calibri" w:hAnsi="Cambria Math" w:cs="Times New Roman"/>
                      <w:color w:val="000000" w:themeColor="text1"/>
                      <w:sz w:val="32"/>
                      <w:szCs w:val="32"/>
                    </w:rPr>
                    <m:t>)</m:t>
                  </m:r>
                </m:den>
              </m:f>
            </m:oMath>
            <w:r>
              <w:rPr>
                <w:rFonts w:ascii="Times New Roman" w:eastAsia="Calibri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</w:p>
        </w:tc>
      </w:tr>
      <w:tr w:rsidR="0088397E" w:rsidRPr="007478E1" w14:paraId="16B26CDA" w14:textId="77777777" w:rsidTr="00904C99">
        <w:tc>
          <w:tcPr>
            <w:tcW w:w="1615" w:type="dxa"/>
          </w:tcPr>
          <w:p w14:paraId="6B3F5BEF" w14:textId="0540DCC5" w:rsidR="0088397E" w:rsidRDefault="00AC7014" w:rsidP="00AC7014">
            <w:pPr>
              <w:jc w:val="center"/>
              <w:rPr>
                <w:rFonts w:asciiTheme="majorBidi" w:hAnsiTheme="majorBidi" w:cstheme="majorBidi"/>
                <w:sz w:val="32"/>
                <w:szCs w:val="32"/>
                <w:lang w:val="en-GB"/>
              </w:rPr>
            </w:pPr>
            <w:r w:rsidRPr="00AC7014">
              <w:rPr>
                <w:rFonts w:asciiTheme="majorBidi" w:hAnsiTheme="majorBidi" w:cstheme="majorBidi"/>
                <w:sz w:val="32"/>
                <w:szCs w:val="32"/>
              </w:rPr>
              <w:t>WHR</w:t>
            </w:r>
          </w:p>
        </w:tc>
        <w:tc>
          <w:tcPr>
            <w:tcW w:w="7735" w:type="dxa"/>
          </w:tcPr>
          <w:p w14:paraId="78B6C50D" w14:textId="6C2A2BE0" w:rsidR="0088397E" w:rsidRPr="00402599" w:rsidRDefault="00402599" w:rsidP="0040259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32"/>
                <w:szCs w:val="32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theme="majorBidi"/>
                    <w:sz w:val="24"/>
                    <w:szCs w:val="24"/>
                  </w:rPr>
                  <m:t xml:space="preserve">                                                         </m:t>
                </m:r>
                <m:f>
                  <m:f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WC(m)</m:t>
                    </m:r>
                  </m:num>
                  <m:den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HC(m)</m:t>
                    </m:r>
                  </m:den>
                </m:f>
                <m:r>
                  <w:rPr>
                    <w:rFonts w:ascii="Cambria Math" w:hAnsi="Cambria Math" w:cstheme="majorBidi"/>
                    <w:sz w:val="24"/>
                    <w:szCs w:val="24"/>
                  </w:rPr>
                  <m:t xml:space="preserve">  </m:t>
                </m:r>
              </m:oMath>
            </m:oMathPara>
          </w:p>
        </w:tc>
      </w:tr>
      <w:tr w:rsidR="006F560D" w:rsidRPr="007478E1" w14:paraId="198AFDD2" w14:textId="77777777" w:rsidTr="006D0D59">
        <w:tc>
          <w:tcPr>
            <w:tcW w:w="9350" w:type="dxa"/>
            <w:gridSpan w:val="2"/>
          </w:tcPr>
          <w:p w14:paraId="247AE409" w14:textId="237937CD" w:rsidR="006F560D" w:rsidRPr="00D51E99" w:rsidRDefault="006F560D" w:rsidP="000F57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1E99"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Abbreviations: </w:t>
            </w:r>
            <w:proofErr w:type="gramStart"/>
            <w:r w:rsidRPr="00D51E99">
              <w:rPr>
                <w:rFonts w:asciiTheme="majorBidi" w:eastAsia="Calibri" w:hAnsiTheme="majorBidi" w:cstheme="majorBidi"/>
                <w:sz w:val="24"/>
                <w:szCs w:val="24"/>
              </w:rPr>
              <w:t>BRI</w:t>
            </w:r>
            <w:r w:rsidR="00125035" w:rsidRPr="00D51E99">
              <w:rPr>
                <w:rFonts w:asciiTheme="majorBidi" w:eastAsia="Calibri" w:hAnsiTheme="majorBidi" w:cstheme="majorBidi"/>
                <w:sz w:val="24"/>
                <w:szCs w:val="24"/>
              </w:rPr>
              <w:t>(</w:t>
            </w:r>
            <w:r w:rsidRPr="00D51E99"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 Body</w:t>
            </w:r>
            <w:proofErr w:type="gramEnd"/>
            <w:r w:rsidRPr="00D51E99"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 Roundness Index</w:t>
            </w:r>
            <w:r w:rsidR="00B402A5" w:rsidRPr="00D51E99">
              <w:rPr>
                <w:rFonts w:asciiTheme="majorBidi" w:eastAsia="Calibri" w:hAnsiTheme="majorBidi" w:cstheme="majorBidi"/>
                <w:sz w:val="24"/>
                <w:szCs w:val="24"/>
              </w:rPr>
              <w:t>),</w:t>
            </w:r>
            <w:r w:rsidR="000F5771" w:rsidRPr="00D51E99">
              <w:rPr>
                <w:rFonts w:asciiTheme="majorBidi" w:eastAsia="Calibri" w:hAnsiTheme="majorBidi" w:cstheme="majorBidi"/>
                <w:sz w:val="24"/>
                <w:szCs w:val="24"/>
              </w:rPr>
              <w:t>WC (</w:t>
            </w:r>
            <w:r w:rsidR="000F5771" w:rsidRPr="00D51E99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waist circumference)</w:t>
            </w:r>
            <w:r w:rsidRPr="00D51E99">
              <w:rPr>
                <w:rFonts w:asciiTheme="majorBidi" w:eastAsia="Calibri" w:hAnsiTheme="majorBidi" w:cstheme="majorBidi"/>
                <w:sz w:val="24"/>
                <w:szCs w:val="24"/>
              </w:rPr>
              <w:t>VAI</w:t>
            </w:r>
            <w:r w:rsidR="00B402A5" w:rsidRPr="00D51E99">
              <w:rPr>
                <w:rFonts w:asciiTheme="majorBidi" w:eastAsia="Calibri" w:hAnsiTheme="majorBidi" w:cstheme="majorBidi"/>
                <w:sz w:val="24"/>
                <w:szCs w:val="24"/>
              </w:rPr>
              <w:t>(</w:t>
            </w:r>
            <w:r w:rsidRPr="00D51E99">
              <w:rPr>
                <w:rFonts w:asciiTheme="majorBidi" w:hAnsiTheme="majorBidi" w:cstheme="majorBidi"/>
                <w:sz w:val="24"/>
                <w:szCs w:val="24"/>
                <w:shd w:val="clear" w:color="auto" w:fill="FFFFFF" w:themeFill="background1"/>
              </w:rPr>
              <w:t xml:space="preserve"> Visceral Adiposity Index</w:t>
            </w:r>
            <w:r w:rsidR="00B402A5" w:rsidRPr="00D51E99">
              <w:rPr>
                <w:rFonts w:asciiTheme="majorBidi" w:hAnsiTheme="majorBidi" w:cstheme="majorBidi"/>
                <w:sz w:val="24"/>
                <w:szCs w:val="24"/>
                <w:shd w:val="clear" w:color="auto" w:fill="FFFFFF" w:themeFill="background1"/>
              </w:rPr>
              <w:t>)</w:t>
            </w:r>
            <w:r w:rsidRPr="00D51E99">
              <w:rPr>
                <w:rFonts w:asciiTheme="majorBidi" w:hAnsiTheme="majorBidi" w:cstheme="majorBidi"/>
                <w:sz w:val="24"/>
                <w:szCs w:val="24"/>
                <w:shd w:val="clear" w:color="auto" w:fill="FFFFFF" w:themeFill="background1"/>
              </w:rPr>
              <w:t xml:space="preserve"> LAP </w:t>
            </w:r>
            <w:r w:rsidR="00B402A5" w:rsidRPr="00D51E99">
              <w:rPr>
                <w:rFonts w:asciiTheme="majorBidi" w:hAnsiTheme="majorBidi" w:cstheme="majorBidi"/>
                <w:sz w:val="24"/>
                <w:szCs w:val="24"/>
                <w:shd w:val="clear" w:color="auto" w:fill="FFFFFF" w:themeFill="background1"/>
              </w:rPr>
              <w:t>(</w:t>
            </w:r>
            <w:r w:rsidRPr="00D51E99">
              <w:rPr>
                <w:rFonts w:asciiTheme="majorBidi" w:hAnsiTheme="majorBidi" w:cstheme="majorBidi"/>
                <w:sz w:val="24"/>
                <w:szCs w:val="24"/>
                <w:shd w:val="clear" w:color="auto" w:fill="FFFFFF" w:themeFill="background1"/>
              </w:rPr>
              <w:t>Lipid Accumulation Product</w:t>
            </w:r>
            <w:r w:rsidR="00B402A5" w:rsidRPr="00D51E99">
              <w:rPr>
                <w:rFonts w:asciiTheme="majorBidi" w:hAnsiTheme="majorBidi" w:cstheme="majorBidi"/>
                <w:sz w:val="24"/>
                <w:szCs w:val="24"/>
                <w:shd w:val="clear" w:color="auto" w:fill="FFFFFF" w:themeFill="background1"/>
              </w:rPr>
              <w:t>),AVI</w:t>
            </w:r>
            <w:r w:rsidR="00B402A5" w:rsidRPr="00D51E99">
              <w:rPr>
                <w:rFonts w:asciiTheme="majorBidi" w:hAnsiTheme="majorBidi" w:cstheme="majorBidi"/>
                <w:sz w:val="24"/>
                <w:szCs w:val="24"/>
              </w:rPr>
              <w:t xml:space="preserve"> (Abdominal volume index),WWI(weight-adjusted-waist index),B</w:t>
            </w:r>
            <w:r w:rsidR="00D750CC" w:rsidRPr="00D51E99">
              <w:rPr>
                <w:rFonts w:asciiTheme="majorBidi" w:hAnsiTheme="majorBidi" w:cstheme="majorBidi"/>
                <w:sz w:val="24"/>
                <w:szCs w:val="24"/>
              </w:rPr>
              <w:t>AI</w:t>
            </w:r>
            <w:r w:rsidR="00B402A5" w:rsidRPr="00D51E99">
              <w:rPr>
                <w:rFonts w:asciiTheme="majorBidi" w:hAnsiTheme="majorBidi" w:cstheme="majorBidi"/>
                <w:sz w:val="24"/>
                <w:szCs w:val="24"/>
              </w:rPr>
              <w:t xml:space="preserve"> (Body Adiposity Index)</w:t>
            </w:r>
            <w:r w:rsidR="00D750CC" w:rsidRPr="00D51E99">
              <w:rPr>
                <w:rFonts w:asciiTheme="majorBidi" w:hAnsiTheme="majorBidi" w:cstheme="majorBidi"/>
                <w:sz w:val="24"/>
                <w:szCs w:val="24"/>
              </w:rPr>
              <w:t>,</w:t>
            </w:r>
            <w:r w:rsidR="00D51E99" w:rsidRPr="00D51E99">
              <w:rPr>
                <w:rFonts w:asciiTheme="majorBidi" w:hAnsiTheme="majorBidi" w:cstheme="majorBidi"/>
                <w:sz w:val="24"/>
                <w:szCs w:val="24"/>
              </w:rPr>
              <w:t>HC (</w:t>
            </w:r>
            <w:r w:rsidR="00D51E99" w:rsidRPr="00D51E99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Hip Circumference</w:t>
            </w:r>
            <w:r w:rsidR="00D51E99" w:rsidRPr="00D51E99">
              <w:rPr>
                <w:rFonts w:asciiTheme="majorBidi" w:hAnsiTheme="majorBidi" w:cstheme="majorBidi"/>
                <w:sz w:val="24"/>
                <w:szCs w:val="24"/>
              </w:rPr>
              <w:t xml:space="preserve"> )</w:t>
            </w:r>
            <w:r w:rsidR="00D51E99">
              <w:rPr>
                <w:rFonts w:asciiTheme="majorBidi" w:hAnsiTheme="majorBidi" w:cstheme="majorBidi"/>
                <w:sz w:val="24"/>
                <w:szCs w:val="24"/>
              </w:rPr>
              <w:t>,</w:t>
            </w:r>
            <w:r w:rsidR="00D750CC" w:rsidRPr="00D51E99">
              <w:rPr>
                <w:rFonts w:asciiTheme="majorBidi" w:hAnsiTheme="majorBidi" w:cstheme="majorBidi"/>
                <w:sz w:val="24"/>
                <w:szCs w:val="24"/>
              </w:rPr>
              <w:t>BSA(body surface area),</w:t>
            </w:r>
            <w:r w:rsidR="00C64320" w:rsidRPr="00D51E99"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 BMI(Body Mass Index)</w:t>
            </w:r>
            <w:r w:rsidR="000F5771" w:rsidRPr="00D51E99"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 and WHR</w:t>
            </w:r>
            <w:r w:rsidR="00D51E99">
              <w:rPr>
                <w:rFonts w:asciiTheme="majorBidi" w:eastAsia="Calibri" w:hAnsiTheme="majorBidi" w:cstheme="majorBidi"/>
                <w:sz w:val="24"/>
                <w:szCs w:val="24"/>
              </w:rPr>
              <w:t>(</w:t>
            </w:r>
            <w:r w:rsidR="000F5771" w:rsidRPr="00D51E99"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 Waist-to-hip Ratio</w:t>
            </w:r>
            <w:r w:rsidR="00D51E99">
              <w:rPr>
                <w:rFonts w:asciiTheme="majorBidi" w:eastAsia="Calibri" w:hAnsiTheme="majorBidi" w:cstheme="majorBidi"/>
                <w:sz w:val="24"/>
                <w:szCs w:val="24"/>
              </w:rPr>
              <w:t>)</w:t>
            </w:r>
          </w:p>
        </w:tc>
      </w:tr>
    </w:tbl>
    <w:p w14:paraId="3702E7B4" w14:textId="77777777" w:rsidR="00904C99" w:rsidRPr="007478E1" w:rsidRDefault="00904C99" w:rsidP="006F560D">
      <w:pPr>
        <w:rPr>
          <w:rFonts w:asciiTheme="majorBidi" w:hAnsiTheme="majorBidi" w:cstheme="majorBidi"/>
          <w:sz w:val="32"/>
          <w:szCs w:val="32"/>
        </w:rPr>
      </w:pPr>
    </w:p>
    <w:p w14:paraId="0FAEFABF" w14:textId="33EBFBAB" w:rsidR="00904C99" w:rsidRPr="000F41E5" w:rsidRDefault="00BE1A6B" w:rsidP="00BE1A6B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8"/>
          <w:szCs w:val="28"/>
          <w:lang w:val="en-GB"/>
        </w:rPr>
      </w:pPr>
      <w:r w:rsidRPr="00BE1A6B">
        <w:rPr>
          <w:rFonts w:ascii="Times New Roman" w:eastAsia="Calibri" w:hAnsi="Times New Roman" w:cs="Times New Roman"/>
          <w:b/>
          <w:bCs/>
          <w:noProof/>
          <w:sz w:val="28"/>
          <w:szCs w:val="28"/>
          <w:lang w:val="en-GB"/>
        </w:rPr>
        <w:lastRenderedPageBreak/>
        <w:t>References</w:t>
      </w:r>
    </w:p>
    <w:p w14:paraId="500064E7" w14:textId="77777777" w:rsidR="003672C0" w:rsidRPr="00CE5C25" w:rsidRDefault="00904C99" w:rsidP="004C6867">
      <w:pPr>
        <w:pStyle w:val="EndNoteBibliography"/>
        <w:spacing w:after="0"/>
        <w:jc w:val="left"/>
        <w:rPr>
          <w:rFonts w:asciiTheme="majorBidi" w:hAnsiTheme="majorBidi" w:cstheme="majorBidi"/>
        </w:rPr>
      </w:pPr>
      <w:r w:rsidRPr="00CE5C25">
        <w:rPr>
          <w:rFonts w:asciiTheme="majorBidi" w:hAnsiTheme="majorBidi" w:cstheme="majorBidi"/>
        </w:rPr>
        <w:fldChar w:fldCharType="begin"/>
      </w:r>
      <w:r w:rsidRPr="00CE5C25">
        <w:rPr>
          <w:rFonts w:asciiTheme="majorBidi" w:hAnsiTheme="majorBidi" w:cstheme="majorBidi"/>
        </w:rPr>
        <w:instrText xml:space="preserve"> ADDIN EN.REFLIST </w:instrText>
      </w:r>
      <w:r w:rsidRPr="00CE5C25">
        <w:rPr>
          <w:rFonts w:asciiTheme="majorBidi" w:hAnsiTheme="majorBidi" w:cstheme="majorBidi"/>
        </w:rPr>
        <w:fldChar w:fldCharType="separate"/>
      </w:r>
      <w:r w:rsidR="003672C0" w:rsidRPr="00CE5C25">
        <w:rPr>
          <w:rFonts w:asciiTheme="majorBidi" w:hAnsiTheme="majorBidi" w:cstheme="majorBidi"/>
        </w:rPr>
        <w:t>1.</w:t>
      </w:r>
      <w:r w:rsidR="003672C0" w:rsidRPr="00CE5C25">
        <w:rPr>
          <w:rFonts w:asciiTheme="majorBidi" w:hAnsiTheme="majorBidi" w:cstheme="majorBidi"/>
        </w:rPr>
        <w:tab/>
        <w:t>Valdez R. A simple model-based index of abdominal adiposity. Journal of clinical epidemiology. 1991;44(9):955-6.</w:t>
      </w:r>
    </w:p>
    <w:p w14:paraId="6BE6C223" w14:textId="77777777" w:rsidR="003672C0" w:rsidRPr="00CE5C25" w:rsidRDefault="003672C0" w:rsidP="004C6867">
      <w:pPr>
        <w:pStyle w:val="EndNoteBibliography"/>
        <w:spacing w:after="0"/>
        <w:jc w:val="left"/>
        <w:rPr>
          <w:rFonts w:asciiTheme="majorBidi" w:hAnsiTheme="majorBidi" w:cstheme="majorBidi"/>
        </w:rPr>
      </w:pPr>
      <w:r w:rsidRPr="00CE5C25">
        <w:rPr>
          <w:rFonts w:asciiTheme="majorBidi" w:hAnsiTheme="majorBidi" w:cstheme="majorBidi"/>
        </w:rPr>
        <w:t>2.</w:t>
      </w:r>
      <w:r w:rsidRPr="00CE5C25">
        <w:rPr>
          <w:rFonts w:asciiTheme="majorBidi" w:hAnsiTheme="majorBidi" w:cstheme="majorBidi"/>
        </w:rPr>
        <w:tab/>
        <w:t>Thomas DM, Bredlau C, Bosy‐Westphal A, Mueller M, Shen W, Gallagher D, et al. Relationships between body roundness with body fat and visceral adipose tissue emerging from a new geometrical model. Obesity. 2013;21(11):2264-71.</w:t>
      </w:r>
    </w:p>
    <w:p w14:paraId="59478F06" w14:textId="77777777" w:rsidR="003672C0" w:rsidRPr="00CE5C25" w:rsidRDefault="003672C0" w:rsidP="004C6867">
      <w:pPr>
        <w:pStyle w:val="EndNoteBibliography"/>
        <w:spacing w:after="0"/>
        <w:jc w:val="left"/>
        <w:rPr>
          <w:rFonts w:asciiTheme="majorBidi" w:hAnsiTheme="majorBidi" w:cstheme="majorBidi"/>
        </w:rPr>
      </w:pPr>
      <w:r w:rsidRPr="00CE5C25">
        <w:rPr>
          <w:rFonts w:asciiTheme="majorBidi" w:hAnsiTheme="majorBidi" w:cstheme="majorBidi"/>
        </w:rPr>
        <w:t>3.</w:t>
      </w:r>
      <w:r w:rsidRPr="00CE5C25">
        <w:rPr>
          <w:rFonts w:asciiTheme="majorBidi" w:hAnsiTheme="majorBidi" w:cstheme="majorBidi"/>
        </w:rPr>
        <w:tab/>
        <w:t>Amato MC, Giordano C, Galia M, Criscimanna A, Vitabile S, Midiri M, et al. Visceral Adiposity Index: a reliable indicator of visceral fat function associated with cardiometabolic risk. Diabetes care. 2010;33(4):920-2.</w:t>
      </w:r>
    </w:p>
    <w:p w14:paraId="17E71D26" w14:textId="77777777" w:rsidR="003672C0" w:rsidRPr="00CE5C25" w:rsidRDefault="003672C0" w:rsidP="004C6867">
      <w:pPr>
        <w:pStyle w:val="EndNoteBibliography"/>
        <w:spacing w:after="0"/>
        <w:jc w:val="left"/>
        <w:rPr>
          <w:rFonts w:asciiTheme="majorBidi" w:hAnsiTheme="majorBidi" w:cstheme="majorBidi"/>
        </w:rPr>
      </w:pPr>
      <w:r w:rsidRPr="00CE5C25">
        <w:rPr>
          <w:rFonts w:asciiTheme="majorBidi" w:hAnsiTheme="majorBidi" w:cstheme="majorBidi"/>
        </w:rPr>
        <w:t>4.</w:t>
      </w:r>
      <w:r w:rsidRPr="00CE5C25">
        <w:rPr>
          <w:rFonts w:asciiTheme="majorBidi" w:hAnsiTheme="majorBidi" w:cstheme="majorBidi"/>
        </w:rPr>
        <w:tab/>
        <w:t>Kahn HS. The" lipid accumulation product" performs better than the body mass index for recognizing cardiovascular risk: a population-based comparison. BMC cardiovascular disorders. 2005;5:1-10.</w:t>
      </w:r>
    </w:p>
    <w:p w14:paraId="31952F7F" w14:textId="77777777" w:rsidR="003672C0" w:rsidRPr="00CE5C25" w:rsidRDefault="003672C0" w:rsidP="004C6867">
      <w:pPr>
        <w:pStyle w:val="EndNoteBibliography"/>
        <w:spacing w:after="0"/>
        <w:jc w:val="left"/>
        <w:rPr>
          <w:rFonts w:asciiTheme="majorBidi" w:hAnsiTheme="majorBidi" w:cstheme="majorBidi"/>
        </w:rPr>
      </w:pPr>
      <w:r w:rsidRPr="00CE5C25">
        <w:rPr>
          <w:rFonts w:asciiTheme="majorBidi" w:hAnsiTheme="majorBidi" w:cstheme="majorBidi"/>
        </w:rPr>
        <w:t>5.</w:t>
      </w:r>
      <w:r w:rsidRPr="00CE5C25">
        <w:rPr>
          <w:rFonts w:asciiTheme="majorBidi" w:hAnsiTheme="majorBidi" w:cstheme="majorBidi"/>
        </w:rPr>
        <w:tab/>
        <w:t>Guerrero-Romero F, Rodrı́guez-Morán M. Abdominal volume index. An anthropometry-based index for estimation of obesity is strongly related to impaired glucose tolerance and type 2 diabetes mellitus. Archives of medical research. 2003;34(5):428-32.</w:t>
      </w:r>
    </w:p>
    <w:p w14:paraId="4F471695" w14:textId="77777777" w:rsidR="003672C0" w:rsidRPr="00CE5C25" w:rsidRDefault="003672C0" w:rsidP="004C6867">
      <w:pPr>
        <w:pStyle w:val="EndNoteBibliography"/>
        <w:spacing w:after="0"/>
        <w:jc w:val="left"/>
        <w:rPr>
          <w:rFonts w:asciiTheme="majorBidi" w:hAnsiTheme="majorBidi" w:cstheme="majorBidi"/>
        </w:rPr>
      </w:pPr>
      <w:r w:rsidRPr="00CE5C25">
        <w:rPr>
          <w:rFonts w:asciiTheme="majorBidi" w:hAnsiTheme="majorBidi" w:cstheme="majorBidi"/>
        </w:rPr>
        <w:t>6.</w:t>
      </w:r>
      <w:r w:rsidRPr="00CE5C25">
        <w:rPr>
          <w:rFonts w:asciiTheme="majorBidi" w:hAnsiTheme="majorBidi" w:cstheme="majorBidi"/>
        </w:rPr>
        <w:tab/>
        <w:t>Park Y, Kim NH, Kwon TY, Kim SG. A novel adiposity index as an integrated predictor of cardiometabolic disease morbidity and mortality. Scientific reports. 2018;8(1):16753.</w:t>
      </w:r>
    </w:p>
    <w:p w14:paraId="414FF2D1" w14:textId="77777777" w:rsidR="003672C0" w:rsidRPr="00CE5C25" w:rsidRDefault="003672C0" w:rsidP="004C6867">
      <w:pPr>
        <w:pStyle w:val="EndNoteBibliography"/>
        <w:spacing w:after="0"/>
        <w:jc w:val="left"/>
        <w:rPr>
          <w:rFonts w:asciiTheme="majorBidi" w:hAnsiTheme="majorBidi" w:cstheme="majorBidi"/>
        </w:rPr>
      </w:pPr>
      <w:r w:rsidRPr="00CE5C25">
        <w:rPr>
          <w:rFonts w:asciiTheme="majorBidi" w:hAnsiTheme="majorBidi" w:cstheme="majorBidi"/>
        </w:rPr>
        <w:t>7.</w:t>
      </w:r>
      <w:r w:rsidRPr="00CE5C25">
        <w:rPr>
          <w:rFonts w:asciiTheme="majorBidi" w:hAnsiTheme="majorBidi" w:cstheme="majorBidi"/>
        </w:rPr>
        <w:tab/>
        <w:t>Bergman RN, Stefanovski D, Buchanan TA, Sumner AE, Reynolds JC, Sebring NG, et al. A better index of body adiposity. Obesity. 2011;19(5):1083-9.</w:t>
      </w:r>
    </w:p>
    <w:p w14:paraId="638577B1" w14:textId="77777777" w:rsidR="003672C0" w:rsidRPr="00CE5C25" w:rsidRDefault="003672C0" w:rsidP="004C6867">
      <w:pPr>
        <w:pStyle w:val="EndNoteBibliography"/>
        <w:jc w:val="left"/>
        <w:rPr>
          <w:rFonts w:asciiTheme="majorBidi" w:hAnsiTheme="majorBidi" w:cstheme="majorBidi"/>
        </w:rPr>
      </w:pPr>
      <w:r w:rsidRPr="00CE5C25">
        <w:rPr>
          <w:rFonts w:asciiTheme="majorBidi" w:hAnsiTheme="majorBidi" w:cstheme="majorBidi"/>
        </w:rPr>
        <w:t>8.</w:t>
      </w:r>
      <w:r w:rsidRPr="00CE5C25">
        <w:rPr>
          <w:rFonts w:asciiTheme="majorBidi" w:hAnsiTheme="majorBidi" w:cstheme="majorBidi"/>
        </w:rPr>
        <w:tab/>
        <w:t>Mosteller R. Simplified calculation of body surface area. New Engl J Med. 1987;317:1098.</w:t>
      </w:r>
    </w:p>
    <w:p w14:paraId="3973E4C2" w14:textId="33231265" w:rsidR="00604477" w:rsidRPr="00CE5C25" w:rsidRDefault="00904C99" w:rsidP="004C6867">
      <w:pPr>
        <w:rPr>
          <w:rFonts w:asciiTheme="majorBidi" w:hAnsiTheme="majorBidi" w:cstheme="majorBidi"/>
        </w:rPr>
      </w:pPr>
      <w:r w:rsidRPr="00CE5C25">
        <w:rPr>
          <w:rFonts w:asciiTheme="majorBidi" w:hAnsiTheme="majorBidi" w:cstheme="majorBidi"/>
        </w:rPr>
        <w:fldChar w:fldCharType="end"/>
      </w:r>
    </w:p>
    <w:sectPr w:rsidR="00604477" w:rsidRPr="00CE5C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z0fz90zw8tswauetw5vpexpewpsxzzx2x20x&quot;&gt;پایان نامه&lt;record-ids&gt;&lt;item&gt;19&lt;/item&gt;&lt;item&gt;24&lt;/item&gt;&lt;item&gt;25&lt;/item&gt;&lt;item&gt;30&lt;/item&gt;&lt;item&gt;31&lt;/item&gt;&lt;item&gt;35&lt;/item&gt;&lt;item&gt;36&lt;/item&gt;&lt;item&gt;55&lt;/item&gt;&lt;/record-ids&gt;&lt;/item&gt;&lt;/Libraries&gt;"/>
  </w:docVars>
  <w:rsids>
    <w:rsidRoot w:val="001B79E6"/>
    <w:rsid w:val="00072769"/>
    <w:rsid w:val="00074C95"/>
    <w:rsid w:val="000C4DF1"/>
    <w:rsid w:val="000C533C"/>
    <w:rsid w:val="000F41E5"/>
    <w:rsid w:val="000F5771"/>
    <w:rsid w:val="00125035"/>
    <w:rsid w:val="001B79E6"/>
    <w:rsid w:val="001E3030"/>
    <w:rsid w:val="0020039B"/>
    <w:rsid w:val="00222AD8"/>
    <w:rsid w:val="00317151"/>
    <w:rsid w:val="003672C0"/>
    <w:rsid w:val="00380B16"/>
    <w:rsid w:val="00402599"/>
    <w:rsid w:val="004C6867"/>
    <w:rsid w:val="00512D76"/>
    <w:rsid w:val="005369D5"/>
    <w:rsid w:val="00574D28"/>
    <w:rsid w:val="005B1F61"/>
    <w:rsid w:val="005B5A3F"/>
    <w:rsid w:val="005D2116"/>
    <w:rsid w:val="00604477"/>
    <w:rsid w:val="0062595B"/>
    <w:rsid w:val="00651AC1"/>
    <w:rsid w:val="00662048"/>
    <w:rsid w:val="00692635"/>
    <w:rsid w:val="0069524E"/>
    <w:rsid w:val="006F560D"/>
    <w:rsid w:val="007478E1"/>
    <w:rsid w:val="0080555E"/>
    <w:rsid w:val="00816579"/>
    <w:rsid w:val="0088397E"/>
    <w:rsid w:val="00884BB2"/>
    <w:rsid w:val="008A4654"/>
    <w:rsid w:val="008F5D4B"/>
    <w:rsid w:val="00904C99"/>
    <w:rsid w:val="00913C3B"/>
    <w:rsid w:val="00935EE3"/>
    <w:rsid w:val="009F2408"/>
    <w:rsid w:val="00AC7014"/>
    <w:rsid w:val="00B03259"/>
    <w:rsid w:val="00B1241D"/>
    <w:rsid w:val="00B402A5"/>
    <w:rsid w:val="00B469A8"/>
    <w:rsid w:val="00B90C6B"/>
    <w:rsid w:val="00BA1A5F"/>
    <w:rsid w:val="00BD24DC"/>
    <w:rsid w:val="00BE1A6B"/>
    <w:rsid w:val="00C64320"/>
    <w:rsid w:val="00C64330"/>
    <w:rsid w:val="00C72D66"/>
    <w:rsid w:val="00CE0ACD"/>
    <w:rsid w:val="00CE5C25"/>
    <w:rsid w:val="00D05CD7"/>
    <w:rsid w:val="00D51E99"/>
    <w:rsid w:val="00D70A02"/>
    <w:rsid w:val="00D750CC"/>
    <w:rsid w:val="00DD1608"/>
    <w:rsid w:val="00E83BFA"/>
    <w:rsid w:val="00E85E1A"/>
    <w:rsid w:val="00EE1E1B"/>
    <w:rsid w:val="00F0707A"/>
    <w:rsid w:val="00F2659B"/>
    <w:rsid w:val="00F90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C52592"/>
  <w15:chartTrackingRefBased/>
  <w15:docId w15:val="{0E344023-56B7-4B95-965E-95EFA574B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04C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Char"/>
    <w:rsid w:val="00904C99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904C99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904C99"/>
    <w:pPr>
      <w:spacing w:line="240" w:lineRule="auto"/>
      <w:jc w:val="center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904C99"/>
    <w:rPr>
      <w:rFonts w:ascii="Calibri" w:hAnsi="Calibri" w:cs="Calibri"/>
      <w:noProof/>
    </w:rPr>
  </w:style>
  <w:style w:type="paragraph" w:styleId="NormalWeb">
    <w:name w:val="Normal (Web)"/>
    <w:basedOn w:val="Normal"/>
    <w:uiPriority w:val="99"/>
    <w:unhideWhenUsed/>
    <w:rsid w:val="00222A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A1A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A1A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A1A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A1A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A1A5F"/>
    <w:rPr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5D211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21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01925D-52E3-449D-8258-E9A52CDD6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3323</TotalTime>
  <Pages>2</Pages>
  <Words>1469</Words>
  <Characters>8376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Takhttavoos</dc:creator>
  <cp:keywords/>
  <dc:description/>
  <cp:lastModifiedBy>Ali Takhttavoos</cp:lastModifiedBy>
  <cp:revision>66</cp:revision>
  <dcterms:created xsi:type="dcterms:W3CDTF">2023-02-18T09:06:00Z</dcterms:created>
  <dcterms:modified xsi:type="dcterms:W3CDTF">2023-09-16T20:56:00Z</dcterms:modified>
</cp:coreProperties>
</file>