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ascii="Times New Roman" w:hAnsi="Times New Roman" w:cs="Times New Roman"/>
          <w:sz w:val="24"/>
          <w:szCs w:val="32"/>
        </w:rPr>
      </w:pPr>
      <w:r>
        <w:rPr>
          <w:rFonts w:ascii="Times New Roman" w:hAnsi="Times New Roman" w:cs="Times New Roman"/>
          <w:sz w:val="24"/>
          <w:szCs w:val="32"/>
        </w:rPr>
        <w:t>Supplementary information</w:t>
      </w:r>
    </w:p>
    <w:p>
      <w:pPr>
        <w:spacing w:line="360" w:lineRule="auto"/>
        <w:ind w:firstLine="480" w:firstLineChars="200"/>
        <w:rPr>
          <w:rFonts w:ascii="Times New Roman" w:hAnsi="Times New Roman" w:cs="Times New Roman"/>
          <w:sz w:val="24"/>
          <w:szCs w:val="32"/>
        </w:rPr>
      </w:pPr>
      <w:r>
        <w:rPr>
          <w:rFonts w:ascii="Times New Roman" w:hAnsi="Times New Roman" w:cs="Times New Roman"/>
          <w:sz w:val="24"/>
          <w:szCs w:val="32"/>
        </w:rPr>
        <w:t xml:space="preserve">Cultivation and identification of BMSCs: The original method to generate BMSCs from whole bone marrow and culture the obtained cells was adopted to improve </w:t>
      </w:r>
      <w:r>
        <w:rPr>
          <w:rFonts w:ascii="Times New Roman" w:hAnsi="Times New Roman"/>
          <w:color w:val="auto"/>
          <w:sz w:val="24"/>
        </w:rPr>
        <w:t>the inoculation training, training after 48 h, culture bottle bottom to see a small amount of lipid droplets and more impurities cells, a small amount of adherent cells, smaller volume, morphological heterogeneity</w:t>
      </w:r>
      <w:r>
        <w:rPr>
          <w:rFonts w:ascii="Times New Roman" w:hAnsi="Times New Roman"/>
          <w:color w:val="FF0000"/>
          <w:sz w:val="24"/>
        </w:rPr>
        <w:t xml:space="preserve"> </w:t>
      </w:r>
      <w:r>
        <w:rPr>
          <w:rFonts w:ascii="Times New Roman" w:hAnsi="Times New Roman" w:cs="Times New Roman"/>
          <w:sz w:val="24"/>
          <w:szCs w:val="32"/>
        </w:rPr>
        <w:t>(A1). Confluence after 7 days was 90%, and cell morphology tended to be uniform, with a long spindle and a fish-shaped arrangement (Fig. 1) (A2). BMSCs of the third passage are shown (A3). No significant changes in cell morphology were observed after resuscitation (A4). The cells were passaged 1:3, and no significant changes in morphology were observed after successive splitting.</w:t>
      </w:r>
    </w:p>
    <w:p>
      <w:pPr>
        <w:spacing w:line="360" w:lineRule="auto"/>
        <w:ind w:firstLine="560"/>
        <w:rPr>
          <w:rFonts w:ascii="Times New Roman" w:hAnsi="Times New Roman" w:cs="Times New Roman"/>
          <w:sz w:val="24"/>
          <w:szCs w:val="32"/>
        </w:rPr>
      </w:pPr>
      <w:r>
        <w:rPr>
          <w:rFonts w:ascii="Times New Roman" w:hAnsi="Times New Roman" w:cs="Times New Roman"/>
          <w:sz w:val="24"/>
          <w:szCs w:val="32"/>
        </w:rPr>
        <w:t xml:space="preserve">Identification of BMSC surface markers: </w:t>
      </w:r>
      <w:r>
        <w:rPr>
          <w:rFonts w:ascii="Times New Roman" w:hAnsi="Times New Roman" w:cs="Times New Roman"/>
          <w:color w:val="auto"/>
          <w:sz w:val="24"/>
          <w:szCs w:val="32"/>
        </w:rPr>
        <w:t>BMSCs of the</w:t>
      </w:r>
      <w:r>
        <w:rPr>
          <w:rFonts w:ascii="Times New Roman" w:hAnsi="Times New Roman"/>
          <w:color w:val="auto"/>
          <w:sz w:val="24"/>
        </w:rPr>
        <w:t xml:space="preserve"> third </w:t>
      </w:r>
      <w:r>
        <w:rPr>
          <w:rFonts w:ascii="Times New Roman" w:hAnsi="Times New Roman" w:cs="Times New Roman"/>
          <w:color w:val="auto"/>
          <w:sz w:val="24"/>
          <w:szCs w:val="32"/>
        </w:rPr>
        <w:t xml:space="preserve">passage </w:t>
      </w:r>
      <w:r>
        <w:rPr>
          <w:rFonts w:ascii="Times New Roman" w:hAnsi="Times New Roman"/>
          <w:color w:val="auto"/>
          <w:sz w:val="24"/>
        </w:rPr>
        <w:t xml:space="preserve">with good morphology were used to identify </w:t>
      </w:r>
      <w:r>
        <w:rPr>
          <w:rFonts w:ascii="Times New Roman" w:hAnsi="Times New Roman" w:cs="Times New Roman"/>
          <w:color w:val="auto"/>
          <w:sz w:val="24"/>
          <w:szCs w:val="32"/>
        </w:rPr>
        <w:t xml:space="preserve">BMSCs by flow cytometry based on the presence/absence of </w:t>
      </w:r>
      <w:r>
        <w:rPr>
          <w:rFonts w:ascii="Times New Roman" w:hAnsi="Times New Roman"/>
          <w:color w:val="auto"/>
          <w:sz w:val="24"/>
        </w:rPr>
        <w:t>cell surface antigens</w:t>
      </w:r>
      <w:r>
        <w:rPr>
          <w:rFonts w:ascii="Times New Roman" w:hAnsi="Times New Roman" w:cs="Times New Roman"/>
          <w:color w:val="auto"/>
          <w:sz w:val="24"/>
          <w:szCs w:val="32"/>
        </w:rPr>
        <w:t>, including</w:t>
      </w:r>
      <w:r>
        <w:rPr>
          <w:rFonts w:ascii="Times New Roman" w:hAnsi="Times New Roman"/>
          <w:color w:val="auto"/>
          <w:sz w:val="24"/>
        </w:rPr>
        <w:t xml:space="preserve"> high expression of CD105 and CD90, with positive rates of 99.7% and 99.9%, respectively, and low expression of CD45 and CD34, with positive rates of 99.9% and 99.8%, respectively (1B</w:t>
      </w:r>
      <w:r>
        <w:rPr>
          <w:rFonts w:ascii="Times New Roman" w:hAnsi="Times New Roman" w:cs="Times New Roman"/>
          <w:color w:val="auto"/>
          <w:sz w:val="24"/>
          <w:szCs w:val="32"/>
        </w:rPr>
        <w:t>),</w:t>
      </w:r>
      <w:r>
        <w:rPr>
          <w:rFonts w:ascii="Times New Roman" w:hAnsi="Times New Roman"/>
          <w:color w:val="FF0000"/>
          <w:sz w:val="24"/>
        </w:rPr>
        <w:t xml:space="preserve"> </w:t>
      </w:r>
      <w:r>
        <w:rPr>
          <w:rFonts w:ascii="Times New Roman" w:hAnsi="Times New Roman" w:cs="Times New Roman"/>
          <w:sz w:val="24"/>
          <w:szCs w:val="32"/>
        </w:rPr>
        <w:t>indicating that the cultured BMSCs met the identification criteria and the cell purity met the experimental requirements.</w:t>
      </w:r>
    </w:p>
    <w:p>
      <w:pPr>
        <w:spacing w:line="360" w:lineRule="auto"/>
        <w:ind w:firstLine="560"/>
        <w:rPr>
          <w:rFonts w:hint="eastAsia" w:ascii="Times New Roman" w:hAnsi="Times New Roman" w:cs="Times New Roman" w:eastAsiaTheme="minorEastAsia"/>
          <w:sz w:val="24"/>
          <w:szCs w:val="32"/>
          <w:lang w:eastAsia="zh-CN"/>
        </w:rPr>
      </w:pPr>
      <w:r>
        <w:rPr>
          <w:rFonts w:ascii="Times New Roman" w:hAnsi="Times New Roman" w:cs="Times New Roman"/>
          <w:sz w:val="24"/>
          <w:szCs w:val="32"/>
        </w:rPr>
        <w:t xml:space="preserve">BMSC differentiation assay: </w:t>
      </w:r>
      <w:r>
        <w:rPr>
          <w:rFonts w:ascii="Times New Roman" w:hAnsi="Times New Roman" w:cs="Times New Roman"/>
          <w:color w:val="auto"/>
          <w:sz w:val="24"/>
          <w:szCs w:val="32"/>
        </w:rPr>
        <w:t>Osteogenesis</w:t>
      </w:r>
      <w:r>
        <w:rPr>
          <w:rFonts w:ascii="Times New Roman" w:hAnsi="Times New Roman"/>
          <w:color w:val="auto"/>
          <w:sz w:val="24"/>
        </w:rPr>
        <w:t xml:space="preserve"> induction medium </w:t>
      </w:r>
      <w:r>
        <w:rPr>
          <w:rFonts w:ascii="Times New Roman" w:hAnsi="Times New Roman" w:cs="Times New Roman"/>
          <w:color w:val="auto"/>
          <w:sz w:val="24"/>
          <w:szCs w:val="32"/>
        </w:rPr>
        <w:t xml:space="preserve">was used </w:t>
      </w:r>
      <w:r>
        <w:rPr>
          <w:rFonts w:ascii="Times New Roman" w:hAnsi="Times New Roman"/>
          <w:color w:val="auto"/>
          <w:sz w:val="24"/>
        </w:rPr>
        <w:t xml:space="preserve">to </w:t>
      </w:r>
      <w:r>
        <w:rPr>
          <w:rFonts w:ascii="Times New Roman" w:hAnsi="Times New Roman" w:cs="Times New Roman"/>
          <w:color w:val="auto"/>
          <w:sz w:val="24"/>
          <w:szCs w:val="32"/>
        </w:rPr>
        <w:t xml:space="preserve">induce differentiation of BMSCs of </w:t>
      </w:r>
      <w:r>
        <w:rPr>
          <w:rFonts w:ascii="Times New Roman" w:hAnsi="Times New Roman"/>
          <w:color w:val="auto"/>
          <w:sz w:val="24"/>
        </w:rPr>
        <w:t xml:space="preserve">the third </w:t>
      </w:r>
      <w:r>
        <w:rPr>
          <w:rFonts w:ascii="Times New Roman" w:hAnsi="Times New Roman" w:cs="Times New Roman"/>
          <w:color w:val="auto"/>
          <w:sz w:val="24"/>
          <w:szCs w:val="32"/>
        </w:rPr>
        <w:t>passage. Cells were differentiated</w:t>
      </w:r>
      <w:r>
        <w:rPr>
          <w:rFonts w:ascii="Times New Roman" w:hAnsi="Times New Roman"/>
          <w:color w:val="auto"/>
          <w:sz w:val="24"/>
        </w:rPr>
        <w:t xml:space="preserve"> well </w:t>
      </w:r>
      <w:r>
        <w:rPr>
          <w:rFonts w:ascii="Times New Roman" w:hAnsi="Times New Roman" w:cs="Times New Roman"/>
          <w:color w:val="auto"/>
          <w:sz w:val="24"/>
          <w:szCs w:val="32"/>
        </w:rPr>
        <w:t>after 2</w:t>
      </w:r>
      <w:r>
        <w:rPr>
          <w:rFonts w:ascii="Times New Roman" w:hAnsi="Times New Roman"/>
          <w:color w:val="auto"/>
          <w:sz w:val="24"/>
        </w:rPr>
        <w:t xml:space="preserve"> weeks </w:t>
      </w:r>
      <w:r>
        <w:rPr>
          <w:rFonts w:ascii="Times New Roman" w:hAnsi="Times New Roman" w:cs="Times New Roman"/>
          <w:color w:val="auto"/>
          <w:sz w:val="24"/>
          <w:szCs w:val="32"/>
        </w:rPr>
        <w:t>of</w:t>
      </w:r>
      <w:r>
        <w:rPr>
          <w:rFonts w:ascii="Times New Roman" w:hAnsi="Times New Roman"/>
          <w:color w:val="auto"/>
          <w:sz w:val="24"/>
        </w:rPr>
        <w:t xml:space="preserve"> differentiation</w:t>
      </w:r>
      <w:r>
        <w:rPr>
          <w:rFonts w:ascii="Times New Roman" w:hAnsi="Times New Roman" w:cs="Times New Roman"/>
          <w:color w:val="auto"/>
          <w:sz w:val="24"/>
          <w:szCs w:val="32"/>
        </w:rPr>
        <w:t xml:space="preserve">, as indicated by </w:t>
      </w:r>
      <w:r>
        <w:rPr>
          <w:rFonts w:ascii="Times New Roman" w:hAnsi="Times New Roman"/>
          <w:color w:val="auto"/>
          <w:sz w:val="24"/>
        </w:rPr>
        <w:t>ALP staining</w:t>
      </w:r>
      <w:r>
        <w:rPr>
          <w:rFonts w:ascii="Times New Roman" w:hAnsi="Times New Roman" w:cs="Times New Roman"/>
          <w:color w:val="auto"/>
          <w:sz w:val="24"/>
          <w:szCs w:val="32"/>
        </w:rPr>
        <w:t xml:space="preserve">. </w:t>
      </w:r>
      <w:r>
        <w:rPr>
          <w:rFonts w:ascii="Times New Roman" w:hAnsi="Times New Roman" w:cs="Times New Roman"/>
          <w:sz w:val="24"/>
          <w:szCs w:val="32"/>
        </w:rPr>
        <w:t>The results showed that a large amount of blue-purple material could be seen after staining in the experimental group, and the staining of control BMSCs cultured in conventional medium was negative (C1). BMSCs were cultured with chondrogenic induction medium for 21 days and stained with Alcian blue. The staining results showed that blue-stained proteoglycan was deposited in the experimental group, but not in the control group (C2). BMSCs were cultured with A and B adipogenic induction medium, and oil red O staining was performed. The results showed that a large number of red lipid droplets could be seen in the experimental group after oil red O staining, while staining in the control group was negative (C3). These results suggest that BMSCs have the ability of osteogenic, adipogenic, and chondrogenic differentiation.</w:t>
      </w:r>
      <w:r>
        <w:rPr>
          <w:rFonts w:hint="eastAsia" w:ascii="Times New Roman" w:hAnsi="Times New Roman" w:cs="Times New Roman" w:eastAsiaTheme="minorEastAsia"/>
          <w:sz w:val="24"/>
          <w:szCs w:val="32"/>
          <w:lang w:eastAsia="zh-CN"/>
        </w:rPr>
        <w:drawing>
          <wp:inline distT="0" distB="0" distL="114300" distR="114300">
            <wp:extent cx="5262880" cy="4436745"/>
            <wp:effectExtent l="0" t="0" r="7620" b="8255"/>
            <wp:docPr id="1" name="图片 1" descr="补充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补充图1"/>
                    <pic:cNvPicPr>
                      <a:picLocks noChangeAspect="1"/>
                    </pic:cNvPicPr>
                  </pic:nvPicPr>
                  <pic:blipFill>
                    <a:blip r:embed="rId4"/>
                    <a:stretch>
                      <a:fillRect/>
                    </a:stretch>
                  </pic:blipFill>
                  <pic:spPr>
                    <a:xfrm>
                      <a:off x="0" y="0"/>
                      <a:ext cx="5262880" cy="4436745"/>
                    </a:xfrm>
                    <a:prstGeom prst="rect">
                      <a:avLst/>
                    </a:prstGeom>
                  </pic:spPr>
                </pic:pic>
              </a:graphicData>
            </a:graphic>
          </wp:inline>
        </w:drawing>
      </w:r>
    </w:p>
    <w:p>
      <w:pPr>
        <w:spacing w:line="360" w:lineRule="auto"/>
        <w:rPr>
          <w:rFonts w:ascii="Times New Roman" w:hAnsi="Times New Roman" w:cs="Times New Roman"/>
          <w:sz w:val="24"/>
          <w:szCs w:val="32"/>
        </w:rPr>
      </w:pPr>
      <w:r>
        <w:rPr>
          <w:rFonts w:ascii="Times New Roman" w:hAnsi="Times New Roman" w:cs="Times New Roman"/>
          <w:sz w:val="24"/>
          <w:szCs w:val="32"/>
        </w:rPr>
        <w:t>Supplementary Figure 1. Cultivation and identification of BMSCs. (A) Morphology of BMSCs at different stages. (B) Flow cytometry of BMSCs after staining for CD34, CD45, CD90, and CD105. (C) Induction of osteogenic, adipogenic, and chondrogenic differentiation of BMSCs, followed by ALP staining, Alcian blue staining, and oil red O staining.</w:t>
      </w:r>
    </w:p>
    <w:p>
      <w:pPr>
        <w:spacing w:line="360" w:lineRule="auto"/>
        <w:rPr>
          <w:rFonts w:hint="eastAsia" w:ascii="Times New Roman" w:hAnsi="Times New Roman" w:cs="Times New Roman" w:eastAsiaTheme="minorEastAsia"/>
          <w:sz w:val="24"/>
          <w:szCs w:val="32"/>
          <w:lang w:eastAsia="zh-CN"/>
        </w:rPr>
      </w:pPr>
      <w:bookmarkStart w:id="0" w:name="_GoBack"/>
      <w:r>
        <w:rPr>
          <w:rFonts w:hint="eastAsia" w:ascii="Times New Roman" w:hAnsi="Times New Roman" w:cs="Times New Roman" w:eastAsiaTheme="minorEastAsia"/>
          <w:sz w:val="24"/>
          <w:szCs w:val="32"/>
          <w:lang w:eastAsia="zh-CN"/>
        </w:rPr>
        <w:drawing>
          <wp:inline distT="0" distB="0" distL="114300" distR="114300">
            <wp:extent cx="5270500" cy="5203825"/>
            <wp:effectExtent l="0" t="0" r="0" b="3175"/>
            <wp:docPr id="2" name="图片 2" descr="补充图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补充图2"/>
                    <pic:cNvPicPr>
                      <a:picLocks noChangeAspect="1"/>
                    </pic:cNvPicPr>
                  </pic:nvPicPr>
                  <pic:blipFill>
                    <a:blip r:embed="rId5"/>
                    <a:stretch>
                      <a:fillRect/>
                    </a:stretch>
                  </pic:blipFill>
                  <pic:spPr>
                    <a:xfrm>
                      <a:off x="0" y="0"/>
                      <a:ext cx="5270500" cy="5203825"/>
                    </a:xfrm>
                    <a:prstGeom prst="rect">
                      <a:avLst/>
                    </a:prstGeom>
                  </pic:spPr>
                </pic:pic>
              </a:graphicData>
            </a:graphic>
          </wp:inline>
        </w:drawing>
      </w:r>
      <w:bookmarkEnd w:id="0"/>
    </w:p>
    <w:p>
      <w:pPr>
        <w:spacing w:line="360" w:lineRule="auto"/>
        <w:rPr>
          <w:rFonts w:ascii="Times New Roman" w:hAnsi="Times New Roman" w:cs="Times New Roman"/>
          <w:sz w:val="24"/>
          <w:szCs w:val="32"/>
        </w:rPr>
      </w:pPr>
      <w:r>
        <w:rPr>
          <w:rFonts w:ascii="Times New Roman" w:hAnsi="Times New Roman" w:cs="Times New Roman"/>
          <w:sz w:val="24"/>
          <w:szCs w:val="32"/>
        </w:rPr>
        <w:t xml:space="preserve">Supplementary Figure 2. Effect of lentivirus transfection of BMSCs. (A) Western blot and qPCR analyses of TP53INP1 expression. Vec, slow virus empty carrier; OE-TP53INP1, TP53INP1 overexpression. (B) Western blot and qPCR analyses of TP53INP1 knockdown efficiency. sh-TP53INP1, TP53INP1 knockdown. (C) P53 overexpression as confirmed by Western blot and qPCR. OE-P53, P53 overexpression. (D) Western blot and qPCR analyses were conducted to determine the efficiency of P53 knockdown. sh-P53, P53 knockdown. (E) Western blot and qPCR analyses were conducted to determine </w:t>
      </w:r>
      <w:r>
        <w:rPr>
          <w:rFonts w:ascii="Times New Roman" w:hAnsi="Times New Roman"/>
          <w:color w:val="auto"/>
          <w:sz w:val="24"/>
        </w:rPr>
        <w:t xml:space="preserve">the efficiency of P53 knockdown </w:t>
      </w:r>
      <w:r>
        <w:rPr>
          <w:rFonts w:ascii="Times New Roman" w:hAnsi="Times New Roman" w:cs="Times New Roman"/>
          <w:color w:val="auto"/>
          <w:sz w:val="24"/>
          <w:szCs w:val="32"/>
        </w:rPr>
        <w:t>in cells overexpressing</w:t>
      </w:r>
      <w:r>
        <w:rPr>
          <w:rFonts w:ascii="Times New Roman" w:hAnsi="Times New Roman"/>
          <w:color w:val="auto"/>
          <w:sz w:val="24"/>
        </w:rPr>
        <w:t xml:space="preserve"> TP53INP1</w:t>
      </w:r>
      <w:r>
        <w:rPr>
          <w:rFonts w:ascii="Times New Roman" w:hAnsi="Times New Roman" w:cs="Times New Roman"/>
          <w:color w:val="auto"/>
          <w:sz w:val="24"/>
          <w:szCs w:val="32"/>
        </w:rPr>
        <w:t>.</w:t>
      </w:r>
      <w:r>
        <w:rPr>
          <w:rFonts w:ascii="Times New Roman" w:hAnsi="Times New Roman" w:cs="Times New Roman"/>
          <w:sz w:val="24"/>
          <w:szCs w:val="32"/>
        </w:rPr>
        <w:t xml:space="preserve"> (F) Western blot and qPCR analyses were conducted to determine P53 overexpression efficiency in cells with TP53INP1 knockdown. In (D–I), data are presented as mean ± standard deviation, and statistical analysis was conducted using one-way ANOVA and the Tukey post hoc test.</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IwMjU3MjkyZTc3ZmNjYTdhNzU4YTA0OGM1NzZhZjQifQ=="/>
  </w:docVars>
  <w:rsids>
    <w:rsidRoot w:val="5831442D"/>
    <w:rsid w:val="583144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rPr>
      <w:sz w:val="20"/>
      <w:szCs w:val="20"/>
    </w:rPr>
  </w:style>
  <w:style w:type="character" w:styleId="5">
    <w:name w:val="annotation reference"/>
    <w:basedOn w:val="4"/>
    <w:qFormat/>
    <w:uiPriority w:val="0"/>
    <w:rPr>
      <w:sz w:val="16"/>
      <w:szCs w:val="16"/>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2023-09-25T16:19:00Z</dcterms:created>
  <dc:creator>lfc小凡</dc:creator>
  <cp:lastModifiedBy>lfc小凡</cp:lastModifiedBy>
  <dcterms:modified xsi:type="dcterms:W3CDTF">2023-09-25T16:22:37Z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9BEFC842977C48049CCAD0ABF3CD9649_11</vt:lpwstr>
  </property>
</Properties>
</file>