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30D47C" w14:textId="1C969E93" w:rsidR="00574890" w:rsidRDefault="00574890" w:rsidP="00574890">
      <w:pPr>
        <w:pStyle w:val="Heading1"/>
        <w:jc w:val="both"/>
        <w:rPr>
          <w:lang w:val="en-US"/>
        </w:rPr>
      </w:pPr>
      <w:r>
        <w:rPr>
          <w:lang w:val="en-US"/>
        </w:rPr>
        <w:t>Global Pathways for Universal Electricity Access in 2030</w:t>
      </w:r>
    </w:p>
    <w:p w14:paraId="594E30D6" w14:textId="0DB1C531" w:rsidR="00574890" w:rsidRDefault="00574890" w:rsidP="00574890">
      <w:pPr>
        <w:pStyle w:val="Heading1"/>
        <w:rPr>
          <w:lang w:val="en-US"/>
        </w:rPr>
      </w:pPr>
      <w:r>
        <w:rPr>
          <w:lang w:val="en-US"/>
        </w:rPr>
        <w:t>Appendices</w:t>
      </w:r>
    </w:p>
    <w:p w14:paraId="77E6A1E5" w14:textId="65DDB7C3" w:rsidR="008E5EDA" w:rsidRDefault="008E5EDA" w:rsidP="008E5EDA">
      <w:pPr>
        <w:rPr>
          <w:lang w:val="en-US"/>
        </w:rPr>
      </w:pPr>
    </w:p>
    <w:p w14:paraId="05DFB180" w14:textId="6996C159" w:rsidR="008E5EDA" w:rsidRPr="008E5EDA" w:rsidRDefault="00221AEC" w:rsidP="00221AEC">
      <w:pPr>
        <w:pStyle w:val="Heading2"/>
        <w:rPr>
          <w:lang w:val="en-US"/>
        </w:rPr>
      </w:pPr>
      <w:r>
        <w:rPr>
          <w:lang w:val="en-US"/>
        </w:rPr>
        <w:t>Further results</w:t>
      </w:r>
    </w:p>
    <w:p w14:paraId="781141E4" w14:textId="77777777" w:rsidR="00D90E53" w:rsidRDefault="00574890" w:rsidP="00D90E53">
      <w:pPr>
        <w:keepNext/>
      </w:pPr>
      <w:r>
        <w:rPr>
          <w:noProof/>
        </w:rPr>
        <w:drawing>
          <wp:inline distT="0" distB="0" distL="0" distR="0" wp14:anchorId="07A39C50" wp14:editId="4153AE8B">
            <wp:extent cx="5872780" cy="4619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874206" cy="4620747"/>
                    </a:xfrm>
                    <a:prstGeom prst="rect">
                      <a:avLst/>
                    </a:prstGeom>
                  </pic:spPr>
                </pic:pic>
              </a:graphicData>
            </a:graphic>
          </wp:inline>
        </w:drawing>
      </w:r>
    </w:p>
    <w:p w14:paraId="064EFC7F" w14:textId="2E6C0A28" w:rsidR="00574890" w:rsidRPr="00574890" w:rsidRDefault="00D90E53" w:rsidP="00D90E53">
      <w:pPr>
        <w:pStyle w:val="Caption"/>
        <w:rPr>
          <w:lang w:val="en-US"/>
        </w:rPr>
      </w:pPr>
      <w:r>
        <w:t xml:space="preserve">Figure </w:t>
      </w:r>
      <w:r w:rsidR="00275B7A">
        <w:t>A</w:t>
      </w:r>
      <w:r w:rsidR="00421743">
        <w:fldChar w:fldCharType="begin"/>
      </w:r>
      <w:r w:rsidR="00421743">
        <w:instrText xml:space="preserve"> SEQ Figure \* ARABIC </w:instrText>
      </w:r>
      <w:r w:rsidR="00421743">
        <w:fldChar w:fldCharType="separate"/>
      </w:r>
      <w:r w:rsidR="00BB7682">
        <w:rPr>
          <w:noProof/>
        </w:rPr>
        <w:t>1</w:t>
      </w:r>
      <w:r w:rsidR="00421743">
        <w:rPr>
          <w:noProof/>
        </w:rPr>
        <w:fldChar w:fldCharType="end"/>
      </w:r>
      <w:r w:rsidR="00342E9A">
        <w:t xml:space="preserve"> Electrification rate </w:t>
      </w:r>
      <w:r w:rsidR="00300B34">
        <w:t>projections</w:t>
      </w:r>
      <w:r w:rsidR="00342E9A">
        <w:t xml:space="preserve"> under the </w:t>
      </w:r>
      <w:r w:rsidR="00300B34">
        <w:t>SSP2 baseline scenario (</w:t>
      </w:r>
      <w:r w:rsidR="008E5EDA">
        <w:t>blue</w:t>
      </w:r>
      <w:r w:rsidR="00300B34">
        <w:t>) and for achieving universal access by 2030 (</w:t>
      </w:r>
      <w:r w:rsidR="008E5EDA">
        <w:t>red)</w:t>
      </w:r>
    </w:p>
    <w:p w14:paraId="083B9FF9" w14:textId="78F354F3" w:rsidR="002300CA" w:rsidRDefault="002300CA">
      <w:pPr>
        <w:rPr>
          <w:lang w:val="en-US"/>
        </w:rPr>
      </w:pPr>
    </w:p>
    <w:p w14:paraId="2A0EEFAE" w14:textId="1A0DB45D" w:rsidR="009C7B91" w:rsidRDefault="009C7B91">
      <w:pPr>
        <w:rPr>
          <w:lang w:val="en-US"/>
        </w:rPr>
      </w:pPr>
    </w:p>
    <w:p w14:paraId="1ACD1892" w14:textId="49346923" w:rsidR="009C7B91" w:rsidRDefault="009C7B91">
      <w:pPr>
        <w:rPr>
          <w:lang w:val="en-US"/>
        </w:rPr>
      </w:pPr>
    </w:p>
    <w:p w14:paraId="7AB24438" w14:textId="77777777" w:rsidR="009C7B91" w:rsidRDefault="009C7B91">
      <w:pPr>
        <w:rPr>
          <w:lang w:val="en-US"/>
        </w:rPr>
      </w:pPr>
    </w:p>
    <w:p w14:paraId="5D28A5DF" w14:textId="7EC031F8" w:rsidR="00E2022C" w:rsidRDefault="00E2022C" w:rsidP="00E2022C">
      <w:pPr>
        <w:pStyle w:val="Caption"/>
        <w:keepNext/>
      </w:pPr>
      <w:r>
        <w:lastRenderedPageBreak/>
        <w:t>Table</w:t>
      </w:r>
      <w:r w:rsidR="00CD64E2">
        <w:t>A</w:t>
      </w:r>
      <w:r w:rsidR="00421743">
        <w:fldChar w:fldCharType="begin"/>
      </w:r>
      <w:r w:rsidR="00421743">
        <w:instrText xml:space="preserve"> SEQ Table \* ARABIC </w:instrText>
      </w:r>
      <w:r w:rsidR="00421743">
        <w:fldChar w:fldCharType="separate"/>
      </w:r>
      <w:r w:rsidR="001762BF">
        <w:rPr>
          <w:noProof/>
        </w:rPr>
        <w:t>1</w:t>
      </w:r>
      <w:r w:rsidR="00421743">
        <w:rPr>
          <w:noProof/>
        </w:rPr>
        <w:fldChar w:fldCharType="end"/>
      </w:r>
      <w:r w:rsidRPr="00130B8A">
        <w:t xml:space="preserve"> Data results obtained under all scenarios analy</w:t>
      </w:r>
      <w:r w:rsidR="00430242">
        <w:t>s</w:t>
      </w:r>
      <w:r w:rsidRPr="00130B8A">
        <w:t xml:space="preserve">ed for 2030 </w:t>
      </w:r>
      <w:r>
        <w:t>for</w:t>
      </w:r>
      <w:r w:rsidR="00C237F0">
        <w:t xml:space="preserve"> the</w:t>
      </w:r>
      <w:r>
        <w:t xml:space="preserve"> Sub Sahara Africa</w:t>
      </w:r>
      <w:r w:rsidR="00C237F0">
        <w:t xml:space="preserve"> region</w:t>
      </w:r>
    </w:p>
    <w:tbl>
      <w:tblPr>
        <w:tblW w:w="10362" w:type="dxa"/>
        <w:tblLayout w:type="fixed"/>
        <w:tblLook w:val="04A0" w:firstRow="1" w:lastRow="0" w:firstColumn="1" w:lastColumn="0" w:noHBand="0" w:noVBand="1"/>
      </w:tblPr>
      <w:tblGrid>
        <w:gridCol w:w="1413"/>
        <w:gridCol w:w="1984"/>
        <w:gridCol w:w="1276"/>
        <w:gridCol w:w="1559"/>
        <w:gridCol w:w="1418"/>
        <w:gridCol w:w="1134"/>
        <w:gridCol w:w="1578"/>
      </w:tblGrid>
      <w:tr w:rsidR="00E97B6F" w:rsidRPr="00CF3E8B" w14:paraId="00E182E1" w14:textId="77777777" w:rsidTr="005D25F7">
        <w:trPr>
          <w:trHeight w:val="1529"/>
        </w:trPr>
        <w:tc>
          <w:tcPr>
            <w:tcW w:w="1413" w:type="dxa"/>
            <w:tcBorders>
              <w:top w:val="single" w:sz="4" w:space="0" w:color="auto"/>
              <w:left w:val="single" w:sz="4" w:space="0" w:color="auto"/>
              <w:bottom w:val="single" w:sz="4" w:space="0" w:color="auto"/>
              <w:right w:val="nil"/>
            </w:tcBorders>
            <w:shd w:val="clear" w:color="auto" w:fill="auto"/>
            <w:vAlign w:val="center"/>
            <w:hideMark/>
          </w:tcPr>
          <w:p w14:paraId="1EE223D6" w14:textId="77777777" w:rsidR="00E97B6F" w:rsidRPr="00CF3E8B" w:rsidRDefault="00E97B6F" w:rsidP="005D25F7">
            <w:pPr>
              <w:spacing w:after="0" w:line="240" w:lineRule="auto"/>
              <w:rPr>
                <w:rFonts w:ascii="Calibri" w:eastAsia="Times New Roman" w:hAnsi="Calibri" w:cs="Calibri"/>
                <w:color w:val="000000"/>
                <w:lang w:eastAsia="en-GB"/>
              </w:rPr>
            </w:pPr>
            <w:r w:rsidRPr="00CF3E8B">
              <w:rPr>
                <w:rFonts w:ascii="Calibri" w:eastAsia="Times New Roman" w:hAnsi="Calibri" w:cs="Calibri"/>
                <w:color w:val="000000"/>
                <w:lang w:eastAsia="en-GB"/>
              </w:rPr>
              <w:t>Scenario</w:t>
            </w:r>
          </w:p>
        </w:tc>
        <w:tc>
          <w:tcPr>
            <w:tcW w:w="1984" w:type="dxa"/>
            <w:tcBorders>
              <w:top w:val="single" w:sz="4" w:space="0" w:color="auto"/>
              <w:left w:val="nil"/>
              <w:bottom w:val="single" w:sz="4" w:space="0" w:color="auto"/>
              <w:right w:val="nil"/>
            </w:tcBorders>
            <w:shd w:val="clear" w:color="auto" w:fill="auto"/>
            <w:vAlign w:val="center"/>
            <w:hideMark/>
          </w:tcPr>
          <w:p w14:paraId="64858090" w14:textId="77777777" w:rsidR="00E97B6F" w:rsidRPr="00CF3E8B" w:rsidRDefault="00E97B6F" w:rsidP="005D25F7">
            <w:pPr>
              <w:spacing w:after="0" w:line="240" w:lineRule="auto"/>
              <w:rPr>
                <w:rFonts w:ascii="Calibri" w:eastAsia="Times New Roman" w:hAnsi="Calibri" w:cs="Calibri"/>
                <w:color w:val="000000"/>
                <w:lang w:eastAsia="en-GB"/>
              </w:rPr>
            </w:pPr>
            <w:r w:rsidRPr="00CF3E8B">
              <w:rPr>
                <w:rFonts w:ascii="Calibri" w:eastAsia="Times New Roman" w:hAnsi="Calibri" w:cs="Calibri"/>
                <w:color w:val="000000"/>
                <w:lang w:eastAsia="en-GB"/>
              </w:rPr>
              <w:t>Description</w:t>
            </w:r>
          </w:p>
        </w:tc>
        <w:tc>
          <w:tcPr>
            <w:tcW w:w="1276" w:type="dxa"/>
            <w:tcBorders>
              <w:top w:val="single" w:sz="4" w:space="0" w:color="auto"/>
              <w:left w:val="nil"/>
              <w:bottom w:val="single" w:sz="4" w:space="0" w:color="auto"/>
              <w:right w:val="nil"/>
            </w:tcBorders>
            <w:shd w:val="clear" w:color="000000" w:fill="FFEB9C"/>
            <w:vAlign w:val="bottom"/>
            <w:hideMark/>
          </w:tcPr>
          <w:p w14:paraId="70A1FA83" w14:textId="77777777" w:rsidR="00E97B6F" w:rsidRPr="00CF3E8B" w:rsidRDefault="00E97B6F" w:rsidP="005D25F7">
            <w:pPr>
              <w:spacing w:after="0" w:line="240" w:lineRule="auto"/>
              <w:jc w:val="right"/>
              <w:rPr>
                <w:rFonts w:ascii="Calibri" w:eastAsia="Times New Roman" w:hAnsi="Calibri" w:cs="Calibri"/>
                <w:color w:val="9C5700"/>
                <w:lang w:eastAsia="en-GB"/>
              </w:rPr>
            </w:pPr>
            <w:r w:rsidRPr="00CF3E8B">
              <w:rPr>
                <w:rFonts w:ascii="Calibri" w:eastAsia="Times New Roman" w:hAnsi="Calibri" w:cs="Calibri"/>
                <w:color w:val="9C5700"/>
                <w:lang w:eastAsia="en-GB"/>
              </w:rPr>
              <w:t>Residential electricity demand (</w:t>
            </w:r>
            <w:proofErr w:type="spellStart"/>
            <w:r w:rsidRPr="00CF3E8B">
              <w:rPr>
                <w:rFonts w:ascii="Calibri" w:eastAsia="Times New Roman" w:hAnsi="Calibri" w:cs="Calibri"/>
                <w:color w:val="9C5700"/>
                <w:lang w:eastAsia="en-GB"/>
              </w:rPr>
              <w:t>TWh</w:t>
            </w:r>
            <w:proofErr w:type="spellEnd"/>
            <w:r w:rsidRPr="00CF3E8B">
              <w:rPr>
                <w:rFonts w:ascii="Calibri" w:eastAsia="Times New Roman" w:hAnsi="Calibri" w:cs="Calibri"/>
                <w:color w:val="9C5700"/>
                <w:lang w:eastAsia="en-GB"/>
              </w:rPr>
              <w:t>)</w:t>
            </w:r>
          </w:p>
        </w:tc>
        <w:tc>
          <w:tcPr>
            <w:tcW w:w="1559" w:type="dxa"/>
            <w:tcBorders>
              <w:top w:val="single" w:sz="4" w:space="0" w:color="auto"/>
              <w:left w:val="nil"/>
              <w:bottom w:val="single" w:sz="4" w:space="0" w:color="auto"/>
              <w:right w:val="nil"/>
            </w:tcBorders>
            <w:shd w:val="clear" w:color="000000" w:fill="C6EFCE"/>
            <w:vAlign w:val="bottom"/>
            <w:hideMark/>
          </w:tcPr>
          <w:p w14:paraId="11146A81" w14:textId="77777777" w:rsidR="00E97B6F" w:rsidRPr="00CF3E8B" w:rsidRDefault="00E97B6F" w:rsidP="005D25F7">
            <w:pPr>
              <w:spacing w:after="0" w:line="240" w:lineRule="auto"/>
              <w:jc w:val="right"/>
              <w:rPr>
                <w:rFonts w:ascii="Calibri" w:eastAsia="Times New Roman" w:hAnsi="Calibri" w:cs="Calibri"/>
                <w:color w:val="006100"/>
                <w:lang w:eastAsia="en-GB"/>
              </w:rPr>
            </w:pPr>
            <w:r w:rsidRPr="00CF3E8B">
              <w:rPr>
                <w:rFonts w:ascii="Calibri" w:eastAsia="Times New Roman" w:hAnsi="Calibri" w:cs="Calibri"/>
                <w:color w:val="006100"/>
                <w:lang w:eastAsia="en-GB"/>
              </w:rPr>
              <w:t xml:space="preserve">Share of low carbon technologies in the electricity mix </w:t>
            </w:r>
            <w:r>
              <w:rPr>
                <w:rFonts w:ascii="Calibri" w:eastAsia="Times New Roman" w:hAnsi="Calibri" w:cs="Calibri"/>
                <w:color w:val="006100"/>
                <w:lang w:eastAsia="en-GB"/>
              </w:rPr>
              <w:t>(</w:t>
            </w:r>
            <w:r w:rsidRPr="00CF3E8B">
              <w:rPr>
                <w:rFonts w:ascii="Calibri" w:eastAsia="Times New Roman" w:hAnsi="Calibri" w:cs="Calibri"/>
                <w:color w:val="006100"/>
                <w:lang w:eastAsia="en-GB"/>
              </w:rPr>
              <w:t>%</w:t>
            </w:r>
            <w:r>
              <w:rPr>
                <w:rFonts w:ascii="Calibri" w:eastAsia="Times New Roman" w:hAnsi="Calibri" w:cs="Calibri"/>
                <w:color w:val="006100"/>
                <w:lang w:eastAsia="en-GB"/>
              </w:rPr>
              <w:t>)</w:t>
            </w:r>
          </w:p>
        </w:tc>
        <w:tc>
          <w:tcPr>
            <w:tcW w:w="1418" w:type="dxa"/>
            <w:tcBorders>
              <w:top w:val="single" w:sz="4" w:space="0" w:color="auto"/>
              <w:left w:val="nil"/>
              <w:bottom w:val="single" w:sz="4" w:space="0" w:color="auto"/>
              <w:right w:val="nil"/>
            </w:tcBorders>
            <w:shd w:val="clear" w:color="000000" w:fill="C6EFCE"/>
            <w:vAlign w:val="bottom"/>
            <w:hideMark/>
          </w:tcPr>
          <w:p w14:paraId="57469487" w14:textId="77777777" w:rsidR="00E97B6F" w:rsidRPr="00CF3E8B" w:rsidRDefault="00E97B6F" w:rsidP="005D25F7">
            <w:pPr>
              <w:spacing w:after="0" w:line="240" w:lineRule="auto"/>
              <w:jc w:val="right"/>
              <w:rPr>
                <w:rFonts w:ascii="Calibri" w:eastAsia="Times New Roman" w:hAnsi="Calibri" w:cs="Calibri"/>
                <w:color w:val="006100"/>
                <w:lang w:eastAsia="en-GB"/>
              </w:rPr>
            </w:pPr>
            <w:r w:rsidRPr="00CF3E8B">
              <w:rPr>
                <w:rFonts w:ascii="Calibri" w:eastAsia="Times New Roman" w:hAnsi="Calibri" w:cs="Calibri"/>
                <w:color w:val="006100"/>
                <w:lang w:eastAsia="en-GB"/>
              </w:rPr>
              <w:t>CO2 emissions from residential electricity use (Mt)</w:t>
            </w:r>
          </w:p>
        </w:tc>
        <w:tc>
          <w:tcPr>
            <w:tcW w:w="1134" w:type="dxa"/>
            <w:tcBorders>
              <w:top w:val="single" w:sz="4" w:space="0" w:color="auto"/>
              <w:left w:val="nil"/>
              <w:bottom w:val="single" w:sz="4" w:space="0" w:color="auto"/>
              <w:right w:val="nil"/>
            </w:tcBorders>
            <w:shd w:val="clear" w:color="000000" w:fill="FFC7CE"/>
            <w:vAlign w:val="bottom"/>
            <w:hideMark/>
          </w:tcPr>
          <w:p w14:paraId="49BCEBB0" w14:textId="77777777" w:rsidR="00E97B6F" w:rsidRPr="00CF3E8B" w:rsidRDefault="00E97B6F" w:rsidP="005D25F7">
            <w:pPr>
              <w:spacing w:after="0" w:line="240" w:lineRule="auto"/>
              <w:jc w:val="right"/>
              <w:rPr>
                <w:rFonts w:ascii="Calibri" w:eastAsia="Times New Roman" w:hAnsi="Calibri" w:cs="Calibri"/>
                <w:color w:val="9C0006"/>
                <w:lang w:eastAsia="en-GB"/>
              </w:rPr>
            </w:pPr>
            <w:r w:rsidRPr="00CF3E8B">
              <w:rPr>
                <w:rFonts w:ascii="Calibri" w:eastAsia="Times New Roman" w:hAnsi="Calibri" w:cs="Calibri"/>
                <w:color w:val="9C0006"/>
                <w:lang w:eastAsia="en-GB"/>
              </w:rPr>
              <w:t>Average electricity prices ($/MWh)</w:t>
            </w:r>
          </w:p>
        </w:tc>
        <w:tc>
          <w:tcPr>
            <w:tcW w:w="1578" w:type="dxa"/>
            <w:tcBorders>
              <w:top w:val="single" w:sz="4" w:space="0" w:color="auto"/>
              <w:left w:val="nil"/>
              <w:bottom w:val="single" w:sz="4" w:space="0" w:color="auto"/>
              <w:right w:val="nil"/>
            </w:tcBorders>
            <w:shd w:val="clear" w:color="000000" w:fill="FFC7CE"/>
            <w:vAlign w:val="bottom"/>
            <w:hideMark/>
          </w:tcPr>
          <w:p w14:paraId="6FAAA74F" w14:textId="77777777" w:rsidR="00E97B6F" w:rsidRPr="00CF3E8B" w:rsidRDefault="00E97B6F" w:rsidP="005D25F7">
            <w:pPr>
              <w:spacing w:after="0" w:line="240" w:lineRule="auto"/>
              <w:jc w:val="right"/>
              <w:rPr>
                <w:rFonts w:ascii="Calibri" w:eastAsia="Times New Roman" w:hAnsi="Calibri" w:cs="Calibri"/>
                <w:color w:val="9C0006"/>
                <w:lang w:eastAsia="en-GB"/>
              </w:rPr>
            </w:pPr>
            <w:r w:rsidRPr="00CF3E8B">
              <w:rPr>
                <w:rFonts w:ascii="Calibri" w:eastAsia="Times New Roman" w:hAnsi="Calibri" w:cs="Calibri"/>
                <w:color w:val="9C0006"/>
                <w:lang w:eastAsia="en-GB"/>
              </w:rPr>
              <w:t xml:space="preserve">Annual </w:t>
            </w:r>
            <w:r>
              <w:rPr>
                <w:rFonts w:ascii="Calibri" w:eastAsia="Times New Roman" w:hAnsi="Calibri" w:cs="Calibri"/>
                <w:color w:val="9C0006"/>
                <w:lang w:eastAsia="en-GB"/>
              </w:rPr>
              <w:t xml:space="preserve">discounted </w:t>
            </w:r>
            <w:r w:rsidRPr="00FB4FB8">
              <w:rPr>
                <w:rFonts w:ascii="Calibri" w:eastAsia="Times New Roman" w:hAnsi="Calibri" w:cs="Calibri"/>
                <w:color w:val="9C0006"/>
                <w:lang w:eastAsia="en-GB"/>
              </w:rPr>
              <w:t xml:space="preserve">investment required until 2030  (Billion </w:t>
            </w:r>
            <w:r>
              <w:rPr>
                <w:rFonts w:ascii="Calibri" w:eastAsia="Times New Roman" w:hAnsi="Calibri" w:cs="Calibri"/>
                <w:color w:val="9C0006"/>
                <w:lang w:eastAsia="en-GB"/>
              </w:rPr>
              <w:t>US</w:t>
            </w:r>
            <w:r w:rsidRPr="00FB4FB8">
              <w:rPr>
                <w:rFonts w:ascii="Calibri" w:eastAsia="Times New Roman" w:hAnsi="Calibri" w:cs="Calibri"/>
                <w:color w:val="9C0006"/>
                <w:lang w:eastAsia="en-GB"/>
              </w:rPr>
              <w:t>$/year)</w:t>
            </w:r>
          </w:p>
        </w:tc>
      </w:tr>
      <w:tr w:rsidR="006C1E6D" w:rsidRPr="00CF3E8B" w14:paraId="659D06C2" w14:textId="77777777" w:rsidTr="005D25F7">
        <w:trPr>
          <w:trHeight w:val="51"/>
        </w:trPr>
        <w:tc>
          <w:tcPr>
            <w:tcW w:w="1413" w:type="dxa"/>
            <w:tcBorders>
              <w:top w:val="nil"/>
              <w:left w:val="single" w:sz="4" w:space="0" w:color="auto"/>
              <w:bottom w:val="single" w:sz="4" w:space="0" w:color="auto"/>
              <w:right w:val="nil"/>
            </w:tcBorders>
            <w:shd w:val="clear" w:color="auto" w:fill="auto"/>
            <w:vAlign w:val="bottom"/>
            <w:hideMark/>
          </w:tcPr>
          <w:p w14:paraId="6666AAE8" w14:textId="77777777" w:rsidR="006C1E6D" w:rsidRPr="00CF3E8B" w:rsidRDefault="006C1E6D" w:rsidP="006C1E6D">
            <w:pPr>
              <w:spacing w:after="0" w:line="240" w:lineRule="auto"/>
              <w:rPr>
                <w:rFonts w:ascii="Calibri" w:eastAsia="Times New Roman" w:hAnsi="Calibri" w:cs="Calibri"/>
                <w:lang w:eastAsia="en-GB"/>
              </w:rPr>
            </w:pPr>
            <w:r w:rsidRPr="00CF3E8B">
              <w:rPr>
                <w:rFonts w:ascii="Calibri" w:eastAsia="Times New Roman" w:hAnsi="Calibri" w:cs="Calibri"/>
                <w:lang w:eastAsia="en-GB"/>
              </w:rPr>
              <w:t>SSP2-BL</w:t>
            </w:r>
          </w:p>
        </w:tc>
        <w:tc>
          <w:tcPr>
            <w:tcW w:w="1984" w:type="dxa"/>
            <w:tcBorders>
              <w:top w:val="nil"/>
              <w:left w:val="nil"/>
              <w:bottom w:val="single" w:sz="4" w:space="0" w:color="auto"/>
              <w:right w:val="nil"/>
            </w:tcBorders>
            <w:shd w:val="clear" w:color="auto" w:fill="auto"/>
            <w:vAlign w:val="bottom"/>
            <w:hideMark/>
          </w:tcPr>
          <w:p w14:paraId="0BB776D4" w14:textId="7911F39F" w:rsidR="006C1E6D" w:rsidRPr="00CF3E8B" w:rsidRDefault="006C1E6D" w:rsidP="006C1E6D">
            <w:pPr>
              <w:spacing w:after="0" w:line="240" w:lineRule="auto"/>
              <w:rPr>
                <w:rFonts w:ascii="Calibri" w:eastAsia="Times New Roman" w:hAnsi="Calibri" w:cs="Calibri"/>
                <w:lang w:eastAsia="en-GB"/>
              </w:rPr>
            </w:pPr>
            <w:r w:rsidRPr="00CF3E8B">
              <w:rPr>
                <w:rFonts w:ascii="Calibri" w:eastAsia="Times New Roman" w:hAnsi="Calibri" w:cs="Calibri"/>
                <w:lang w:eastAsia="en-GB"/>
              </w:rPr>
              <w:t xml:space="preserve">Baseline leading to </w:t>
            </w:r>
            <w:r>
              <w:rPr>
                <w:rFonts w:ascii="Calibri" w:eastAsia="Times New Roman" w:hAnsi="Calibri" w:cs="Calibri"/>
                <w:lang w:eastAsia="en-GB"/>
              </w:rPr>
              <w:t xml:space="preserve">a </w:t>
            </w:r>
            <w:r w:rsidR="00797974">
              <w:rPr>
                <w:rFonts w:ascii="Calibri" w:eastAsia="Times New Roman" w:hAnsi="Calibri" w:cs="Calibri"/>
                <w:lang w:eastAsia="en-GB"/>
              </w:rPr>
              <w:t>65</w:t>
            </w:r>
            <w:r w:rsidRPr="00CF3E8B">
              <w:rPr>
                <w:rFonts w:ascii="Calibri" w:eastAsia="Times New Roman" w:hAnsi="Calibri" w:cs="Calibri"/>
                <w:lang w:eastAsia="en-GB"/>
              </w:rPr>
              <w:t>% electrification rate</w:t>
            </w:r>
          </w:p>
        </w:tc>
        <w:tc>
          <w:tcPr>
            <w:tcW w:w="1276" w:type="dxa"/>
            <w:tcBorders>
              <w:top w:val="nil"/>
              <w:left w:val="nil"/>
              <w:bottom w:val="single" w:sz="4" w:space="0" w:color="auto"/>
              <w:right w:val="nil"/>
            </w:tcBorders>
            <w:shd w:val="clear" w:color="000000" w:fill="FFEB9C"/>
            <w:noWrap/>
            <w:vAlign w:val="bottom"/>
            <w:hideMark/>
          </w:tcPr>
          <w:p w14:paraId="18565B37" w14:textId="05745EBF" w:rsidR="006C1E6D" w:rsidRPr="00CF3E8B" w:rsidRDefault="006C1E6D" w:rsidP="006C1E6D">
            <w:pPr>
              <w:spacing w:after="0" w:line="240" w:lineRule="auto"/>
              <w:jc w:val="right"/>
              <w:rPr>
                <w:rFonts w:ascii="Calibri" w:eastAsia="Times New Roman" w:hAnsi="Calibri" w:cs="Calibri"/>
                <w:color w:val="9C5700"/>
                <w:lang w:eastAsia="en-GB"/>
              </w:rPr>
            </w:pPr>
            <w:r>
              <w:rPr>
                <w:rFonts w:ascii="Calibri" w:hAnsi="Calibri" w:cs="Calibri"/>
                <w:color w:val="9C5700"/>
              </w:rPr>
              <w:t>98</w:t>
            </w:r>
          </w:p>
        </w:tc>
        <w:tc>
          <w:tcPr>
            <w:tcW w:w="1559" w:type="dxa"/>
            <w:tcBorders>
              <w:top w:val="nil"/>
              <w:left w:val="nil"/>
              <w:bottom w:val="single" w:sz="4" w:space="0" w:color="auto"/>
              <w:right w:val="nil"/>
            </w:tcBorders>
            <w:shd w:val="clear" w:color="000000" w:fill="C6EFCE"/>
            <w:noWrap/>
            <w:vAlign w:val="bottom"/>
            <w:hideMark/>
          </w:tcPr>
          <w:p w14:paraId="43F6094C" w14:textId="6D435D6C" w:rsidR="006C1E6D" w:rsidRPr="00CF3E8B" w:rsidRDefault="006C1E6D" w:rsidP="006C1E6D">
            <w:pPr>
              <w:spacing w:after="0" w:line="240" w:lineRule="auto"/>
              <w:jc w:val="right"/>
              <w:rPr>
                <w:rFonts w:ascii="Calibri" w:eastAsia="Times New Roman" w:hAnsi="Calibri" w:cs="Calibri"/>
                <w:color w:val="006100"/>
                <w:lang w:eastAsia="en-GB"/>
              </w:rPr>
            </w:pPr>
            <w:r>
              <w:rPr>
                <w:rFonts w:ascii="Calibri" w:hAnsi="Calibri" w:cs="Calibri"/>
                <w:color w:val="006100"/>
              </w:rPr>
              <w:t>48</w:t>
            </w:r>
          </w:p>
        </w:tc>
        <w:tc>
          <w:tcPr>
            <w:tcW w:w="1418" w:type="dxa"/>
            <w:tcBorders>
              <w:top w:val="nil"/>
              <w:left w:val="nil"/>
              <w:bottom w:val="single" w:sz="4" w:space="0" w:color="auto"/>
              <w:right w:val="nil"/>
            </w:tcBorders>
            <w:shd w:val="clear" w:color="000000" w:fill="C6EFCE"/>
            <w:noWrap/>
            <w:vAlign w:val="bottom"/>
            <w:hideMark/>
          </w:tcPr>
          <w:p w14:paraId="50CF8AEA" w14:textId="31363E55" w:rsidR="006C1E6D" w:rsidRPr="00CF3E8B" w:rsidRDefault="006C1E6D" w:rsidP="006C1E6D">
            <w:pPr>
              <w:spacing w:after="0" w:line="240" w:lineRule="auto"/>
              <w:jc w:val="right"/>
              <w:rPr>
                <w:rFonts w:ascii="Calibri" w:eastAsia="Times New Roman" w:hAnsi="Calibri" w:cs="Calibri"/>
                <w:color w:val="006100"/>
                <w:lang w:eastAsia="en-GB"/>
              </w:rPr>
            </w:pPr>
            <w:r>
              <w:rPr>
                <w:rFonts w:ascii="Calibri" w:hAnsi="Calibri" w:cs="Calibri"/>
                <w:color w:val="006100"/>
              </w:rPr>
              <w:t>42</w:t>
            </w:r>
          </w:p>
        </w:tc>
        <w:tc>
          <w:tcPr>
            <w:tcW w:w="1134" w:type="dxa"/>
            <w:tcBorders>
              <w:top w:val="nil"/>
              <w:left w:val="nil"/>
              <w:bottom w:val="single" w:sz="4" w:space="0" w:color="auto"/>
              <w:right w:val="nil"/>
            </w:tcBorders>
            <w:shd w:val="clear" w:color="000000" w:fill="FFC7CE"/>
            <w:noWrap/>
            <w:vAlign w:val="bottom"/>
            <w:hideMark/>
          </w:tcPr>
          <w:p w14:paraId="451118D6" w14:textId="31622D06" w:rsidR="006C1E6D" w:rsidRPr="00CF3E8B" w:rsidRDefault="006C1E6D" w:rsidP="006C1E6D">
            <w:pPr>
              <w:spacing w:after="0" w:line="240" w:lineRule="auto"/>
              <w:jc w:val="right"/>
              <w:rPr>
                <w:rFonts w:ascii="Calibri" w:eastAsia="Times New Roman" w:hAnsi="Calibri" w:cs="Calibri"/>
                <w:color w:val="9C0006"/>
                <w:lang w:eastAsia="en-GB"/>
              </w:rPr>
            </w:pPr>
            <w:r>
              <w:rPr>
                <w:rFonts w:ascii="Calibri" w:hAnsi="Calibri" w:cs="Calibri"/>
                <w:color w:val="9C0006"/>
              </w:rPr>
              <w:t>87</w:t>
            </w:r>
          </w:p>
        </w:tc>
        <w:tc>
          <w:tcPr>
            <w:tcW w:w="1578" w:type="dxa"/>
            <w:tcBorders>
              <w:top w:val="nil"/>
              <w:left w:val="nil"/>
              <w:bottom w:val="single" w:sz="4" w:space="0" w:color="auto"/>
              <w:right w:val="nil"/>
            </w:tcBorders>
            <w:shd w:val="clear" w:color="000000" w:fill="FFC7CE"/>
            <w:noWrap/>
            <w:vAlign w:val="bottom"/>
            <w:hideMark/>
          </w:tcPr>
          <w:p w14:paraId="3BF29DD0" w14:textId="4E5C00AB" w:rsidR="006C1E6D" w:rsidRPr="00CF3E8B" w:rsidRDefault="006C1E6D" w:rsidP="006C1E6D">
            <w:pPr>
              <w:spacing w:after="0" w:line="240" w:lineRule="auto"/>
              <w:jc w:val="right"/>
              <w:rPr>
                <w:rFonts w:ascii="Calibri" w:eastAsia="Times New Roman" w:hAnsi="Calibri" w:cs="Calibri"/>
                <w:color w:val="9C0006"/>
                <w:lang w:eastAsia="en-GB"/>
              </w:rPr>
            </w:pPr>
            <w:r>
              <w:rPr>
                <w:rFonts w:ascii="Calibri" w:hAnsi="Calibri" w:cs="Calibri"/>
                <w:color w:val="9C0006"/>
              </w:rPr>
              <w:t>21</w:t>
            </w:r>
          </w:p>
        </w:tc>
      </w:tr>
      <w:tr w:rsidR="006C1E6D" w:rsidRPr="00CF3E8B" w14:paraId="1FC32BD3" w14:textId="77777777" w:rsidTr="005D25F7">
        <w:trPr>
          <w:trHeight w:val="207"/>
        </w:trPr>
        <w:tc>
          <w:tcPr>
            <w:tcW w:w="1413" w:type="dxa"/>
            <w:tcBorders>
              <w:top w:val="nil"/>
              <w:left w:val="single" w:sz="4" w:space="0" w:color="auto"/>
              <w:bottom w:val="single" w:sz="4" w:space="0" w:color="auto"/>
              <w:right w:val="nil"/>
            </w:tcBorders>
            <w:shd w:val="clear" w:color="auto" w:fill="auto"/>
            <w:vAlign w:val="bottom"/>
            <w:hideMark/>
          </w:tcPr>
          <w:p w14:paraId="54192448" w14:textId="77777777" w:rsidR="006C1E6D" w:rsidRPr="00CF3E8B" w:rsidRDefault="006C1E6D" w:rsidP="006C1E6D">
            <w:pPr>
              <w:spacing w:after="0" w:line="240" w:lineRule="auto"/>
              <w:rPr>
                <w:rFonts w:ascii="Calibri" w:eastAsia="Times New Roman" w:hAnsi="Calibri" w:cs="Calibri"/>
                <w:lang w:eastAsia="en-GB"/>
              </w:rPr>
            </w:pPr>
            <w:r w:rsidRPr="00CF3E8B">
              <w:rPr>
                <w:rFonts w:ascii="Calibri" w:eastAsia="Times New Roman" w:hAnsi="Calibri" w:cs="Calibri"/>
                <w:lang w:eastAsia="en-GB"/>
              </w:rPr>
              <w:t>SSP2-UA</w:t>
            </w:r>
          </w:p>
        </w:tc>
        <w:tc>
          <w:tcPr>
            <w:tcW w:w="1984" w:type="dxa"/>
            <w:tcBorders>
              <w:top w:val="nil"/>
              <w:left w:val="nil"/>
              <w:bottom w:val="single" w:sz="4" w:space="0" w:color="auto"/>
              <w:right w:val="nil"/>
            </w:tcBorders>
            <w:shd w:val="clear" w:color="auto" w:fill="auto"/>
            <w:vAlign w:val="bottom"/>
            <w:hideMark/>
          </w:tcPr>
          <w:p w14:paraId="6391B5E5" w14:textId="77777777" w:rsidR="006C1E6D" w:rsidRPr="00CF3E8B" w:rsidRDefault="006C1E6D" w:rsidP="006C1E6D">
            <w:pPr>
              <w:spacing w:after="0" w:line="240" w:lineRule="auto"/>
              <w:rPr>
                <w:rFonts w:ascii="Calibri" w:eastAsia="Times New Roman" w:hAnsi="Calibri" w:cs="Calibri"/>
                <w:lang w:eastAsia="en-GB"/>
              </w:rPr>
            </w:pPr>
            <w:r w:rsidRPr="00CF3E8B">
              <w:rPr>
                <w:rFonts w:ascii="Calibri" w:eastAsia="Times New Roman" w:hAnsi="Calibri" w:cs="Calibri"/>
                <w:lang w:eastAsia="en-GB"/>
              </w:rPr>
              <w:t>Universal Access (UA) with baseline demand</w:t>
            </w:r>
          </w:p>
        </w:tc>
        <w:tc>
          <w:tcPr>
            <w:tcW w:w="1276" w:type="dxa"/>
            <w:tcBorders>
              <w:top w:val="nil"/>
              <w:left w:val="nil"/>
              <w:bottom w:val="single" w:sz="4" w:space="0" w:color="auto"/>
              <w:right w:val="nil"/>
            </w:tcBorders>
            <w:shd w:val="clear" w:color="000000" w:fill="FFEB9C"/>
            <w:noWrap/>
            <w:vAlign w:val="bottom"/>
            <w:hideMark/>
          </w:tcPr>
          <w:p w14:paraId="67FC06ED" w14:textId="2140B9D3" w:rsidR="006C1E6D" w:rsidRPr="00CF3E8B" w:rsidRDefault="006C1E6D" w:rsidP="006C1E6D">
            <w:pPr>
              <w:spacing w:after="0" w:line="240" w:lineRule="auto"/>
              <w:jc w:val="right"/>
              <w:rPr>
                <w:rFonts w:ascii="Calibri" w:eastAsia="Times New Roman" w:hAnsi="Calibri" w:cs="Calibri"/>
                <w:color w:val="9C5700"/>
                <w:lang w:eastAsia="en-GB"/>
              </w:rPr>
            </w:pPr>
            <w:r>
              <w:rPr>
                <w:rFonts w:ascii="Calibri" w:hAnsi="Calibri" w:cs="Calibri"/>
                <w:color w:val="9C5700"/>
              </w:rPr>
              <w:t>144</w:t>
            </w:r>
          </w:p>
        </w:tc>
        <w:tc>
          <w:tcPr>
            <w:tcW w:w="1559" w:type="dxa"/>
            <w:tcBorders>
              <w:top w:val="nil"/>
              <w:left w:val="nil"/>
              <w:bottom w:val="single" w:sz="4" w:space="0" w:color="auto"/>
              <w:right w:val="nil"/>
            </w:tcBorders>
            <w:shd w:val="clear" w:color="000000" w:fill="C6EFCE"/>
            <w:noWrap/>
            <w:vAlign w:val="bottom"/>
            <w:hideMark/>
          </w:tcPr>
          <w:p w14:paraId="4AA2B226" w14:textId="7CA08D6C" w:rsidR="006C1E6D" w:rsidRPr="00CF3E8B" w:rsidRDefault="006C1E6D" w:rsidP="006C1E6D">
            <w:pPr>
              <w:spacing w:after="0" w:line="240" w:lineRule="auto"/>
              <w:jc w:val="right"/>
              <w:rPr>
                <w:rFonts w:ascii="Calibri" w:eastAsia="Times New Roman" w:hAnsi="Calibri" w:cs="Calibri"/>
                <w:color w:val="006100"/>
                <w:lang w:eastAsia="en-GB"/>
              </w:rPr>
            </w:pPr>
            <w:r>
              <w:rPr>
                <w:rFonts w:ascii="Calibri" w:hAnsi="Calibri" w:cs="Calibri"/>
                <w:color w:val="006100"/>
              </w:rPr>
              <w:t>49</w:t>
            </w:r>
          </w:p>
        </w:tc>
        <w:tc>
          <w:tcPr>
            <w:tcW w:w="1418" w:type="dxa"/>
            <w:tcBorders>
              <w:top w:val="nil"/>
              <w:left w:val="nil"/>
              <w:bottom w:val="single" w:sz="4" w:space="0" w:color="auto"/>
              <w:right w:val="nil"/>
            </w:tcBorders>
            <w:shd w:val="clear" w:color="000000" w:fill="C6EFCE"/>
            <w:noWrap/>
            <w:vAlign w:val="bottom"/>
            <w:hideMark/>
          </w:tcPr>
          <w:p w14:paraId="5E9945E7" w14:textId="5B4A2B81" w:rsidR="006C1E6D" w:rsidRPr="00CF3E8B" w:rsidRDefault="006C1E6D" w:rsidP="006C1E6D">
            <w:pPr>
              <w:spacing w:after="0" w:line="240" w:lineRule="auto"/>
              <w:jc w:val="right"/>
              <w:rPr>
                <w:rFonts w:ascii="Calibri" w:eastAsia="Times New Roman" w:hAnsi="Calibri" w:cs="Calibri"/>
                <w:color w:val="006100"/>
                <w:lang w:eastAsia="en-GB"/>
              </w:rPr>
            </w:pPr>
            <w:r>
              <w:rPr>
                <w:rFonts w:ascii="Calibri" w:hAnsi="Calibri" w:cs="Calibri"/>
                <w:color w:val="006100"/>
              </w:rPr>
              <w:t>52</w:t>
            </w:r>
          </w:p>
        </w:tc>
        <w:tc>
          <w:tcPr>
            <w:tcW w:w="1134" w:type="dxa"/>
            <w:tcBorders>
              <w:top w:val="nil"/>
              <w:left w:val="nil"/>
              <w:bottom w:val="single" w:sz="4" w:space="0" w:color="auto"/>
              <w:right w:val="nil"/>
            </w:tcBorders>
            <w:shd w:val="clear" w:color="000000" w:fill="FFC7CE"/>
            <w:noWrap/>
            <w:vAlign w:val="bottom"/>
            <w:hideMark/>
          </w:tcPr>
          <w:p w14:paraId="391B908D" w14:textId="42FA494B" w:rsidR="006C1E6D" w:rsidRPr="00CF3E8B" w:rsidRDefault="006C1E6D" w:rsidP="006C1E6D">
            <w:pPr>
              <w:spacing w:after="0" w:line="240" w:lineRule="auto"/>
              <w:jc w:val="right"/>
              <w:rPr>
                <w:rFonts w:ascii="Calibri" w:eastAsia="Times New Roman" w:hAnsi="Calibri" w:cs="Calibri"/>
                <w:color w:val="9C0006"/>
                <w:lang w:eastAsia="en-GB"/>
              </w:rPr>
            </w:pPr>
            <w:r>
              <w:rPr>
                <w:rFonts w:ascii="Calibri" w:hAnsi="Calibri" w:cs="Calibri"/>
                <w:color w:val="9C0006"/>
              </w:rPr>
              <w:t>159</w:t>
            </w:r>
          </w:p>
        </w:tc>
        <w:tc>
          <w:tcPr>
            <w:tcW w:w="1578" w:type="dxa"/>
            <w:tcBorders>
              <w:top w:val="nil"/>
              <w:left w:val="nil"/>
              <w:bottom w:val="single" w:sz="4" w:space="0" w:color="auto"/>
              <w:right w:val="nil"/>
            </w:tcBorders>
            <w:shd w:val="clear" w:color="000000" w:fill="FFC7CE"/>
            <w:noWrap/>
            <w:vAlign w:val="bottom"/>
            <w:hideMark/>
          </w:tcPr>
          <w:p w14:paraId="71853EB2" w14:textId="5A35BA16" w:rsidR="006C1E6D" w:rsidRPr="00CF3E8B" w:rsidRDefault="006C1E6D" w:rsidP="006C1E6D">
            <w:pPr>
              <w:spacing w:after="0" w:line="240" w:lineRule="auto"/>
              <w:jc w:val="right"/>
              <w:rPr>
                <w:rFonts w:ascii="Calibri" w:eastAsia="Times New Roman" w:hAnsi="Calibri" w:cs="Calibri"/>
                <w:color w:val="9C0006"/>
                <w:lang w:eastAsia="en-GB"/>
              </w:rPr>
            </w:pPr>
            <w:r>
              <w:rPr>
                <w:rFonts w:ascii="Calibri" w:hAnsi="Calibri" w:cs="Calibri"/>
                <w:color w:val="9C0006"/>
              </w:rPr>
              <w:t>33</w:t>
            </w:r>
          </w:p>
        </w:tc>
      </w:tr>
      <w:tr w:rsidR="006C1E6D" w:rsidRPr="00CF3E8B" w14:paraId="434B68CA" w14:textId="77777777" w:rsidTr="005D25F7">
        <w:trPr>
          <w:trHeight w:val="158"/>
        </w:trPr>
        <w:tc>
          <w:tcPr>
            <w:tcW w:w="1413" w:type="dxa"/>
            <w:tcBorders>
              <w:top w:val="nil"/>
              <w:left w:val="single" w:sz="4" w:space="0" w:color="auto"/>
              <w:bottom w:val="single" w:sz="4" w:space="0" w:color="auto"/>
              <w:right w:val="nil"/>
            </w:tcBorders>
            <w:shd w:val="clear" w:color="auto" w:fill="auto"/>
            <w:vAlign w:val="bottom"/>
            <w:hideMark/>
          </w:tcPr>
          <w:p w14:paraId="1D750C8E" w14:textId="77777777" w:rsidR="006C1E6D" w:rsidRPr="00CF3E8B" w:rsidRDefault="006C1E6D" w:rsidP="006C1E6D">
            <w:pPr>
              <w:spacing w:after="0" w:line="240" w:lineRule="auto"/>
              <w:rPr>
                <w:rFonts w:ascii="Calibri" w:eastAsia="Times New Roman" w:hAnsi="Calibri" w:cs="Calibri"/>
                <w:lang w:eastAsia="en-GB"/>
              </w:rPr>
            </w:pPr>
            <w:r w:rsidRPr="00CF3E8B">
              <w:rPr>
                <w:rFonts w:ascii="Calibri" w:eastAsia="Times New Roman" w:hAnsi="Calibri" w:cs="Calibri"/>
                <w:lang w:eastAsia="en-GB"/>
              </w:rPr>
              <w:t>SSP2-2C-UA</w:t>
            </w:r>
          </w:p>
        </w:tc>
        <w:tc>
          <w:tcPr>
            <w:tcW w:w="1984" w:type="dxa"/>
            <w:tcBorders>
              <w:top w:val="nil"/>
              <w:left w:val="nil"/>
              <w:bottom w:val="single" w:sz="4" w:space="0" w:color="auto"/>
              <w:right w:val="nil"/>
            </w:tcBorders>
            <w:shd w:val="clear" w:color="auto" w:fill="auto"/>
            <w:vAlign w:val="bottom"/>
            <w:hideMark/>
          </w:tcPr>
          <w:p w14:paraId="2E6F6154" w14:textId="77777777" w:rsidR="006C1E6D" w:rsidRPr="00CF3E8B" w:rsidRDefault="006C1E6D" w:rsidP="006C1E6D">
            <w:pPr>
              <w:spacing w:after="0" w:line="240" w:lineRule="auto"/>
              <w:rPr>
                <w:rFonts w:ascii="Calibri" w:eastAsia="Times New Roman" w:hAnsi="Calibri" w:cs="Calibri"/>
                <w:lang w:eastAsia="en-GB"/>
              </w:rPr>
            </w:pPr>
            <w:r w:rsidRPr="00CF3E8B">
              <w:rPr>
                <w:rFonts w:ascii="Calibri" w:eastAsia="Times New Roman" w:hAnsi="Calibri" w:cs="Calibri"/>
                <w:lang w:eastAsia="en-GB"/>
              </w:rPr>
              <w:t>UA with climate mitigation</w:t>
            </w:r>
          </w:p>
        </w:tc>
        <w:tc>
          <w:tcPr>
            <w:tcW w:w="1276" w:type="dxa"/>
            <w:tcBorders>
              <w:top w:val="nil"/>
              <w:left w:val="nil"/>
              <w:bottom w:val="single" w:sz="4" w:space="0" w:color="auto"/>
              <w:right w:val="nil"/>
            </w:tcBorders>
            <w:shd w:val="clear" w:color="000000" w:fill="FFEB9C"/>
            <w:noWrap/>
            <w:vAlign w:val="bottom"/>
            <w:hideMark/>
          </w:tcPr>
          <w:p w14:paraId="01F5A0C5" w14:textId="1DA9AE48" w:rsidR="006C1E6D" w:rsidRPr="00CF3E8B" w:rsidRDefault="006C1E6D" w:rsidP="006C1E6D">
            <w:pPr>
              <w:spacing w:after="0" w:line="240" w:lineRule="auto"/>
              <w:jc w:val="right"/>
              <w:rPr>
                <w:rFonts w:ascii="Calibri" w:eastAsia="Times New Roman" w:hAnsi="Calibri" w:cs="Calibri"/>
                <w:color w:val="9C5700"/>
                <w:lang w:eastAsia="en-GB"/>
              </w:rPr>
            </w:pPr>
            <w:r>
              <w:rPr>
                <w:rFonts w:ascii="Calibri" w:hAnsi="Calibri" w:cs="Calibri"/>
                <w:color w:val="9C5700"/>
              </w:rPr>
              <w:t>144</w:t>
            </w:r>
          </w:p>
        </w:tc>
        <w:tc>
          <w:tcPr>
            <w:tcW w:w="1559" w:type="dxa"/>
            <w:tcBorders>
              <w:top w:val="nil"/>
              <w:left w:val="nil"/>
              <w:bottom w:val="single" w:sz="4" w:space="0" w:color="auto"/>
              <w:right w:val="nil"/>
            </w:tcBorders>
            <w:shd w:val="clear" w:color="000000" w:fill="C6EFCE"/>
            <w:noWrap/>
            <w:vAlign w:val="bottom"/>
            <w:hideMark/>
          </w:tcPr>
          <w:p w14:paraId="47256375" w14:textId="52976C41" w:rsidR="006C1E6D" w:rsidRPr="00CF3E8B" w:rsidRDefault="006C1E6D" w:rsidP="006C1E6D">
            <w:pPr>
              <w:spacing w:after="0" w:line="240" w:lineRule="auto"/>
              <w:jc w:val="right"/>
              <w:rPr>
                <w:rFonts w:ascii="Calibri" w:eastAsia="Times New Roman" w:hAnsi="Calibri" w:cs="Calibri"/>
                <w:color w:val="006100"/>
                <w:lang w:eastAsia="en-GB"/>
              </w:rPr>
            </w:pPr>
            <w:r>
              <w:rPr>
                <w:rFonts w:ascii="Calibri" w:hAnsi="Calibri" w:cs="Calibri"/>
                <w:color w:val="006100"/>
              </w:rPr>
              <w:t>62</w:t>
            </w:r>
          </w:p>
        </w:tc>
        <w:tc>
          <w:tcPr>
            <w:tcW w:w="1418" w:type="dxa"/>
            <w:tcBorders>
              <w:top w:val="nil"/>
              <w:left w:val="nil"/>
              <w:bottom w:val="single" w:sz="4" w:space="0" w:color="auto"/>
              <w:right w:val="nil"/>
            </w:tcBorders>
            <w:shd w:val="clear" w:color="000000" w:fill="C6EFCE"/>
            <w:noWrap/>
            <w:vAlign w:val="bottom"/>
            <w:hideMark/>
          </w:tcPr>
          <w:p w14:paraId="00655AB3" w14:textId="0442FBFB" w:rsidR="006C1E6D" w:rsidRPr="00CF3E8B" w:rsidRDefault="006C1E6D" w:rsidP="006C1E6D">
            <w:pPr>
              <w:spacing w:after="0" w:line="240" w:lineRule="auto"/>
              <w:jc w:val="right"/>
              <w:rPr>
                <w:rFonts w:ascii="Calibri" w:eastAsia="Times New Roman" w:hAnsi="Calibri" w:cs="Calibri"/>
                <w:color w:val="006100"/>
                <w:lang w:eastAsia="en-GB"/>
              </w:rPr>
            </w:pPr>
            <w:r>
              <w:rPr>
                <w:rFonts w:ascii="Calibri" w:hAnsi="Calibri" w:cs="Calibri"/>
                <w:color w:val="006100"/>
              </w:rPr>
              <w:t>31</w:t>
            </w:r>
          </w:p>
        </w:tc>
        <w:tc>
          <w:tcPr>
            <w:tcW w:w="1134" w:type="dxa"/>
            <w:tcBorders>
              <w:top w:val="nil"/>
              <w:left w:val="nil"/>
              <w:bottom w:val="single" w:sz="4" w:space="0" w:color="auto"/>
              <w:right w:val="nil"/>
            </w:tcBorders>
            <w:shd w:val="clear" w:color="000000" w:fill="FFC7CE"/>
            <w:noWrap/>
            <w:vAlign w:val="bottom"/>
            <w:hideMark/>
          </w:tcPr>
          <w:p w14:paraId="4B552B51" w14:textId="04F12B0B" w:rsidR="006C1E6D" w:rsidRPr="00CF3E8B" w:rsidRDefault="006C1E6D" w:rsidP="006C1E6D">
            <w:pPr>
              <w:spacing w:after="0" w:line="240" w:lineRule="auto"/>
              <w:jc w:val="right"/>
              <w:rPr>
                <w:rFonts w:ascii="Calibri" w:eastAsia="Times New Roman" w:hAnsi="Calibri" w:cs="Calibri"/>
                <w:color w:val="9C0006"/>
                <w:lang w:eastAsia="en-GB"/>
              </w:rPr>
            </w:pPr>
            <w:r>
              <w:rPr>
                <w:rFonts w:ascii="Calibri" w:hAnsi="Calibri" w:cs="Calibri"/>
                <w:color w:val="9C0006"/>
              </w:rPr>
              <w:t>177</w:t>
            </w:r>
          </w:p>
        </w:tc>
        <w:tc>
          <w:tcPr>
            <w:tcW w:w="1578" w:type="dxa"/>
            <w:tcBorders>
              <w:top w:val="nil"/>
              <w:left w:val="nil"/>
              <w:bottom w:val="single" w:sz="4" w:space="0" w:color="auto"/>
              <w:right w:val="nil"/>
            </w:tcBorders>
            <w:shd w:val="clear" w:color="000000" w:fill="FFC7CE"/>
            <w:noWrap/>
            <w:vAlign w:val="bottom"/>
            <w:hideMark/>
          </w:tcPr>
          <w:p w14:paraId="1D6B954D" w14:textId="16488D3D" w:rsidR="006C1E6D" w:rsidRPr="00CF3E8B" w:rsidRDefault="006C1E6D" w:rsidP="006C1E6D">
            <w:pPr>
              <w:spacing w:after="0" w:line="240" w:lineRule="auto"/>
              <w:jc w:val="right"/>
              <w:rPr>
                <w:rFonts w:ascii="Calibri" w:eastAsia="Times New Roman" w:hAnsi="Calibri" w:cs="Calibri"/>
                <w:color w:val="9C0006"/>
                <w:lang w:eastAsia="en-GB"/>
              </w:rPr>
            </w:pPr>
            <w:r>
              <w:rPr>
                <w:rFonts w:ascii="Calibri" w:hAnsi="Calibri" w:cs="Calibri"/>
                <w:color w:val="9C0006"/>
              </w:rPr>
              <w:t>38</w:t>
            </w:r>
          </w:p>
        </w:tc>
      </w:tr>
      <w:tr w:rsidR="006C1E6D" w:rsidRPr="00CF3E8B" w14:paraId="4A75A175" w14:textId="77777777" w:rsidTr="005D25F7">
        <w:trPr>
          <w:trHeight w:val="158"/>
        </w:trPr>
        <w:tc>
          <w:tcPr>
            <w:tcW w:w="1413" w:type="dxa"/>
            <w:tcBorders>
              <w:top w:val="nil"/>
              <w:left w:val="single" w:sz="4" w:space="0" w:color="auto"/>
              <w:bottom w:val="single" w:sz="4" w:space="0" w:color="auto"/>
              <w:right w:val="nil"/>
            </w:tcBorders>
            <w:shd w:val="clear" w:color="auto" w:fill="auto"/>
            <w:vAlign w:val="bottom"/>
          </w:tcPr>
          <w:p w14:paraId="3EFFE19A" w14:textId="77777777" w:rsidR="006C1E6D" w:rsidRPr="00CF3E8B" w:rsidRDefault="006C1E6D" w:rsidP="006C1E6D">
            <w:pPr>
              <w:spacing w:after="0" w:line="240" w:lineRule="auto"/>
              <w:rPr>
                <w:rFonts w:ascii="Calibri" w:eastAsia="Times New Roman" w:hAnsi="Calibri" w:cs="Calibri"/>
                <w:lang w:eastAsia="en-GB"/>
              </w:rPr>
            </w:pPr>
            <w:r w:rsidRPr="00CF3E8B">
              <w:rPr>
                <w:rFonts w:ascii="Calibri" w:eastAsia="Times New Roman" w:hAnsi="Calibri" w:cs="Calibri"/>
                <w:lang w:eastAsia="en-GB"/>
              </w:rPr>
              <w:t>SSP2-UA-DLS</w:t>
            </w:r>
          </w:p>
        </w:tc>
        <w:tc>
          <w:tcPr>
            <w:tcW w:w="1984" w:type="dxa"/>
            <w:tcBorders>
              <w:top w:val="nil"/>
              <w:left w:val="nil"/>
              <w:bottom w:val="single" w:sz="4" w:space="0" w:color="auto"/>
              <w:right w:val="nil"/>
            </w:tcBorders>
            <w:shd w:val="clear" w:color="auto" w:fill="auto"/>
            <w:vAlign w:val="bottom"/>
          </w:tcPr>
          <w:p w14:paraId="797EB113" w14:textId="77777777" w:rsidR="006C1E6D" w:rsidRPr="00CF3E8B" w:rsidRDefault="006C1E6D" w:rsidP="006C1E6D">
            <w:pPr>
              <w:spacing w:after="0" w:line="240" w:lineRule="auto"/>
              <w:rPr>
                <w:rFonts w:ascii="Calibri" w:eastAsia="Times New Roman" w:hAnsi="Calibri" w:cs="Calibri"/>
                <w:lang w:eastAsia="en-GB"/>
              </w:rPr>
            </w:pPr>
            <w:r w:rsidRPr="00CF3E8B">
              <w:rPr>
                <w:rFonts w:ascii="Calibri" w:eastAsia="Times New Roman" w:hAnsi="Calibri" w:cs="Calibri"/>
                <w:lang w:eastAsia="en-GB"/>
              </w:rPr>
              <w:t>UA and ensures decent living standard levels (DLS)</w:t>
            </w:r>
          </w:p>
        </w:tc>
        <w:tc>
          <w:tcPr>
            <w:tcW w:w="1276" w:type="dxa"/>
            <w:tcBorders>
              <w:top w:val="nil"/>
              <w:left w:val="nil"/>
              <w:bottom w:val="single" w:sz="4" w:space="0" w:color="auto"/>
              <w:right w:val="nil"/>
            </w:tcBorders>
            <w:shd w:val="clear" w:color="000000" w:fill="FFEB9C"/>
            <w:noWrap/>
            <w:vAlign w:val="bottom"/>
          </w:tcPr>
          <w:p w14:paraId="0C5C27D5" w14:textId="76553D9C" w:rsidR="006C1E6D" w:rsidRPr="00CF3E8B" w:rsidRDefault="006C1E6D" w:rsidP="006C1E6D">
            <w:pPr>
              <w:spacing w:after="0" w:line="240" w:lineRule="auto"/>
              <w:jc w:val="right"/>
              <w:rPr>
                <w:rFonts w:ascii="Calibri" w:eastAsia="Times New Roman" w:hAnsi="Calibri" w:cs="Calibri"/>
                <w:color w:val="9C5700"/>
                <w:lang w:eastAsia="en-GB"/>
              </w:rPr>
            </w:pPr>
            <w:r>
              <w:rPr>
                <w:rFonts w:ascii="Calibri" w:hAnsi="Calibri" w:cs="Calibri"/>
                <w:color w:val="9C5700"/>
              </w:rPr>
              <w:t>569</w:t>
            </w:r>
          </w:p>
        </w:tc>
        <w:tc>
          <w:tcPr>
            <w:tcW w:w="1559" w:type="dxa"/>
            <w:tcBorders>
              <w:top w:val="nil"/>
              <w:left w:val="nil"/>
              <w:bottom w:val="single" w:sz="4" w:space="0" w:color="auto"/>
              <w:right w:val="nil"/>
            </w:tcBorders>
            <w:shd w:val="clear" w:color="000000" w:fill="C6EFCE"/>
            <w:noWrap/>
            <w:vAlign w:val="bottom"/>
          </w:tcPr>
          <w:p w14:paraId="4670C8A8" w14:textId="37F723FC" w:rsidR="006C1E6D" w:rsidRPr="00CF3E8B" w:rsidRDefault="006C1E6D" w:rsidP="006C1E6D">
            <w:pPr>
              <w:spacing w:after="0" w:line="240" w:lineRule="auto"/>
              <w:jc w:val="right"/>
              <w:rPr>
                <w:rFonts w:ascii="Calibri" w:eastAsia="Times New Roman" w:hAnsi="Calibri" w:cs="Calibri"/>
                <w:color w:val="006100"/>
                <w:lang w:eastAsia="en-GB"/>
              </w:rPr>
            </w:pPr>
            <w:r>
              <w:rPr>
                <w:rFonts w:ascii="Calibri" w:hAnsi="Calibri" w:cs="Calibri"/>
                <w:color w:val="006100"/>
              </w:rPr>
              <w:t>47</w:t>
            </w:r>
          </w:p>
        </w:tc>
        <w:tc>
          <w:tcPr>
            <w:tcW w:w="1418" w:type="dxa"/>
            <w:tcBorders>
              <w:top w:val="nil"/>
              <w:left w:val="nil"/>
              <w:bottom w:val="single" w:sz="4" w:space="0" w:color="auto"/>
              <w:right w:val="nil"/>
            </w:tcBorders>
            <w:shd w:val="clear" w:color="000000" w:fill="C6EFCE"/>
            <w:noWrap/>
            <w:vAlign w:val="bottom"/>
          </w:tcPr>
          <w:p w14:paraId="6FCEAA4C" w14:textId="01245D5C" w:rsidR="006C1E6D" w:rsidRPr="00CF3E8B" w:rsidRDefault="006C1E6D" w:rsidP="006C1E6D">
            <w:pPr>
              <w:spacing w:after="0" w:line="240" w:lineRule="auto"/>
              <w:jc w:val="right"/>
              <w:rPr>
                <w:rFonts w:ascii="Calibri" w:eastAsia="Times New Roman" w:hAnsi="Calibri" w:cs="Calibri"/>
                <w:color w:val="006100"/>
                <w:lang w:eastAsia="en-GB"/>
              </w:rPr>
            </w:pPr>
            <w:r>
              <w:rPr>
                <w:rFonts w:ascii="Calibri" w:hAnsi="Calibri" w:cs="Calibri"/>
                <w:color w:val="006100"/>
              </w:rPr>
              <w:t>149</w:t>
            </w:r>
          </w:p>
        </w:tc>
        <w:tc>
          <w:tcPr>
            <w:tcW w:w="1134" w:type="dxa"/>
            <w:tcBorders>
              <w:top w:val="nil"/>
              <w:left w:val="nil"/>
              <w:bottom w:val="single" w:sz="4" w:space="0" w:color="auto"/>
              <w:right w:val="nil"/>
            </w:tcBorders>
            <w:shd w:val="clear" w:color="000000" w:fill="FFC7CE"/>
            <w:noWrap/>
            <w:vAlign w:val="bottom"/>
          </w:tcPr>
          <w:p w14:paraId="66681A92" w14:textId="01BA4DC3" w:rsidR="006C1E6D" w:rsidRPr="00CF3E8B" w:rsidRDefault="006C1E6D" w:rsidP="006C1E6D">
            <w:pPr>
              <w:spacing w:after="0" w:line="240" w:lineRule="auto"/>
              <w:jc w:val="right"/>
              <w:rPr>
                <w:rFonts w:ascii="Calibri" w:eastAsia="Times New Roman" w:hAnsi="Calibri" w:cs="Calibri"/>
                <w:color w:val="9C0006"/>
                <w:lang w:eastAsia="en-GB"/>
              </w:rPr>
            </w:pPr>
            <w:r>
              <w:rPr>
                <w:rFonts w:ascii="Calibri" w:hAnsi="Calibri" w:cs="Calibri"/>
                <w:color w:val="9C0006"/>
              </w:rPr>
              <w:t>140</w:t>
            </w:r>
          </w:p>
        </w:tc>
        <w:tc>
          <w:tcPr>
            <w:tcW w:w="1578" w:type="dxa"/>
            <w:tcBorders>
              <w:top w:val="nil"/>
              <w:left w:val="nil"/>
              <w:bottom w:val="single" w:sz="4" w:space="0" w:color="auto"/>
              <w:right w:val="nil"/>
            </w:tcBorders>
            <w:shd w:val="clear" w:color="000000" w:fill="FFC7CE"/>
            <w:noWrap/>
            <w:vAlign w:val="bottom"/>
          </w:tcPr>
          <w:p w14:paraId="42D041B5" w14:textId="08AC866F" w:rsidR="006C1E6D" w:rsidRPr="00CF3E8B" w:rsidRDefault="006C1E6D" w:rsidP="006C1E6D">
            <w:pPr>
              <w:spacing w:after="0" w:line="240" w:lineRule="auto"/>
              <w:jc w:val="right"/>
              <w:rPr>
                <w:rFonts w:ascii="Calibri" w:eastAsia="Times New Roman" w:hAnsi="Calibri" w:cs="Calibri"/>
                <w:color w:val="9C0006"/>
                <w:lang w:eastAsia="en-GB"/>
              </w:rPr>
            </w:pPr>
            <w:r>
              <w:rPr>
                <w:rFonts w:ascii="Calibri" w:hAnsi="Calibri" w:cs="Calibri"/>
                <w:color w:val="9C0006"/>
              </w:rPr>
              <w:t>86</w:t>
            </w:r>
          </w:p>
        </w:tc>
      </w:tr>
      <w:tr w:rsidR="006C1E6D" w:rsidRPr="00CF3E8B" w14:paraId="0884E2B5" w14:textId="77777777" w:rsidTr="005D25F7">
        <w:trPr>
          <w:trHeight w:val="315"/>
        </w:trPr>
        <w:tc>
          <w:tcPr>
            <w:tcW w:w="1413" w:type="dxa"/>
            <w:tcBorders>
              <w:top w:val="nil"/>
              <w:left w:val="single" w:sz="4" w:space="0" w:color="auto"/>
              <w:bottom w:val="single" w:sz="4" w:space="0" w:color="auto"/>
              <w:right w:val="nil"/>
            </w:tcBorders>
            <w:shd w:val="clear" w:color="auto" w:fill="auto"/>
            <w:vAlign w:val="bottom"/>
            <w:hideMark/>
          </w:tcPr>
          <w:p w14:paraId="1DBFE424" w14:textId="77777777" w:rsidR="006C1E6D" w:rsidRPr="00CF3E8B" w:rsidRDefault="006C1E6D" w:rsidP="006C1E6D">
            <w:pPr>
              <w:spacing w:after="0" w:line="240" w:lineRule="auto"/>
              <w:rPr>
                <w:rFonts w:ascii="Calibri" w:eastAsia="Times New Roman" w:hAnsi="Calibri" w:cs="Calibri"/>
                <w:lang w:eastAsia="en-GB"/>
              </w:rPr>
            </w:pPr>
            <w:r w:rsidRPr="00CF3E8B">
              <w:rPr>
                <w:rFonts w:ascii="Calibri" w:eastAsia="Times New Roman" w:hAnsi="Calibri" w:cs="Calibri"/>
                <w:lang w:eastAsia="en-GB"/>
              </w:rPr>
              <w:t>SSP2-2C-UA-DLS</w:t>
            </w:r>
          </w:p>
        </w:tc>
        <w:tc>
          <w:tcPr>
            <w:tcW w:w="1984" w:type="dxa"/>
            <w:tcBorders>
              <w:top w:val="nil"/>
              <w:left w:val="nil"/>
              <w:bottom w:val="single" w:sz="4" w:space="0" w:color="auto"/>
              <w:right w:val="nil"/>
            </w:tcBorders>
            <w:shd w:val="clear" w:color="auto" w:fill="auto"/>
            <w:vAlign w:val="bottom"/>
            <w:hideMark/>
          </w:tcPr>
          <w:p w14:paraId="659FFC5D" w14:textId="77777777" w:rsidR="006C1E6D" w:rsidRPr="00CF3E8B" w:rsidRDefault="006C1E6D" w:rsidP="006C1E6D">
            <w:pPr>
              <w:spacing w:after="0" w:line="240" w:lineRule="auto"/>
              <w:rPr>
                <w:rFonts w:ascii="Calibri" w:eastAsia="Times New Roman" w:hAnsi="Calibri" w:cs="Calibri"/>
                <w:lang w:eastAsia="en-GB"/>
              </w:rPr>
            </w:pPr>
            <w:r w:rsidRPr="00CF3E8B">
              <w:rPr>
                <w:rFonts w:ascii="Calibri" w:eastAsia="Times New Roman" w:hAnsi="Calibri" w:cs="Calibri"/>
                <w:lang w:eastAsia="en-GB"/>
              </w:rPr>
              <w:t>UA with climate mitigation and ensures DLS</w:t>
            </w:r>
          </w:p>
        </w:tc>
        <w:tc>
          <w:tcPr>
            <w:tcW w:w="1276" w:type="dxa"/>
            <w:tcBorders>
              <w:top w:val="nil"/>
              <w:left w:val="nil"/>
              <w:bottom w:val="single" w:sz="4" w:space="0" w:color="auto"/>
              <w:right w:val="nil"/>
            </w:tcBorders>
            <w:shd w:val="clear" w:color="000000" w:fill="FFEB9C"/>
            <w:noWrap/>
            <w:vAlign w:val="bottom"/>
            <w:hideMark/>
          </w:tcPr>
          <w:p w14:paraId="45A159F8" w14:textId="7A6123C9" w:rsidR="006C1E6D" w:rsidRPr="00CF3E8B" w:rsidRDefault="006C1E6D" w:rsidP="006C1E6D">
            <w:pPr>
              <w:spacing w:after="0" w:line="240" w:lineRule="auto"/>
              <w:jc w:val="right"/>
              <w:rPr>
                <w:rFonts w:ascii="Calibri" w:eastAsia="Times New Roman" w:hAnsi="Calibri" w:cs="Calibri"/>
                <w:color w:val="9C5700"/>
                <w:lang w:eastAsia="en-GB"/>
              </w:rPr>
            </w:pPr>
            <w:r>
              <w:rPr>
                <w:rFonts w:ascii="Calibri" w:hAnsi="Calibri" w:cs="Calibri"/>
                <w:color w:val="9C5700"/>
              </w:rPr>
              <w:t>569</w:t>
            </w:r>
          </w:p>
        </w:tc>
        <w:tc>
          <w:tcPr>
            <w:tcW w:w="1559" w:type="dxa"/>
            <w:tcBorders>
              <w:top w:val="nil"/>
              <w:left w:val="nil"/>
              <w:bottom w:val="single" w:sz="4" w:space="0" w:color="auto"/>
              <w:right w:val="nil"/>
            </w:tcBorders>
            <w:shd w:val="clear" w:color="000000" w:fill="C6EFCE"/>
            <w:noWrap/>
            <w:vAlign w:val="bottom"/>
            <w:hideMark/>
          </w:tcPr>
          <w:p w14:paraId="5A05654B" w14:textId="482D94A2" w:rsidR="006C1E6D" w:rsidRPr="00CF3E8B" w:rsidRDefault="006C1E6D" w:rsidP="006C1E6D">
            <w:pPr>
              <w:spacing w:after="0" w:line="240" w:lineRule="auto"/>
              <w:jc w:val="right"/>
              <w:rPr>
                <w:rFonts w:ascii="Calibri" w:eastAsia="Times New Roman" w:hAnsi="Calibri" w:cs="Calibri"/>
                <w:color w:val="006100"/>
                <w:lang w:eastAsia="en-GB"/>
              </w:rPr>
            </w:pPr>
            <w:r>
              <w:rPr>
                <w:rFonts w:ascii="Calibri" w:hAnsi="Calibri" w:cs="Calibri"/>
                <w:color w:val="006100"/>
              </w:rPr>
              <w:t>61</w:t>
            </w:r>
          </w:p>
        </w:tc>
        <w:tc>
          <w:tcPr>
            <w:tcW w:w="1418" w:type="dxa"/>
            <w:tcBorders>
              <w:top w:val="nil"/>
              <w:left w:val="nil"/>
              <w:bottom w:val="single" w:sz="4" w:space="0" w:color="auto"/>
              <w:right w:val="nil"/>
            </w:tcBorders>
            <w:shd w:val="clear" w:color="000000" w:fill="C6EFCE"/>
            <w:noWrap/>
            <w:vAlign w:val="bottom"/>
            <w:hideMark/>
          </w:tcPr>
          <w:p w14:paraId="1C0BE529" w14:textId="3746396C" w:rsidR="006C1E6D" w:rsidRPr="00CF3E8B" w:rsidRDefault="006C1E6D" w:rsidP="006C1E6D">
            <w:pPr>
              <w:spacing w:after="0" w:line="240" w:lineRule="auto"/>
              <w:jc w:val="right"/>
              <w:rPr>
                <w:rFonts w:ascii="Calibri" w:eastAsia="Times New Roman" w:hAnsi="Calibri" w:cs="Calibri"/>
                <w:color w:val="006100"/>
                <w:lang w:eastAsia="en-GB"/>
              </w:rPr>
            </w:pPr>
            <w:r>
              <w:rPr>
                <w:rFonts w:ascii="Calibri" w:hAnsi="Calibri" w:cs="Calibri"/>
                <w:color w:val="006100"/>
              </w:rPr>
              <w:t>88</w:t>
            </w:r>
          </w:p>
        </w:tc>
        <w:tc>
          <w:tcPr>
            <w:tcW w:w="1134" w:type="dxa"/>
            <w:tcBorders>
              <w:top w:val="nil"/>
              <w:left w:val="nil"/>
              <w:bottom w:val="single" w:sz="4" w:space="0" w:color="auto"/>
              <w:right w:val="nil"/>
            </w:tcBorders>
            <w:shd w:val="clear" w:color="000000" w:fill="FFC7CE"/>
            <w:noWrap/>
            <w:vAlign w:val="bottom"/>
            <w:hideMark/>
          </w:tcPr>
          <w:p w14:paraId="0F63137D" w14:textId="0A1565F9" w:rsidR="006C1E6D" w:rsidRPr="00CF3E8B" w:rsidRDefault="006C1E6D" w:rsidP="006C1E6D">
            <w:pPr>
              <w:spacing w:after="0" w:line="240" w:lineRule="auto"/>
              <w:jc w:val="right"/>
              <w:rPr>
                <w:rFonts w:ascii="Calibri" w:eastAsia="Times New Roman" w:hAnsi="Calibri" w:cs="Calibri"/>
                <w:color w:val="9C0006"/>
                <w:lang w:eastAsia="en-GB"/>
              </w:rPr>
            </w:pPr>
            <w:r>
              <w:rPr>
                <w:rFonts w:ascii="Calibri" w:hAnsi="Calibri" w:cs="Calibri"/>
                <w:color w:val="9C0006"/>
              </w:rPr>
              <w:t>169</w:t>
            </w:r>
          </w:p>
        </w:tc>
        <w:tc>
          <w:tcPr>
            <w:tcW w:w="1578" w:type="dxa"/>
            <w:tcBorders>
              <w:top w:val="nil"/>
              <w:left w:val="nil"/>
              <w:bottom w:val="single" w:sz="4" w:space="0" w:color="auto"/>
              <w:right w:val="nil"/>
            </w:tcBorders>
            <w:shd w:val="clear" w:color="000000" w:fill="FFC7CE"/>
            <w:noWrap/>
            <w:vAlign w:val="bottom"/>
            <w:hideMark/>
          </w:tcPr>
          <w:p w14:paraId="66EF61B9" w14:textId="7B337A98" w:rsidR="006C1E6D" w:rsidRPr="00CF3E8B" w:rsidRDefault="006C1E6D" w:rsidP="006C1E6D">
            <w:pPr>
              <w:spacing w:after="0" w:line="240" w:lineRule="auto"/>
              <w:jc w:val="right"/>
              <w:rPr>
                <w:rFonts w:ascii="Calibri" w:eastAsia="Times New Roman" w:hAnsi="Calibri" w:cs="Calibri"/>
                <w:color w:val="9C0006"/>
                <w:lang w:eastAsia="en-GB"/>
              </w:rPr>
            </w:pPr>
            <w:r>
              <w:rPr>
                <w:rFonts w:ascii="Calibri" w:hAnsi="Calibri" w:cs="Calibri"/>
                <w:color w:val="9C0006"/>
              </w:rPr>
              <w:t>102</w:t>
            </w:r>
          </w:p>
        </w:tc>
      </w:tr>
    </w:tbl>
    <w:p w14:paraId="3B5DBD93" w14:textId="6C36C906" w:rsidR="0033375E" w:rsidRDefault="0033375E" w:rsidP="00103073">
      <w:pPr>
        <w:spacing w:after="0" w:line="240" w:lineRule="auto"/>
        <w:rPr>
          <w:rFonts w:ascii="Calibri" w:eastAsia="Times New Roman" w:hAnsi="Calibri" w:cs="Calibri"/>
          <w:color w:val="000000"/>
          <w:lang w:eastAsia="en-GB"/>
        </w:rPr>
      </w:pPr>
    </w:p>
    <w:p w14:paraId="0CCAD5F5" w14:textId="2463F6EF" w:rsidR="00C86446" w:rsidRDefault="00C86446" w:rsidP="00103073">
      <w:pPr>
        <w:spacing w:after="0" w:line="240" w:lineRule="auto"/>
        <w:rPr>
          <w:rFonts w:ascii="Calibri" w:eastAsia="Times New Roman" w:hAnsi="Calibri" w:cs="Calibri"/>
          <w:color w:val="000000"/>
          <w:lang w:eastAsia="en-GB"/>
        </w:rPr>
      </w:pPr>
    </w:p>
    <w:p w14:paraId="05E94C88" w14:textId="77777777" w:rsidR="001762BF" w:rsidRDefault="001762BF" w:rsidP="00103073">
      <w:pPr>
        <w:spacing w:after="0" w:line="240" w:lineRule="auto"/>
        <w:rPr>
          <w:rFonts w:ascii="Calibri" w:eastAsia="Times New Roman" w:hAnsi="Calibri" w:cs="Calibri"/>
          <w:color w:val="000000"/>
          <w:lang w:eastAsia="en-GB"/>
        </w:rPr>
      </w:pPr>
    </w:p>
    <w:p w14:paraId="22F8569E" w14:textId="3B292FBB" w:rsidR="001762BF" w:rsidRDefault="001762BF" w:rsidP="001762BF">
      <w:pPr>
        <w:pStyle w:val="Caption"/>
        <w:keepNext/>
      </w:pPr>
      <w:r>
        <w:t xml:space="preserve">Table </w:t>
      </w:r>
      <w:r w:rsidR="00CD64E2">
        <w:t>A</w:t>
      </w:r>
      <w:fldSimple w:instr=" SEQ Table \* ARABIC ">
        <w:r>
          <w:rPr>
            <w:noProof/>
          </w:rPr>
          <w:t>2</w:t>
        </w:r>
      </w:fldSimple>
      <w:r>
        <w:t xml:space="preserve"> </w:t>
      </w:r>
      <w:r w:rsidR="0060782C">
        <w:t xml:space="preserve">The </w:t>
      </w:r>
      <w:r w:rsidR="00430242">
        <w:t>annual region</w:t>
      </w:r>
      <w:r w:rsidR="007C7532">
        <w:t>al i</w:t>
      </w:r>
      <w:r>
        <w:t xml:space="preserve">nvestment for electrification </w:t>
      </w:r>
      <w:r w:rsidR="0060782C">
        <w:t xml:space="preserve">until 2030 </w:t>
      </w:r>
      <w:r>
        <w:t>for the scenarios analysed</w:t>
      </w:r>
    </w:p>
    <w:tbl>
      <w:tblPr>
        <w:tblStyle w:val="GridTable7Colorful-Accent2"/>
        <w:tblW w:w="10067" w:type="dxa"/>
        <w:tblLook w:val="04A0" w:firstRow="1" w:lastRow="0" w:firstColumn="1" w:lastColumn="0" w:noHBand="0" w:noVBand="1"/>
      </w:tblPr>
      <w:tblGrid>
        <w:gridCol w:w="2500"/>
        <w:gridCol w:w="1033"/>
        <w:gridCol w:w="1116"/>
        <w:gridCol w:w="1670"/>
        <w:gridCol w:w="1670"/>
        <w:gridCol w:w="2078"/>
      </w:tblGrid>
      <w:tr w:rsidR="00125DF3" w:rsidRPr="003A5A47" w14:paraId="6AF0F240" w14:textId="77777777" w:rsidTr="0024262D">
        <w:trPr>
          <w:cnfStyle w:val="100000000000" w:firstRow="1" w:lastRow="0" w:firstColumn="0" w:lastColumn="0" w:oddVBand="0" w:evenVBand="0" w:oddHBand="0" w:evenHBand="0" w:firstRowFirstColumn="0" w:firstRowLastColumn="0" w:lastRowFirstColumn="0" w:lastRowLastColumn="0"/>
          <w:trHeight w:val="315"/>
        </w:trPr>
        <w:tc>
          <w:tcPr>
            <w:cnfStyle w:val="001000000100" w:firstRow="0" w:lastRow="0" w:firstColumn="1" w:lastColumn="0" w:oddVBand="0" w:evenVBand="0" w:oddHBand="0" w:evenHBand="0" w:firstRowFirstColumn="1" w:firstRowLastColumn="0" w:lastRowFirstColumn="0" w:lastRowLastColumn="0"/>
            <w:tcW w:w="2500" w:type="dxa"/>
            <w:noWrap/>
            <w:hideMark/>
          </w:tcPr>
          <w:p w14:paraId="22668EF1" w14:textId="77777777" w:rsidR="00125DF3" w:rsidRPr="003A5A47" w:rsidRDefault="00125DF3" w:rsidP="003A5A47">
            <w:pPr>
              <w:rPr>
                <w:rFonts w:ascii="Times New Roman" w:eastAsia="Times New Roman" w:hAnsi="Times New Roman" w:cs="Times New Roman"/>
                <w:sz w:val="24"/>
                <w:szCs w:val="24"/>
                <w:lang w:eastAsia="en-GB"/>
              </w:rPr>
            </w:pPr>
          </w:p>
        </w:tc>
        <w:tc>
          <w:tcPr>
            <w:tcW w:w="7567" w:type="dxa"/>
            <w:gridSpan w:val="5"/>
          </w:tcPr>
          <w:p w14:paraId="572AB930" w14:textId="3F220964" w:rsidR="00125DF3" w:rsidRPr="00A30DCD" w:rsidRDefault="00A30DCD" w:rsidP="00A30DC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rPr>
            </w:pPr>
            <w:r>
              <w:rPr>
                <w:rFonts w:ascii="Calibri" w:hAnsi="Calibri" w:cs="Calibri"/>
                <w:color w:val="000000"/>
              </w:rPr>
              <w:t xml:space="preserve">Regional annual investment required </w:t>
            </w:r>
            <w:r w:rsidR="00FA191B">
              <w:rPr>
                <w:rFonts w:ascii="Calibri" w:hAnsi="Calibri" w:cs="Calibri"/>
                <w:color w:val="000000"/>
              </w:rPr>
              <w:t>until 2030</w:t>
            </w:r>
            <w:r>
              <w:rPr>
                <w:rFonts w:ascii="Calibri" w:hAnsi="Calibri" w:cs="Calibri"/>
                <w:color w:val="000000"/>
              </w:rPr>
              <w:t xml:space="preserve">  (Billion $/year)</w:t>
            </w:r>
          </w:p>
        </w:tc>
      </w:tr>
      <w:tr w:rsidR="00125DF3" w:rsidRPr="003A5A47" w14:paraId="783AE79B" w14:textId="77777777" w:rsidTr="0024262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00" w:type="dxa"/>
            <w:noWrap/>
            <w:hideMark/>
          </w:tcPr>
          <w:p w14:paraId="388A67E7" w14:textId="77777777" w:rsidR="00125DF3" w:rsidRPr="003A5A47" w:rsidRDefault="00125DF3" w:rsidP="00125DF3">
            <w:pPr>
              <w:rPr>
                <w:rFonts w:ascii="Calibri" w:eastAsia="Times New Roman" w:hAnsi="Calibri" w:cs="Calibri"/>
                <w:b/>
                <w:bCs/>
                <w:color w:val="FFFFFF"/>
                <w:lang w:eastAsia="en-GB"/>
              </w:rPr>
            </w:pPr>
            <w:r w:rsidRPr="003A5A47">
              <w:rPr>
                <w:rFonts w:ascii="Calibri" w:eastAsia="Times New Roman" w:hAnsi="Calibri" w:cs="Calibri"/>
                <w:b/>
                <w:bCs/>
                <w:color w:val="FFFFFF"/>
                <w:lang w:eastAsia="en-GB"/>
              </w:rPr>
              <w:t>region</w:t>
            </w:r>
          </w:p>
        </w:tc>
        <w:tc>
          <w:tcPr>
            <w:tcW w:w="1033" w:type="dxa"/>
            <w:noWrap/>
            <w:hideMark/>
          </w:tcPr>
          <w:p w14:paraId="30C0DD10" w14:textId="77777777" w:rsidR="00125DF3" w:rsidRPr="0024262D" w:rsidRDefault="00125DF3" w:rsidP="00125DF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833C0B" w:themeColor="accent2" w:themeShade="80"/>
                <w:lang w:eastAsia="en-GB"/>
              </w:rPr>
            </w:pPr>
            <w:r w:rsidRPr="0024262D">
              <w:rPr>
                <w:rFonts w:ascii="Calibri" w:eastAsia="Times New Roman" w:hAnsi="Calibri" w:cs="Calibri"/>
                <w:b/>
                <w:bCs/>
                <w:color w:val="833C0B" w:themeColor="accent2" w:themeShade="80"/>
                <w:lang w:eastAsia="en-GB"/>
              </w:rPr>
              <w:t>SSP2-BL</w:t>
            </w:r>
          </w:p>
        </w:tc>
        <w:tc>
          <w:tcPr>
            <w:tcW w:w="1116" w:type="dxa"/>
            <w:noWrap/>
            <w:hideMark/>
          </w:tcPr>
          <w:p w14:paraId="71ED87F9" w14:textId="77777777" w:rsidR="00125DF3" w:rsidRPr="0024262D" w:rsidRDefault="00125DF3" w:rsidP="00125DF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833C0B" w:themeColor="accent2" w:themeShade="80"/>
                <w:lang w:eastAsia="en-GB"/>
              </w:rPr>
            </w:pPr>
            <w:r w:rsidRPr="0024262D">
              <w:rPr>
                <w:rFonts w:ascii="Calibri" w:eastAsia="Times New Roman" w:hAnsi="Calibri" w:cs="Calibri"/>
                <w:b/>
                <w:bCs/>
                <w:color w:val="833C0B" w:themeColor="accent2" w:themeShade="80"/>
                <w:lang w:eastAsia="en-GB"/>
              </w:rPr>
              <w:t>SSP2-UA</w:t>
            </w:r>
          </w:p>
        </w:tc>
        <w:tc>
          <w:tcPr>
            <w:tcW w:w="1670" w:type="dxa"/>
          </w:tcPr>
          <w:p w14:paraId="6B70F1D1" w14:textId="79A4F69F" w:rsidR="00125DF3" w:rsidRPr="0024262D" w:rsidRDefault="00125DF3" w:rsidP="00125DF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833C0B" w:themeColor="accent2" w:themeShade="80"/>
                <w:lang w:eastAsia="en-GB"/>
              </w:rPr>
            </w:pPr>
            <w:r w:rsidRPr="0024262D">
              <w:rPr>
                <w:rFonts w:ascii="Calibri" w:eastAsia="Times New Roman" w:hAnsi="Calibri" w:cs="Calibri"/>
                <w:b/>
                <w:bCs/>
                <w:color w:val="833C0B" w:themeColor="accent2" w:themeShade="80"/>
                <w:lang w:eastAsia="en-GB"/>
              </w:rPr>
              <w:t>SSP2-2C-UA</w:t>
            </w:r>
          </w:p>
        </w:tc>
        <w:tc>
          <w:tcPr>
            <w:tcW w:w="1670" w:type="dxa"/>
            <w:noWrap/>
            <w:hideMark/>
          </w:tcPr>
          <w:p w14:paraId="40866181" w14:textId="5CD4D15E" w:rsidR="00125DF3" w:rsidRPr="0024262D" w:rsidRDefault="00125DF3" w:rsidP="00125DF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833C0B" w:themeColor="accent2" w:themeShade="80"/>
                <w:lang w:eastAsia="en-GB"/>
              </w:rPr>
            </w:pPr>
            <w:r w:rsidRPr="0024262D">
              <w:rPr>
                <w:rFonts w:ascii="Calibri" w:eastAsia="Times New Roman" w:hAnsi="Calibri" w:cs="Calibri"/>
                <w:b/>
                <w:bCs/>
                <w:color w:val="833C0B" w:themeColor="accent2" w:themeShade="80"/>
                <w:lang w:eastAsia="en-GB"/>
              </w:rPr>
              <w:t>SSP2-UA-DLS</w:t>
            </w:r>
          </w:p>
        </w:tc>
        <w:tc>
          <w:tcPr>
            <w:tcW w:w="2078" w:type="dxa"/>
            <w:noWrap/>
            <w:hideMark/>
          </w:tcPr>
          <w:p w14:paraId="7A8C6CE8" w14:textId="77777777" w:rsidR="00125DF3" w:rsidRPr="0024262D" w:rsidRDefault="00125DF3" w:rsidP="00125DF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833C0B" w:themeColor="accent2" w:themeShade="80"/>
                <w:lang w:eastAsia="en-GB"/>
              </w:rPr>
            </w:pPr>
            <w:r w:rsidRPr="0024262D">
              <w:rPr>
                <w:rFonts w:ascii="Calibri" w:eastAsia="Times New Roman" w:hAnsi="Calibri" w:cs="Calibri"/>
                <w:b/>
                <w:bCs/>
                <w:color w:val="833C0B" w:themeColor="accent2" w:themeShade="80"/>
                <w:lang w:eastAsia="en-GB"/>
              </w:rPr>
              <w:t>SSP2-2C-UA-DLS</w:t>
            </w:r>
          </w:p>
        </w:tc>
      </w:tr>
      <w:tr w:rsidR="00125DF3" w:rsidRPr="003A5A47" w14:paraId="71143C3E" w14:textId="77777777" w:rsidTr="0024262D">
        <w:trPr>
          <w:trHeight w:val="300"/>
        </w:trPr>
        <w:tc>
          <w:tcPr>
            <w:cnfStyle w:val="001000000000" w:firstRow="0" w:lastRow="0" w:firstColumn="1" w:lastColumn="0" w:oddVBand="0" w:evenVBand="0" w:oddHBand="0" w:evenHBand="0" w:firstRowFirstColumn="0" w:firstRowLastColumn="0" w:lastRowFirstColumn="0" w:lastRowLastColumn="0"/>
            <w:tcW w:w="2500" w:type="dxa"/>
            <w:noWrap/>
            <w:hideMark/>
          </w:tcPr>
          <w:p w14:paraId="06D411BC" w14:textId="77777777" w:rsidR="00125DF3" w:rsidRPr="003A5A47" w:rsidRDefault="00125DF3" w:rsidP="00125DF3">
            <w:pPr>
              <w:rPr>
                <w:rFonts w:ascii="Calibri" w:eastAsia="Times New Roman" w:hAnsi="Calibri" w:cs="Calibri"/>
                <w:color w:val="000000"/>
                <w:lang w:eastAsia="en-GB"/>
              </w:rPr>
            </w:pPr>
            <w:r w:rsidRPr="003A5A47">
              <w:rPr>
                <w:rFonts w:ascii="Calibri" w:eastAsia="Times New Roman" w:hAnsi="Calibri" w:cs="Calibri"/>
                <w:color w:val="000000"/>
                <w:lang w:eastAsia="en-GB"/>
              </w:rPr>
              <w:t>Western Africa</w:t>
            </w:r>
          </w:p>
        </w:tc>
        <w:tc>
          <w:tcPr>
            <w:tcW w:w="1033" w:type="dxa"/>
            <w:noWrap/>
            <w:hideMark/>
          </w:tcPr>
          <w:p w14:paraId="10B9067B" w14:textId="77777777" w:rsidR="00125DF3" w:rsidRPr="003A5A47" w:rsidRDefault="00125DF3" w:rsidP="00125D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3A5A47">
              <w:rPr>
                <w:rFonts w:ascii="Calibri" w:eastAsia="Times New Roman" w:hAnsi="Calibri" w:cs="Calibri"/>
                <w:color w:val="000000"/>
                <w:lang w:eastAsia="en-GB"/>
              </w:rPr>
              <w:t>12.3</w:t>
            </w:r>
          </w:p>
        </w:tc>
        <w:tc>
          <w:tcPr>
            <w:tcW w:w="1116" w:type="dxa"/>
            <w:noWrap/>
            <w:hideMark/>
          </w:tcPr>
          <w:p w14:paraId="253A6478" w14:textId="77777777" w:rsidR="00125DF3" w:rsidRPr="003A5A47" w:rsidRDefault="00125DF3" w:rsidP="00125D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3A5A47">
              <w:rPr>
                <w:rFonts w:ascii="Calibri" w:eastAsia="Times New Roman" w:hAnsi="Calibri" w:cs="Calibri"/>
                <w:color w:val="000000"/>
                <w:lang w:eastAsia="en-GB"/>
              </w:rPr>
              <w:t>19.2</w:t>
            </w:r>
          </w:p>
        </w:tc>
        <w:tc>
          <w:tcPr>
            <w:tcW w:w="1670" w:type="dxa"/>
          </w:tcPr>
          <w:p w14:paraId="492C64D4" w14:textId="48963603" w:rsidR="00125DF3" w:rsidRPr="003A5A47" w:rsidRDefault="00125DF3" w:rsidP="00125D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3A5A47">
              <w:rPr>
                <w:rFonts w:ascii="Calibri" w:eastAsia="Times New Roman" w:hAnsi="Calibri" w:cs="Calibri"/>
                <w:color w:val="000000"/>
                <w:lang w:eastAsia="en-GB"/>
              </w:rPr>
              <w:t>21.5</w:t>
            </w:r>
          </w:p>
        </w:tc>
        <w:tc>
          <w:tcPr>
            <w:tcW w:w="1670" w:type="dxa"/>
            <w:noWrap/>
            <w:hideMark/>
          </w:tcPr>
          <w:p w14:paraId="4C2D0385" w14:textId="316D4CE9" w:rsidR="00125DF3" w:rsidRPr="003A5A47" w:rsidRDefault="00125DF3" w:rsidP="00125D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3A5A47">
              <w:rPr>
                <w:rFonts w:ascii="Calibri" w:eastAsia="Times New Roman" w:hAnsi="Calibri" w:cs="Calibri"/>
                <w:color w:val="000000"/>
                <w:lang w:eastAsia="en-GB"/>
              </w:rPr>
              <w:t>47.0</w:t>
            </w:r>
          </w:p>
        </w:tc>
        <w:tc>
          <w:tcPr>
            <w:tcW w:w="2078" w:type="dxa"/>
            <w:noWrap/>
            <w:hideMark/>
          </w:tcPr>
          <w:p w14:paraId="1A84BB5A" w14:textId="77777777" w:rsidR="00125DF3" w:rsidRPr="003A5A47" w:rsidRDefault="00125DF3" w:rsidP="00125D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3A5A47">
              <w:rPr>
                <w:rFonts w:ascii="Calibri" w:eastAsia="Times New Roman" w:hAnsi="Calibri" w:cs="Calibri"/>
                <w:color w:val="000000"/>
                <w:lang w:eastAsia="en-GB"/>
              </w:rPr>
              <w:t>58.9</w:t>
            </w:r>
          </w:p>
        </w:tc>
      </w:tr>
      <w:tr w:rsidR="00125DF3" w:rsidRPr="003A5A47" w14:paraId="4CC3EC11" w14:textId="77777777" w:rsidTr="0024262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00" w:type="dxa"/>
            <w:noWrap/>
            <w:hideMark/>
          </w:tcPr>
          <w:p w14:paraId="3057FA7B" w14:textId="77777777" w:rsidR="00125DF3" w:rsidRPr="003A5A47" w:rsidRDefault="00125DF3" w:rsidP="00125DF3">
            <w:pPr>
              <w:rPr>
                <w:rFonts w:ascii="Calibri" w:eastAsia="Times New Roman" w:hAnsi="Calibri" w:cs="Calibri"/>
                <w:color w:val="000000"/>
                <w:lang w:eastAsia="en-GB"/>
              </w:rPr>
            </w:pPr>
            <w:r w:rsidRPr="003A5A47">
              <w:rPr>
                <w:rFonts w:ascii="Calibri" w:eastAsia="Times New Roman" w:hAnsi="Calibri" w:cs="Calibri"/>
                <w:color w:val="000000"/>
                <w:lang w:eastAsia="en-GB"/>
              </w:rPr>
              <w:t>Eastern Africa</w:t>
            </w:r>
          </w:p>
        </w:tc>
        <w:tc>
          <w:tcPr>
            <w:tcW w:w="1033" w:type="dxa"/>
            <w:noWrap/>
            <w:hideMark/>
          </w:tcPr>
          <w:p w14:paraId="3A310026" w14:textId="77777777" w:rsidR="00125DF3" w:rsidRPr="003A5A47" w:rsidRDefault="00125DF3" w:rsidP="00125D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3A5A47">
              <w:rPr>
                <w:rFonts w:ascii="Calibri" w:eastAsia="Times New Roman" w:hAnsi="Calibri" w:cs="Calibri"/>
                <w:color w:val="000000"/>
                <w:lang w:eastAsia="en-GB"/>
              </w:rPr>
              <w:t>3.2</w:t>
            </w:r>
          </w:p>
        </w:tc>
        <w:tc>
          <w:tcPr>
            <w:tcW w:w="1116" w:type="dxa"/>
            <w:noWrap/>
            <w:hideMark/>
          </w:tcPr>
          <w:p w14:paraId="04DF85E1" w14:textId="77777777" w:rsidR="00125DF3" w:rsidRPr="003A5A47" w:rsidRDefault="00125DF3" w:rsidP="00125D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3A5A47">
              <w:rPr>
                <w:rFonts w:ascii="Calibri" w:eastAsia="Times New Roman" w:hAnsi="Calibri" w:cs="Calibri"/>
                <w:color w:val="000000"/>
                <w:lang w:eastAsia="en-GB"/>
              </w:rPr>
              <w:t>5.6</w:t>
            </w:r>
          </w:p>
        </w:tc>
        <w:tc>
          <w:tcPr>
            <w:tcW w:w="1670" w:type="dxa"/>
          </w:tcPr>
          <w:p w14:paraId="2651C37C" w14:textId="45A2DB7E" w:rsidR="00125DF3" w:rsidRPr="003A5A47" w:rsidRDefault="00125DF3" w:rsidP="00125D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3A5A47">
              <w:rPr>
                <w:rFonts w:ascii="Calibri" w:eastAsia="Times New Roman" w:hAnsi="Calibri" w:cs="Calibri"/>
                <w:color w:val="000000"/>
                <w:lang w:eastAsia="en-GB"/>
              </w:rPr>
              <w:t>8.5</w:t>
            </w:r>
          </w:p>
        </w:tc>
        <w:tc>
          <w:tcPr>
            <w:tcW w:w="1670" w:type="dxa"/>
            <w:noWrap/>
            <w:hideMark/>
          </w:tcPr>
          <w:p w14:paraId="0E1FB493" w14:textId="04EA29C9" w:rsidR="00125DF3" w:rsidRPr="003A5A47" w:rsidRDefault="00125DF3" w:rsidP="00125D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3A5A47">
              <w:rPr>
                <w:rFonts w:ascii="Calibri" w:eastAsia="Times New Roman" w:hAnsi="Calibri" w:cs="Calibri"/>
                <w:color w:val="000000"/>
                <w:lang w:eastAsia="en-GB"/>
              </w:rPr>
              <w:t>23.5</w:t>
            </w:r>
          </w:p>
        </w:tc>
        <w:tc>
          <w:tcPr>
            <w:tcW w:w="2078" w:type="dxa"/>
            <w:noWrap/>
            <w:hideMark/>
          </w:tcPr>
          <w:p w14:paraId="6AAEBE35" w14:textId="77777777" w:rsidR="00125DF3" w:rsidRPr="003A5A47" w:rsidRDefault="00125DF3" w:rsidP="00125D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3A5A47">
              <w:rPr>
                <w:rFonts w:ascii="Calibri" w:eastAsia="Times New Roman" w:hAnsi="Calibri" w:cs="Calibri"/>
                <w:color w:val="000000"/>
                <w:lang w:eastAsia="en-GB"/>
              </w:rPr>
              <w:t>25.3</w:t>
            </w:r>
          </w:p>
        </w:tc>
      </w:tr>
      <w:tr w:rsidR="00125DF3" w:rsidRPr="003A5A47" w14:paraId="73D85294" w14:textId="77777777" w:rsidTr="0024262D">
        <w:trPr>
          <w:trHeight w:val="300"/>
        </w:trPr>
        <w:tc>
          <w:tcPr>
            <w:cnfStyle w:val="001000000000" w:firstRow="0" w:lastRow="0" w:firstColumn="1" w:lastColumn="0" w:oddVBand="0" w:evenVBand="0" w:oddHBand="0" w:evenHBand="0" w:firstRowFirstColumn="0" w:firstRowLastColumn="0" w:lastRowFirstColumn="0" w:lastRowLastColumn="0"/>
            <w:tcW w:w="2500" w:type="dxa"/>
            <w:noWrap/>
            <w:hideMark/>
          </w:tcPr>
          <w:p w14:paraId="134428D6" w14:textId="77777777" w:rsidR="00125DF3" w:rsidRPr="003A5A47" w:rsidRDefault="00125DF3" w:rsidP="00125DF3">
            <w:pPr>
              <w:rPr>
                <w:rFonts w:ascii="Calibri" w:eastAsia="Times New Roman" w:hAnsi="Calibri" w:cs="Calibri"/>
                <w:color w:val="000000"/>
                <w:lang w:eastAsia="en-GB"/>
              </w:rPr>
            </w:pPr>
            <w:r w:rsidRPr="003A5A47">
              <w:rPr>
                <w:rFonts w:ascii="Calibri" w:eastAsia="Times New Roman" w:hAnsi="Calibri" w:cs="Calibri"/>
                <w:color w:val="000000"/>
                <w:lang w:eastAsia="en-GB"/>
              </w:rPr>
              <w:t>Rest South Africa</w:t>
            </w:r>
          </w:p>
        </w:tc>
        <w:tc>
          <w:tcPr>
            <w:tcW w:w="1033" w:type="dxa"/>
            <w:noWrap/>
            <w:hideMark/>
          </w:tcPr>
          <w:p w14:paraId="38DF595B" w14:textId="77777777" w:rsidR="00125DF3" w:rsidRPr="003A5A47" w:rsidRDefault="00125DF3" w:rsidP="00125D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3A5A47">
              <w:rPr>
                <w:rFonts w:ascii="Calibri" w:eastAsia="Times New Roman" w:hAnsi="Calibri" w:cs="Calibri"/>
                <w:color w:val="000000"/>
                <w:lang w:eastAsia="en-GB"/>
              </w:rPr>
              <w:t>3.1</w:t>
            </w:r>
          </w:p>
        </w:tc>
        <w:tc>
          <w:tcPr>
            <w:tcW w:w="1116" w:type="dxa"/>
            <w:noWrap/>
            <w:hideMark/>
          </w:tcPr>
          <w:p w14:paraId="6B73DA10" w14:textId="77777777" w:rsidR="00125DF3" w:rsidRPr="003A5A47" w:rsidRDefault="00125DF3" w:rsidP="00125D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3A5A47">
              <w:rPr>
                <w:rFonts w:ascii="Calibri" w:eastAsia="Times New Roman" w:hAnsi="Calibri" w:cs="Calibri"/>
                <w:color w:val="000000"/>
                <w:lang w:eastAsia="en-GB"/>
              </w:rPr>
              <w:t>5.3</w:t>
            </w:r>
          </w:p>
        </w:tc>
        <w:tc>
          <w:tcPr>
            <w:tcW w:w="1670" w:type="dxa"/>
          </w:tcPr>
          <w:p w14:paraId="05C5D16D" w14:textId="13CB58C7" w:rsidR="00125DF3" w:rsidRPr="003A5A47" w:rsidRDefault="00125DF3" w:rsidP="00125D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3A5A47">
              <w:rPr>
                <w:rFonts w:ascii="Calibri" w:eastAsia="Times New Roman" w:hAnsi="Calibri" w:cs="Calibri"/>
                <w:color w:val="000000"/>
                <w:lang w:eastAsia="en-GB"/>
              </w:rPr>
              <w:t>5.6</w:t>
            </w:r>
          </w:p>
        </w:tc>
        <w:tc>
          <w:tcPr>
            <w:tcW w:w="1670" w:type="dxa"/>
            <w:noWrap/>
            <w:hideMark/>
          </w:tcPr>
          <w:p w14:paraId="56818821" w14:textId="2E802986" w:rsidR="00125DF3" w:rsidRPr="003A5A47" w:rsidRDefault="00125DF3" w:rsidP="00125D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3A5A47">
              <w:rPr>
                <w:rFonts w:ascii="Calibri" w:eastAsia="Times New Roman" w:hAnsi="Calibri" w:cs="Calibri"/>
                <w:color w:val="000000"/>
                <w:lang w:eastAsia="en-GB"/>
              </w:rPr>
              <w:t>12.7</w:t>
            </w:r>
          </w:p>
        </w:tc>
        <w:tc>
          <w:tcPr>
            <w:tcW w:w="2078" w:type="dxa"/>
            <w:noWrap/>
            <w:hideMark/>
          </w:tcPr>
          <w:p w14:paraId="1B7F0B11" w14:textId="77777777" w:rsidR="00125DF3" w:rsidRPr="003A5A47" w:rsidRDefault="00125DF3" w:rsidP="00125D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3A5A47">
              <w:rPr>
                <w:rFonts w:ascii="Calibri" w:eastAsia="Times New Roman" w:hAnsi="Calibri" w:cs="Calibri"/>
                <w:color w:val="000000"/>
                <w:lang w:eastAsia="en-GB"/>
              </w:rPr>
              <w:t>14.4</w:t>
            </w:r>
          </w:p>
        </w:tc>
      </w:tr>
      <w:tr w:rsidR="00125DF3" w:rsidRPr="003A5A47" w14:paraId="1512F18B" w14:textId="77777777" w:rsidTr="0024262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00" w:type="dxa"/>
            <w:noWrap/>
            <w:hideMark/>
          </w:tcPr>
          <w:p w14:paraId="4CE4FBF0" w14:textId="77777777" w:rsidR="00125DF3" w:rsidRPr="003A5A47" w:rsidRDefault="00125DF3" w:rsidP="00125DF3">
            <w:pPr>
              <w:rPr>
                <w:rFonts w:ascii="Calibri" w:eastAsia="Times New Roman" w:hAnsi="Calibri" w:cs="Calibri"/>
                <w:color w:val="000000"/>
                <w:lang w:eastAsia="en-GB"/>
              </w:rPr>
            </w:pPr>
            <w:r w:rsidRPr="003A5A47">
              <w:rPr>
                <w:rFonts w:ascii="Calibri" w:eastAsia="Times New Roman" w:hAnsi="Calibri" w:cs="Calibri"/>
                <w:color w:val="000000"/>
                <w:lang w:eastAsia="en-GB"/>
              </w:rPr>
              <w:t>Middle East</w:t>
            </w:r>
          </w:p>
        </w:tc>
        <w:tc>
          <w:tcPr>
            <w:tcW w:w="1033" w:type="dxa"/>
            <w:noWrap/>
            <w:hideMark/>
          </w:tcPr>
          <w:p w14:paraId="07A20FEA" w14:textId="77777777" w:rsidR="00125DF3" w:rsidRPr="003A5A47" w:rsidRDefault="00125DF3" w:rsidP="00125D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3A5A47">
              <w:rPr>
                <w:rFonts w:ascii="Calibri" w:eastAsia="Times New Roman" w:hAnsi="Calibri" w:cs="Calibri"/>
                <w:color w:val="000000"/>
                <w:lang w:eastAsia="en-GB"/>
              </w:rPr>
              <w:t>8.3</w:t>
            </w:r>
          </w:p>
        </w:tc>
        <w:tc>
          <w:tcPr>
            <w:tcW w:w="1116" w:type="dxa"/>
            <w:noWrap/>
            <w:hideMark/>
          </w:tcPr>
          <w:p w14:paraId="6F4942CC" w14:textId="77777777" w:rsidR="00125DF3" w:rsidRPr="003A5A47" w:rsidRDefault="00125DF3" w:rsidP="00125D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3A5A47">
              <w:rPr>
                <w:rFonts w:ascii="Calibri" w:eastAsia="Times New Roman" w:hAnsi="Calibri" w:cs="Calibri"/>
                <w:color w:val="000000"/>
                <w:lang w:eastAsia="en-GB"/>
              </w:rPr>
              <w:t>10.1</w:t>
            </w:r>
          </w:p>
        </w:tc>
        <w:tc>
          <w:tcPr>
            <w:tcW w:w="1670" w:type="dxa"/>
          </w:tcPr>
          <w:p w14:paraId="6078F2F2" w14:textId="7B198243" w:rsidR="00125DF3" w:rsidRPr="003A5A47" w:rsidRDefault="00125DF3" w:rsidP="00125D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3A5A47">
              <w:rPr>
                <w:rFonts w:ascii="Calibri" w:eastAsia="Times New Roman" w:hAnsi="Calibri" w:cs="Calibri"/>
                <w:color w:val="000000"/>
                <w:lang w:eastAsia="en-GB"/>
              </w:rPr>
              <w:t>16.4</w:t>
            </w:r>
          </w:p>
        </w:tc>
        <w:tc>
          <w:tcPr>
            <w:tcW w:w="1670" w:type="dxa"/>
            <w:noWrap/>
            <w:hideMark/>
          </w:tcPr>
          <w:p w14:paraId="68946E30" w14:textId="36907F85" w:rsidR="00125DF3" w:rsidRPr="003A5A47" w:rsidRDefault="00125DF3" w:rsidP="00125D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3A5A47">
              <w:rPr>
                <w:rFonts w:ascii="Calibri" w:eastAsia="Times New Roman" w:hAnsi="Calibri" w:cs="Calibri"/>
                <w:color w:val="000000"/>
                <w:lang w:eastAsia="en-GB"/>
              </w:rPr>
              <w:t>11.0</w:t>
            </w:r>
          </w:p>
        </w:tc>
        <w:tc>
          <w:tcPr>
            <w:tcW w:w="2078" w:type="dxa"/>
            <w:noWrap/>
            <w:hideMark/>
          </w:tcPr>
          <w:p w14:paraId="332E5F83" w14:textId="77777777" w:rsidR="00125DF3" w:rsidRPr="003A5A47" w:rsidRDefault="00125DF3" w:rsidP="00125D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3A5A47">
              <w:rPr>
                <w:rFonts w:ascii="Calibri" w:eastAsia="Times New Roman" w:hAnsi="Calibri" w:cs="Calibri"/>
                <w:color w:val="000000"/>
                <w:lang w:eastAsia="en-GB"/>
              </w:rPr>
              <w:t>16.5</w:t>
            </w:r>
          </w:p>
        </w:tc>
      </w:tr>
      <w:tr w:rsidR="00125DF3" w:rsidRPr="003A5A47" w14:paraId="577ACFA8" w14:textId="77777777" w:rsidTr="0024262D">
        <w:trPr>
          <w:trHeight w:val="300"/>
        </w:trPr>
        <w:tc>
          <w:tcPr>
            <w:cnfStyle w:val="001000000000" w:firstRow="0" w:lastRow="0" w:firstColumn="1" w:lastColumn="0" w:oddVBand="0" w:evenVBand="0" w:oddHBand="0" w:evenHBand="0" w:firstRowFirstColumn="0" w:firstRowLastColumn="0" w:lastRowFirstColumn="0" w:lastRowLastColumn="0"/>
            <w:tcW w:w="2500" w:type="dxa"/>
            <w:noWrap/>
            <w:hideMark/>
          </w:tcPr>
          <w:p w14:paraId="12C929E1" w14:textId="77777777" w:rsidR="00125DF3" w:rsidRPr="003A5A47" w:rsidRDefault="00125DF3" w:rsidP="00125DF3">
            <w:pPr>
              <w:rPr>
                <w:rFonts w:ascii="Calibri" w:eastAsia="Times New Roman" w:hAnsi="Calibri" w:cs="Calibri"/>
                <w:color w:val="000000"/>
                <w:lang w:eastAsia="en-GB"/>
              </w:rPr>
            </w:pPr>
            <w:proofErr w:type="spellStart"/>
            <w:r w:rsidRPr="003A5A47">
              <w:rPr>
                <w:rFonts w:ascii="Calibri" w:eastAsia="Times New Roman" w:hAnsi="Calibri" w:cs="Calibri"/>
                <w:color w:val="000000"/>
                <w:lang w:eastAsia="en-GB"/>
              </w:rPr>
              <w:t>Southeastern</w:t>
            </w:r>
            <w:proofErr w:type="spellEnd"/>
            <w:r w:rsidRPr="003A5A47">
              <w:rPr>
                <w:rFonts w:ascii="Calibri" w:eastAsia="Times New Roman" w:hAnsi="Calibri" w:cs="Calibri"/>
                <w:color w:val="000000"/>
                <w:lang w:eastAsia="en-GB"/>
              </w:rPr>
              <w:t xml:space="preserve"> Asia</w:t>
            </w:r>
          </w:p>
        </w:tc>
        <w:tc>
          <w:tcPr>
            <w:tcW w:w="1033" w:type="dxa"/>
            <w:noWrap/>
            <w:hideMark/>
          </w:tcPr>
          <w:p w14:paraId="4A58620C" w14:textId="77777777" w:rsidR="00125DF3" w:rsidRPr="003A5A47" w:rsidRDefault="00125DF3" w:rsidP="00125D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3A5A47">
              <w:rPr>
                <w:rFonts w:ascii="Calibri" w:eastAsia="Times New Roman" w:hAnsi="Calibri" w:cs="Calibri"/>
                <w:color w:val="000000"/>
                <w:lang w:eastAsia="en-GB"/>
              </w:rPr>
              <w:t>7.2</w:t>
            </w:r>
          </w:p>
        </w:tc>
        <w:tc>
          <w:tcPr>
            <w:tcW w:w="1116" w:type="dxa"/>
            <w:noWrap/>
            <w:hideMark/>
          </w:tcPr>
          <w:p w14:paraId="3BB640E0" w14:textId="77777777" w:rsidR="00125DF3" w:rsidRPr="003A5A47" w:rsidRDefault="00125DF3" w:rsidP="00125D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3A5A47">
              <w:rPr>
                <w:rFonts w:ascii="Calibri" w:eastAsia="Times New Roman" w:hAnsi="Calibri" w:cs="Calibri"/>
                <w:color w:val="000000"/>
                <w:lang w:eastAsia="en-GB"/>
              </w:rPr>
              <w:t>8.7</w:t>
            </w:r>
          </w:p>
        </w:tc>
        <w:tc>
          <w:tcPr>
            <w:tcW w:w="1670" w:type="dxa"/>
          </w:tcPr>
          <w:p w14:paraId="7400E0BA" w14:textId="1CA7387B" w:rsidR="00125DF3" w:rsidRPr="003A5A47" w:rsidRDefault="00125DF3" w:rsidP="00125D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3A5A47">
              <w:rPr>
                <w:rFonts w:ascii="Calibri" w:eastAsia="Times New Roman" w:hAnsi="Calibri" w:cs="Calibri"/>
                <w:color w:val="000000"/>
                <w:lang w:eastAsia="en-GB"/>
              </w:rPr>
              <w:t>8.9</w:t>
            </w:r>
          </w:p>
        </w:tc>
        <w:tc>
          <w:tcPr>
            <w:tcW w:w="1670" w:type="dxa"/>
            <w:noWrap/>
            <w:hideMark/>
          </w:tcPr>
          <w:p w14:paraId="59E39509" w14:textId="3939A878" w:rsidR="00125DF3" w:rsidRPr="003A5A47" w:rsidRDefault="00125DF3" w:rsidP="00125D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3A5A47">
              <w:rPr>
                <w:rFonts w:ascii="Calibri" w:eastAsia="Times New Roman" w:hAnsi="Calibri" w:cs="Calibri"/>
                <w:color w:val="000000"/>
                <w:lang w:eastAsia="en-GB"/>
              </w:rPr>
              <w:t>10.2</w:t>
            </w:r>
          </w:p>
        </w:tc>
        <w:tc>
          <w:tcPr>
            <w:tcW w:w="2078" w:type="dxa"/>
            <w:noWrap/>
            <w:hideMark/>
          </w:tcPr>
          <w:p w14:paraId="4E9C266C" w14:textId="77777777" w:rsidR="00125DF3" w:rsidRPr="003A5A47" w:rsidRDefault="00125DF3" w:rsidP="00125D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3A5A47">
              <w:rPr>
                <w:rFonts w:ascii="Calibri" w:eastAsia="Times New Roman" w:hAnsi="Calibri" w:cs="Calibri"/>
                <w:color w:val="000000"/>
                <w:lang w:eastAsia="en-GB"/>
              </w:rPr>
              <w:t>10.8</w:t>
            </w:r>
          </w:p>
        </w:tc>
      </w:tr>
      <w:tr w:rsidR="00125DF3" w:rsidRPr="003A5A47" w14:paraId="7CD2CF93" w14:textId="77777777" w:rsidTr="0024262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00" w:type="dxa"/>
            <w:noWrap/>
            <w:hideMark/>
          </w:tcPr>
          <w:p w14:paraId="1D7D3261" w14:textId="77777777" w:rsidR="00125DF3" w:rsidRPr="003A5A47" w:rsidRDefault="00125DF3" w:rsidP="00125DF3">
            <w:pPr>
              <w:rPr>
                <w:rFonts w:ascii="Calibri" w:eastAsia="Times New Roman" w:hAnsi="Calibri" w:cs="Calibri"/>
                <w:color w:val="000000"/>
                <w:lang w:eastAsia="en-GB"/>
              </w:rPr>
            </w:pPr>
            <w:r w:rsidRPr="003A5A47">
              <w:rPr>
                <w:rFonts w:ascii="Calibri" w:eastAsia="Times New Roman" w:hAnsi="Calibri" w:cs="Calibri"/>
                <w:color w:val="000000"/>
                <w:lang w:eastAsia="en-GB"/>
              </w:rPr>
              <w:t>Rest Central America</w:t>
            </w:r>
          </w:p>
        </w:tc>
        <w:tc>
          <w:tcPr>
            <w:tcW w:w="1033" w:type="dxa"/>
            <w:noWrap/>
            <w:hideMark/>
          </w:tcPr>
          <w:p w14:paraId="67027E9D" w14:textId="77777777" w:rsidR="00125DF3" w:rsidRPr="003A5A47" w:rsidRDefault="00125DF3" w:rsidP="00125D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3A5A47">
              <w:rPr>
                <w:rFonts w:ascii="Calibri" w:eastAsia="Times New Roman" w:hAnsi="Calibri" w:cs="Calibri"/>
                <w:color w:val="000000"/>
                <w:lang w:eastAsia="en-GB"/>
              </w:rPr>
              <w:t>2.8</w:t>
            </w:r>
          </w:p>
        </w:tc>
        <w:tc>
          <w:tcPr>
            <w:tcW w:w="1116" w:type="dxa"/>
            <w:noWrap/>
            <w:hideMark/>
          </w:tcPr>
          <w:p w14:paraId="65C042E5" w14:textId="77777777" w:rsidR="00125DF3" w:rsidRPr="003A5A47" w:rsidRDefault="00125DF3" w:rsidP="00125D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3A5A47">
              <w:rPr>
                <w:rFonts w:ascii="Calibri" w:eastAsia="Times New Roman" w:hAnsi="Calibri" w:cs="Calibri"/>
                <w:color w:val="000000"/>
                <w:lang w:eastAsia="en-GB"/>
              </w:rPr>
              <w:t>4.0</w:t>
            </w:r>
          </w:p>
        </w:tc>
        <w:tc>
          <w:tcPr>
            <w:tcW w:w="1670" w:type="dxa"/>
          </w:tcPr>
          <w:p w14:paraId="30BB9BA9" w14:textId="562E8F23" w:rsidR="00125DF3" w:rsidRPr="003A5A47" w:rsidRDefault="00125DF3" w:rsidP="00125D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3A5A47">
              <w:rPr>
                <w:rFonts w:ascii="Calibri" w:eastAsia="Times New Roman" w:hAnsi="Calibri" w:cs="Calibri"/>
                <w:color w:val="000000"/>
                <w:lang w:eastAsia="en-GB"/>
              </w:rPr>
              <w:t>4.3</w:t>
            </w:r>
          </w:p>
        </w:tc>
        <w:tc>
          <w:tcPr>
            <w:tcW w:w="1670" w:type="dxa"/>
            <w:noWrap/>
            <w:hideMark/>
          </w:tcPr>
          <w:p w14:paraId="1BD340AE" w14:textId="1C6A2FE1" w:rsidR="00125DF3" w:rsidRPr="003A5A47" w:rsidRDefault="00125DF3" w:rsidP="00125D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3A5A47">
              <w:rPr>
                <w:rFonts w:ascii="Calibri" w:eastAsia="Times New Roman" w:hAnsi="Calibri" w:cs="Calibri"/>
                <w:color w:val="000000"/>
                <w:lang w:eastAsia="en-GB"/>
              </w:rPr>
              <w:t>4.4</w:t>
            </w:r>
          </w:p>
        </w:tc>
        <w:tc>
          <w:tcPr>
            <w:tcW w:w="2078" w:type="dxa"/>
            <w:noWrap/>
            <w:hideMark/>
          </w:tcPr>
          <w:p w14:paraId="4D6A29CF" w14:textId="77777777" w:rsidR="00125DF3" w:rsidRPr="003A5A47" w:rsidRDefault="00125DF3" w:rsidP="00125D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3A5A47">
              <w:rPr>
                <w:rFonts w:ascii="Calibri" w:eastAsia="Times New Roman" w:hAnsi="Calibri" w:cs="Calibri"/>
                <w:color w:val="000000"/>
                <w:lang w:eastAsia="en-GB"/>
              </w:rPr>
              <w:t>4.9</w:t>
            </w:r>
          </w:p>
        </w:tc>
      </w:tr>
      <w:tr w:rsidR="00125DF3" w:rsidRPr="003A5A47" w14:paraId="566DC846" w14:textId="77777777" w:rsidTr="0024262D">
        <w:trPr>
          <w:trHeight w:val="300"/>
        </w:trPr>
        <w:tc>
          <w:tcPr>
            <w:cnfStyle w:val="001000000000" w:firstRow="0" w:lastRow="0" w:firstColumn="1" w:lastColumn="0" w:oddVBand="0" w:evenVBand="0" w:oddHBand="0" w:evenHBand="0" w:firstRowFirstColumn="0" w:firstRowLastColumn="0" w:lastRowFirstColumn="0" w:lastRowLastColumn="0"/>
            <w:tcW w:w="2500" w:type="dxa"/>
            <w:noWrap/>
            <w:hideMark/>
          </w:tcPr>
          <w:p w14:paraId="3E723164" w14:textId="77777777" w:rsidR="00125DF3" w:rsidRPr="003A5A47" w:rsidRDefault="00125DF3" w:rsidP="00125DF3">
            <w:pPr>
              <w:rPr>
                <w:rFonts w:ascii="Calibri" w:eastAsia="Times New Roman" w:hAnsi="Calibri" w:cs="Calibri"/>
                <w:color w:val="000000"/>
                <w:lang w:eastAsia="en-GB"/>
              </w:rPr>
            </w:pPr>
            <w:r w:rsidRPr="003A5A47">
              <w:rPr>
                <w:rFonts w:ascii="Calibri" w:eastAsia="Times New Roman" w:hAnsi="Calibri" w:cs="Calibri"/>
                <w:color w:val="000000"/>
                <w:lang w:eastAsia="en-GB"/>
              </w:rPr>
              <w:t>Indonesia +</w:t>
            </w:r>
          </w:p>
        </w:tc>
        <w:tc>
          <w:tcPr>
            <w:tcW w:w="1033" w:type="dxa"/>
            <w:noWrap/>
            <w:hideMark/>
          </w:tcPr>
          <w:p w14:paraId="3DDD8DE3" w14:textId="77777777" w:rsidR="00125DF3" w:rsidRPr="003A5A47" w:rsidRDefault="00125DF3" w:rsidP="00125D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3A5A47">
              <w:rPr>
                <w:rFonts w:ascii="Calibri" w:eastAsia="Times New Roman" w:hAnsi="Calibri" w:cs="Calibri"/>
                <w:color w:val="000000"/>
                <w:lang w:eastAsia="en-GB"/>
              </w:rPr>
              <w:t>8.2</w:t>
            </w:r>
          </w:p>
        </w:tc>
        <w:tc>
          <w:tcPr>
            <w:tcW w:w="1116" w:type="dxa"/>
            <w:noWrap/>
            <w:hideMark/>
          </w:tcPr>
          <w:p w14:paraId="77991F05" w14:textId="77777777" w:rsidR="00125DF3" w:rsidRPr="003A5A47" w:rsidRDefault="00125DF3" w:rsidP="00125D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3A5A47">
              <w:rPr>
                <w:rFonts w:ascii="Calibri" w:eastAsia="Times New Roman" w:hAnsi="Calibri" w:cs="Calibri"/>
                <w:color w:val="000000"/>
                <w:lang w:eastAsia="en-GB"/>
              </w:rPr>
              <w:t>9.1</w:t>
            </w:r>
          </w:p>
        </w:tc>
        <w:tc>
          <w:tcPr>
            <w:tcW w:w="1670" w:type="dxa"/>
          </w:tcPr>
          <w:p w14:paraId="10791A9E" w14:textId="5336245B" w:rsidR="00125DF3" w:rsidRPr="003A5A47" w:rsidRDefault="00125DF3" w:rsidP="00125D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3A5A47">
              <w:rPr>
                <w:rFonts w:ascii="Calibri" w:eastAsia="Times New Roman" w:hAnsi="Calibri" w:cs="Calibri"/>
                <w:color w:val="000000"/>
                <w:lang w:eastAsia="en-GB"/>
              </w:rPr>
              <w:t>13.0</w:t>
            </w:r>
          </w:p>
        </w:tc>
        <w:tc>
          <w:tcPr>
            <w:tcW w:w="1670" w:type="dxa"/>
            <w:noWrap/>
            <w:hideMark/>
          </w:tcPr>
          <w:p w14:paraId="4847EFB0" w14:textId="6FEDCA5C" w:rsidR="00125DF3" w:rsidRPr="003A5A47" w:rsidRDefault="00125DF3" w:rsidP="00125D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3A5A47">
              <w:rPr>
                <w:rFonts w:ascii="Calibri" w:eastAsia="Times New Roman" w:hAnsi="Calibri" w:cs="Calibri"/>
                <w:color w:val="000000"/>
                <w:lang w:eastAsia="en-GB"/>
              </w:rPr>
              <w:t>11.6</w:t>
            </w:r>
          </w:p>
        </w:tc>
        <w:tc>
          <w:tcPr>
            <w:tcW w:w="2078" w:type="dxa"/>
            <w:noWrap/>
            <w:hideMark/>
          </w:tcPr>
          <w:p w14:paraId="7760C4E0" w14:textId="77777777" w:rsidR="00125DF3" w:rsidRPr="003A5A47" w:rsidRDefault="00125DF3" w:rsidP="00125D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3A5A47">
              <w:rPr>
                <w:rFonts w:ascii="Calibri" w:eastAsia="Times New Roman" w:hAnsi="Calibri" w:cs="Calibri"/>
                <w:color w:val="000000"/>
                <w:lang w:eastAsia="en-GB"/>
              </w:rPr>
              <w:t>19.3</w:t>
            </w:r>
          </w:p>
        </w:tc>
      </w:tr>
      <w:tr w:rsidR="00125DF3" w:rsidRPr="003A5A47" w14:paraId="58331FEE" w14:textId="77777777" w:rsidTr="0024262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00" w:type="dxa"/>
            <w:noWrap/>
            <w:hideMark/>
          </w:tcPr>
          <w:p w14:paraId="4CA90BDB" w14:textId="77777777" w:rsidR="00125DF3" w:rsidRPr="003A5A47" w:rsidRDefault="00125DF3" w:rsidP="00125DF3">
            <w:pPr>
              <w:rPr>
                <w:rFonts w:ascii="Calibri" w:eastAsia="Times New Roman" w:hAnsi="Calibri" w:cs="Calibri"/>
                <w:color w:val="000000"/>
                <w:lang w:eastAsia="en-GB"/>
              </w:rPr>
            </w:pPr>
            <w:r w:rsidRPr="003A5A47">
              <w:rPr>
                <w:rFonts w:ascii="Calibri" w:eastAsia="Times New Roman" w:hAnsi="Calibri" w:cs="Calibri"/>
                <w:color w:val="000000"/>
                <w:lang w:eastAsia="en-GB"/>
              </w:rPr>
              <w:t>Rest South Asia</w:t>
            </w:r>
          </w:p>
        </w:tc>
        <w:tc>
          <w:tcPr>
            <w:tcW w:w="1033" w:type="dxa"/>
            <w:noWrap/>
            <w:hideMark/>
          </w:tcPr>
          <w:p w14:paraId="0C38B604" w14:textId="77777777" w:rsidR="00125DF3" w:rsidRPr="003A5A47" w:rsidRDefault="00125DF3" w:rsidP="00125D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3A5A47">
              <w:rPr>
                <w:rFonts w:ascii="Calibri" w:eastAsia="Times New Roman" w:hAnsi="Calibri" w:cs="Calibri"/>
                <w:color w:val="000000"/>
                <w:lang w:eastAsia="en-GB"/>
              </w:rPr>
              <w:t>10.9</w:t>
            </w:r>
          </w:p>
        </w:tc>
        <w:tc>
          <w:tcPr>
            <w:tcW w:w="1116" w:type="dxa"/>
            <w:noWrap/>
            <w:hideMark/>
          </w:tcPr>
          <w:p w14:paraId="76AB68AE" w14:textId="77777777" w:rsidR="00125DF3" w:rsidRPr="003A5A47" w:rsidRDefault="00125DF3" w:rsidP="00125D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3A5A47">
              <w:rPr>
                <w:rFonts w:ascii="Calibri" w:eastAsia="Times New Roman" w:hAnsi="Calibri" w:cs="Calibri"/>
                <w:color w:val="000000"/>
                <w:lang w:eastAsia="en-GB"/>
              </w:rPr>
              <w:t>11.7</w:t>
            </w:r>
          </w:p>
        </w:tc>
        <w:tc>
          <w:tcPr>
            <w:tcW w:w="1670" w:type="dxa"/>
          </w:tcPr>
          <w:p w14:paraId="372F5390" w14:textId="5F1D8D73" w:rsidR="00125DF3" w:rsidRPr="003A5A47" w:rsidRDefault="00125DF3" w:rsidP="00125D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3A5A47">
              <w:rPr>
                <w:rFonts w:ascii="Calibri" w:eastAsia="Times New Roman" w:hAnsi="Calibri" w:cs="Calibri"/>
                <w:color w:val="000000"/>
                <w:lang w:eastAsia="en-GB"/>
              </w:rPr>
              <w:t>11.3</w:t>
            </w:r>
          </w:p>
        </w:tc>
        <w:tc>
          <w:tcPr>
            <w:tcW w:w="1670" w:type="dxa"/>
            <w:noWrap/>
            <w:hideMark/>
          </w:tcPr>
          <w:p w14:paraId="28DBC204" w14:textId="5AD4F7B2" w:rsidR="00125DF3" w:rsidRPr="003A5A47" w:rsidRDefault="00125DF3" w:rsidP="00125D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3A5A47">
              <w:rPr>
                <w:rFonts w:ascii="Calibri" w:eastAsia="Times New Roman" w:hAnsi="Calibri" w:cs="Calibri"/>
                <w:color w:val="000000"/>
                <w:lang w:eastAsia="en-GB"/>
              </w:rPr>
              <w:t>24.5</w:t>
            </w:r>
          </w:p>
        </w:tc>
        <w:tc>
          <w:tcPr>
            <w:tcW w:w="2078" w:type="dxa"/>
            <w:noWrap/>
            <w:hideMark/>
          </w:tcPr>
          <w:p w14:paraId="7A48DC2A" w14:textId="77777777" w:rsidR="00125DF3" w:rsidRPr="003A5A47" w:rsidRDefault="00125DF3" w:rsidP="00125D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3A5A47">
              <w:rPr>
                <w:rFonts w:ascii="Calibri" w:eastAsia="Times New Roman" w:hAnsi="Calibri" w:cs="Calibri"/>
                <w:color w:val="000000"/>
                <w:lang w:eastAsia="en-GB"/>
              </w:rPr>
              <w:t>25.5</w:t>
            </w:r>
          </w:p>
        </w:tc>
      </w:tr>
      <w:tr w:rsidR="00125DF3" w:rsidRPr="003A5A47" w14:paraId="6F1BCA63" w14:textId="77777777" w:rsidTr="0024262D">
        <w:trPr>
          <w:trHeight w:val="300"/>
        </w:trPr>
        <w:tc>
          <w:tcPr>
            <w:cnfStyle w:val="001000000000" w:firstRow="0" w:lastRow="0" w:firstColumn="1" w:lastColumn="0" w:oddVBand="0" w:evenVBand="0" w:oddHBand="0" w:evenHBand="0" w:firstRowFirstColumn="0" w:firstRowLastColumn="0" w:lastRowFirstColumn="0" w:lastRowLastColumn="0"/>
            <w:tcW w:w="2500" w:type="dxa"/>
            <w:noWrap/>
            <w:hideMark/>
          </w:tcPr>
          <w:p w14:paraId="3C5CE439" w14:textId="77777777" w:rsidR="00125DF3" w:rsidRPr="003A5A47" w:rsidRDefault="00125DF3" w:rsidP="00125DF3">
            <w:pPr>
              <w:rPr>
                <w:rFonts w:ascii="Calibri" w:eastAsia="Times New Roman" w:hAnsi="Calibri" w:cs="Calibri"/>
                <w:color w:val="000000"/>
                <w:lang w:eastAsia="en-GB"/>
              </w:rPr>
            </w:pPr>
            <w:r w:rsidRPr="003A5A47">
              <w:rPr>
                <w:rFonts w:ascii="Calibri" w:eastAsia="Times New Roman" w:hAnsi="Calibri" w:cs="Calibri"/>
                <w:color w:val="000000"/>
                <w:lang w:eastAsia="en-GB"/>
              </w:rPr>
              <w:t>Oceania</w:t>
            </w:r>
          </w:p>
        </w:tc>
        <w:tc>
          <w:tcPr>
            <w:tcW w:w="1033" w:type="dxa"/>
            <w:noWrap/>
            <w:hideMark/>
          </w:tcPr>
          <w:p w14:paraId="52AC34B9" w14:textId="77777777" w:rsidR="00125DF3" w:rsidRPr="003A5A47" w:rsidRDefault="00125DF3" w:rsidP="00125D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3A5A47">
              <w:rPr>
                <w:rFonts w:ascii="Calibri" w:eastAsia="Times New Roman" w:hAnsi="Calibri" w:cs="Calibri"/>
                <w:color w:val="000000"/>
                <w:lang w:eastAsia="en-GB"/>
              </w:rPr>
              <w:t>0.1</w:t>
            </w:r>
          </w:p>
        </w:tc>
        <w:tc>
          <w:tcPr>
            <w:tcW w:w="1116" w:type="dxa"/>
            <w:noWrap/>
            <w:hideMark/>
          </w:tcPr>
          <w:p w14:paraId="336F8B21" w14:textId="77777777" w:rsidR="00125DF3" w:rsidRPr="003A5A47" w:rsidRDefault="00125DF3" w:rsidP="00125D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3A5A47">
              <w:rPr>
                <w:rFonts w:ascii="Calibri" w:eastAsia="Times New Roman" w:hAnsi="Calibri" w:cs="Calibri"/>
                <w:color w:val="000000"/>
                <w:lang w:eastAsia="en-GB"/>
              </w:rPr>
              <w:t>0.6</w:t>
            </w:r>
          </w:p>
        </w:tc>
        <w:tc>
          <w:tcPr>
            <w:tcW w:w="1670" w:type="dxa"/>
          </w:tcPr>
          <w:p w14:paraId="774E6FF0" w14:textId="0BC85F2E" w:rsidR="00125DF3" w:rsidRPr="003A5A47" w:rsidRDefault="00125DF3" w:rsidP="00125D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3A5A47">
              <w:rPr>
                <w:rFonts w:ascii="Calibri" w:eastAsia="Times New Roman" w:hAnsi="Calibri" w:cs="Calibri"/>
                <w:color w:val="000000"/>
                <w:lang w:eastAsia="en-GB"/>
              </w:rPr>
              <w:t>0.9</w:t>
            </w:r>
          </w:p>
        </w:tc>
        <w:tc>
          <w:tcPr>
            <w:tcW w:w="1670" w:type="dxa"/>
            <w:noWrap/>
            <w:hideMark/>
          </w:tcPr>
          <w:p w14:paraId="5939365F" w14:textId="7970CBFC" w:rsidR="00125DF3" w:rsidRPr="003A5A47" w:rsidRDefault="00125DF3" w:rsidP="00125D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3A5A47">
              <w:rPr>
                <w:rFonts w:ascii="Calibri" w:eastAsia="Times New Roman" w:hAnsi="Calibri" w:cs="Calibri"/>
                <w:color w:val="000000"/>
                <w:lang w:eastAsia="en-GB"/>
              </w:rPr>
              <w:t>0.6</w:t>
            </w:r>
          </w:p>
        </w:tc>
        <w:tc>
          <w:tcPr>
            <w:tcW w:w="2078" w:type="dxa"/>
            <w:noWrap/>
            <w:hideMark/>
          </w:tcPr>
          <w:p w14:paraId="0F23E52E" w14:textId="77777777" w:rsidR="00125DF3" w:rsidRPr="003A5A47" w:rsidRDefault="00125DF3" w:rsidP="00125D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3A5A47">
              <w:rPr>
                <w:rFonts w:ascii="Calibri" w:eastAsia="Times New Roman" w:hAnsi="Calibri" w:cs="Calibri"/>
                <w:color w:val="000000"/>
                <w:lang w:eastAsia="en-GB"/>
              </w:rPr>
              <w:t>0.9</w:t>
            </w:r>
          </w:p>
        </w:tc>
      </w:tr>
      <w:tr w:rsidR="00125DF3" w:rsidRPr="003A5A47" w14:paraId="6590FF70" w14:textId="77777777" w:rsidTr="0024262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00" w:type="dxa"/>
            <w:noWrap/>
            <w:hideMark/>
          </w:tcPr>
          <w:p w14:paraId="18301D0C" w14:textId="77777777" w:rsidR="00125DF3" w:rsidRPr="003A5A47" w:rsidRDefault="00125DF3" w:rsidP="00125DF3">
            <w:pPr>
              <w:rPr>
                <w:rFonts w:ascii="Calibri" w:eastAsia="Times New Roman" w:hAnsi="Calibri" w:cs="Calibri"/>
                <w:color w:val="000000"/>
                <w:lang w:eastAsia="en-GB"/>
              </w:rPr>
            </w:pPr>
            <w:r w:rsidRPr="003A5A47">
              <w:rPr>
                <w:rFonts w:ascii="Calibri" w:eastAsia="Times New Roman" w:hAnsi="Calibri" w:cs="Calibri"/>
                <w:color w:val="000000"/>
                <w:lang w:eastAsia="en-GB"/>
              </w:rPr>
              <w:t>India</w:t>
            </w:r>
          </w:p>
        </w:tc>
        <w:tc>
          <w:tcPr>
            <w:tcW w:w="1033" w:type="dxa"/>
            <w:noWrap/>
            <w:hideMark/>
          </w:tcPr>
          <w:p w14:paraId="08D70A30" w14:textId="77777777" w:rsidR="00125DF3" w:rsidRPr="003A5A47" w:rsidRDefault="00125DF3" w:rsidP="00125D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3A5A47">
              <w:rPr>
                <w:rFonts w:ascii="Calibri" w:eastAsia="Times New Roman" w:hAnsi="Calibri" w:cs="Calibri"/>
                <w:color w:val="000000"/>
                <w:lang w:eastAsia="en-GB"/>
              </w:rPr>
              <w:t>33.4</w:t>
            </w:r>
          </w:p>
        </w:tc>
        <w:tc>
          <w:tcPr>
            <w:tcW w:w="1116" w:type="dxa"/>
            <w:noWrap/>
            <w:hideMark/>
          </w:tcPr>
          <w:p w14:paraId="3CAE8916" w14:textId="77777777" w:rsidR="00125DF3" w:rsidRPr="003A5A47" w:rsidRDefault="00125DF3" w:rsidP="00125D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3A5A47">
              <w:rPr>
                <w:rFonts w:ascii="Calibri" w:eastAsia="Times New Roman" w:hAnsi="Calibri" w:cs="Calibri"/>
                <w:color w:val="000000"/>
                <w:lang w:eastAsia="en-GB"/>
              </w:rPr>
              <w:t>33.8</w:t>
            </w:r>
          </w:p>
        </w:tc>
        <w:tc>
          <w:tcPr>
            <w:tcW w:w="1670" w:type="dxa"/>
          </w:tcPr>
          <w:p w14:paraId="449B8DB8" w14:textId="20F8187E" w:rsidR="00125DF3" w:rsidRPr="003A5A47" w:rsidRDefault="00125DF3" w:rsidP="00125D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3A5A47">
              <w:rPr>
                <w:rFonts w:ascii="Calibri" w:eastAsia="Times New Roman" w:hAnsi="Calibri" w:cs="Calibri"/>
                <w:color w:val="000000"/>
                <w:lang w:eastAsia="en-GB"/>
              </w:rPr>
              <w:t>34.9</w:t>
            </w:r>
          </w:p>
        </w:tc>
        <w:tc>
          <w:tcPr>
            <w:tcW w:w="1670" w:type="dxa"/>
            <w:noWrap/>
            <w:hideMark/>
          </w:tcPr>
          <w:p w14:paraId="0ECDECEF" w14:textId="094C0655" w:rsidR="00125DF3" w:rsidRPr="003A5A47" w:rsidRDefault="00125DF3" w:rsidP="00125D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3A5A47">
              <w:rPr>
                <w:rFonts w:ascii="Calibri" w:eastAsia="Times New Roman" w:hAnsi="Calibri" w:cs="Calibri"/>
                <w:color w:val="000000"/>
                <w:lang w:eastAsia="en-GB"/>
              </w:rPr>
              <w:t>47.1</w:t>
            </w:r>
          </w:p>
        </w:tc>
        <w:tc>
          <w:tcPr>
            <w:tcW w:w="2078" w:type="dxa"/>
            <w:noWrap/>
            <w:hideMark/>
          </w:tcPr>
          <w:p w14:paraId="697FC40C" w14:textId="77777777" w:rsidR="00125DF3" w:rsidRPr="003A5A47" w:rsidRDefault="00125DF3" w:rsidP="00125D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3A5A47">
              <w:rPr>
                <w:rFonts w:ascii="Calibri" w:eastAsia="Times New Roman" w:hAnsi="Calibri" w:cs="Calibri"/>
                <w:color w:val="000000"/>
                <w:lang w:eastAsia="en-GB"/>
              </w:rPr>
              <w:t>48.2</w:t>
            </w:r>
          </w:p>
        </w:tc>
      </w:tr>
      <w:tr w:rsidR="00125DF3" w:rsidRPr="003A5A47" w14:paraId="6016875F" w14:textId="77777777" w:rsidTr="0024262D">
        <w:trPr>
          <w:trHeight w:val="300"/>
        </w:trPr>
        <w:tc>
          <w:tcPr>
            <w:cnfStyle w:val="001000000000" w:firstRow="0" w:lastRow="0" w:firstColumn="1" w:lastColumn="0" w:oddVBand="0" w:evenVBand="0" w:oddHBand="0" w:evenHBand="0" w:firstRowFirstColumn="0" w:firstRowLastColumn="0" w:lastRowFirstColumn="0" w:lastRowLastColumn="0"/>
            <w:tcW w:w="2500" w:type="dxa"/>
            <w:noWrap/>
            <w:hideMark/>
          </w:tcPr>
          <w:p w14:paraId="06A447EE" w14:textId="77777777" w:rsidR="00125DF3" w:rsidRPr="003A5A47" w:rsidRDefault="00125DF3" w:rsidP="00125DF3">
            <w:pPr>
              <w:rPr>
                <w:rFonts w:ascii="Calibri" w:eastAsia="Times New Roman" w:hAnsi="Calibri" w:cs="Calibri"/>
                <w:color w:val="000000"/>
                <w:lang w:eastAsia="en-GB"/>
              </w:rPr>
            </w:pPr>
            <w:r w:rsidRPr="003A5A47">
              <w:rPr>
                <w:rFonts w:ascii="Calibri" w:eastAsia="Times New Roman" w:hAnsi="Calibri" w:cs="Calibri"/>
                <w:color w:val="000000"/>
                <w:lang w:eastAsia="en-GB"/>
              </w:rPr>
              <w:t>South Africa</w:t>
            </w:r>
          </w:p>
        </w:tc>
        <w:tc>
          <w:tcPr>
            <w:tcW w:w="1033" w:type="dxa"/>
            <w:noWrap/>
            <w:hideMark/>
          </w:tcPr>
          <w:p w14:paraId="67681993" w14:textId="77777777" w:rsidR="00125DF3" w:rsidRPr="003A5A47" w:rsidRDefault="00125DF3" w:rsidP="00125D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3A5A47">
              <w:rPr>
                <w:rFonts w:ascii="Calibri" w:eastAsia="Times New Roman" w:hAnsi="Calibri" w:cs="Calibri"/>
                <w:color w:val="000000"/>
                <w:lang w:eastAsia="en-GB"/>
              </w:rPr>
              <w:t>2.1</w:t>
            </w:r>
          </w:p>
        </w:tc>
        <w:tc>
          <w:tcPr>
            <w:tcW w:w="1116" w:type="dxa"/>
            <w:noWrap/>
            <w:hideMark/>
          </w:tcPr>
          <w:p w14:paraId="1FAA0B60" w14:textId="77777777" w:rsidR="00125DF3" w:rsidRPr="003A5A47" w:rsidRDefault="00125DF3" w:rsidP="00125D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3A5A47">
              <w:rPr>
                <w:rFonts w:ascii="Calibri" w:eastAsia="Times New Roman" w:hAnsi="Calibri" w:cs="Calibri"/>
                <w:color w:val="000000"/>
                <w:lang w:eastAsia="en-GB"/>
              </w:rPr>
              <w:t>2.5</w:t>
            </w:r>
          </w:p>
        </w:tc>
        <w:tc>
          <w:tcPr>
            <w:tcW w:w="1670" w:type="dxa"/>
          </w:tcPr>
          <w:p w14:paraId="017C7014" w14:textId="68D056C3" w:rsidR="00125DF3" w:rsidRPr="003A5A47" w:rsidRDefault="00125DF3" w:rsidP="00125D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3A5A47">
              <w:rPr>
                <w:rFonts w:ascii="Calibri" w:eastAsia="Times New Roman" w:hAnsi="Calibri" w:cs="Calibri"/>
                <w:color w:val="000000"/>
                <w:lang w:eastAsia="en-GB"/>
              </w:rPr>
              <w:t>2.6</w:t>
            </w:r>
          </w:p>
        </w:tc>
        <w:tc>
          <w:tcPr>
            <w:tcW w:w="1670" w:type="dxa"/>
            <w:noWrap/>
            <w:hideMark/>
          </w:tcPr>
          <w:p w14:paraId="598315B9" w14:textId="2DC1DE5D" w:rsidR="00125DF3" w:rsidRPr="003A5A47" w:rsidRDefault="00125DF3" w:rsidP="00125D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3A5A47">
              <w:rPr>
                <w:rFonts w:ascii="Calibri" w:eastAsia="Times New Roman" w:hAnsi="Calibri" w:cs="Calibri"/>
                <w:color w:val="000000"/>
                <w:lang w:eastAsia="en-GB"/>
              </w:rPr>
              <w:t>2.7</w:t>
            </w:r>
          </w:p>
        </w:tc>
        <w:tc>
          <w:tcPr>
            <w:tcW w:w="2078" w:type="dxa"/>
            <w:noWrap/>
            <w:hideMark/>
          </w:tcPr>
          <w:p w14:paraId="3C09D3FE" w14:textId="77777777" w:rsidR="00125DF3" w:rsidRPr="003A5A47" w:rsidRDefault="00125DF3" w:rsidP="00125DF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3A5A47">
              <w:rPr>
                <w:rFonts w:ascii="Calibri" w:eastAsia="Times New Roman" w:hAnsi="Calibri" w:cs="Calibri"/>
                <w:color w:val="000000"/>
                <w:lang w:eastAsia="en-GB"/>
              </w:rPr>
              <w:t>2.9</w:t>
            </w:r>
          </w:p>
        </w:tc>
      </w:tr>
      <w:tr w:rsidR="00125DF3" w:rsidRPr="003A5A47" w14:paraId="481C37C8" w14:textId="77777777" w:rsidTr="0024262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00" w:type="dxa"/>
            <w:noWrap/>
            <w:hideMark/>
          </w:tcPr>
          <w:p w14:paraId="5B542805" w14:textId="77777777" w:rsidR="00125DF3" w:rsidRPr="003A5A47" w:rsidRDefault="00125DF3" w:rsidP="00125DF3">
            <w:pPr>
              <w:rPr>
                <w:rFonts w:ascii="Calibri" w:eastAsia="Times New Roman" w:hAnsi="Calibri" w:cs="Calibri"/>
                <w:color w:val="000000"/>
                <w:lang w:eastAsia="en-GB"/>
              </w:rPr>
            </w:pPr>
            <w:r w:rsidRPr="003A5A47">
              <w:rPr>
                <w:rFonts w:ascii="Calibri" w:eastAsia="Times New Roman" w:hAnsi="Calibri" w:cs="Calibri"/>
                <w:color w:val="000000"/>
                <w:lang w:eastAsia="en-GB"/>
              </w:rPr>
              <w:t>Rest South America</w:t>
            </w:r>
          </w:p>
        </w:tc>
        <w:tc>
          <w:tcPr>
            <w:tcW w:w="1033" w:type="dxa"/>
            <w:noWrap/>
            <w:hideMark/>
          </w:tcPr>
          <w:p w14:paraId="46901FDB" w14:textId="77777777" w:rsidR="00125DF3" w:rsidRPr="003A5A47" w:rsidRDefault="00125DF3" w:rsidP="00125D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3A5A47">
              <w:rPr>
                <w:rFonts w:ascii="Calibri" w:eastAsia="Times New Roman" w:hAnsi="Calibri" w:cs="Calibri"/>
                <w:color w:val="000000"/>
                <w:lang w:eastAsia="en-GB"/>
              </w:rPr>
              <w:t>2.3</w:t>
            </w:r>
          </w:p>
        </w:tc>
        <w:tc>
          <w:tcPr>
            <w:tcW w:w="1116" w:type="dxa"/>
            <w:noWrap/>
            <w:hideMark/>
          </w:tcPr>
          <w:p w14:paraId="2222FECF" w14:textId="77777777" w:rsidR="00125DF3" w:rsidRPr="003A5A47" w:rsidRDefault="00125DF3" w:rsidP="00125D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3A5A47">
              <w:rPr>
                <w:rFonts w:ascii="Calibri" w:eastAsia="Times New Roman" w:hAnsi="Calibri" w:cs="Calibri"/>
                <w:color w:val="000000"/>
                <w:lang w:eastAsia="en-GB"/>
              </w:rPr>
              <w:t>2.6</w:t>
            </w:r>
          </w:p>
        </w:tc>
        <w:tc>
          <w:tcPr>
            <w:tcW w:w="1670" w:type="dxa"/>
          </w:tcPr>
          <w:p w14:paraId="555318A6" w14:textId="1B9D7180" w:rsidR="00125DF3" w:rsidRPr="003A5A47" w:rsidRDefault="00125DF3" w:rsidP="00125D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3A5A47">
              <w:rPr>
                <w:rFonts w:ascii="Calibri" w:eastAsia="Times New Roman" w:hAnsi="Calibri" w:cs="Calibri"/>
                <w:color w:val="000000"/>
                <w:lang w:eastAsia="en-GB"/>
              </w:rPr>
              <w:t>2.9</w:t>
            </w:r>
          </w:p>
        </w:tc>
        <w:tc>
          <w:tcPr>
            <w:tcW w:w="1670" w:type="dxa"/>
            <w:noWrap/>
            <w:hideMark/>
          </w:tcPr>
          <w:p w14:paraId="33961468" w14:textId="297A5672" w:rsidR="00125DF3" w:rsidRPr="003A5A47" w:rsidRDefault="00125DF3" w:rsidP="00125D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3A5A47">
              <w:rPr>
                <w:rFonts w:ascii="Calibri" w:eastAsia="Times New Roman" w:hAnsi="Calibri" w:cs="Calibri"/>
                <w:color w:val="000000"/>
                <w:lang w:eastAsia="en-GB"/>
              </w:rPr>
              <w:t>2.9</w:t>
            </w:r>
          </w:p>
        </w:tc>
        <w:tc>
          <w:tcPr>
            <w:tcW w:w="2078" w:type="dxa"/>
            <w:noWrap/>
            <w:hideMark/>
          </w:tcPr>
          <w:p w14:paraId="63762FFF" w14:textId="77777777" w:rsidR="00125DF3" w:rsidRPr="003A5A47" w:rsidRDefault="00125DF3" w:rsidP="00125DF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3A5A47">
              <w:rPr>
                <w:rFonts w:ascii="Calibri" w:eastAsia="Times New Roman" w:hAnsi="Calibri" w:cs="Calibri"/>
                <w:color w:val="000000"/>
                <w:lang w:eastAsia="en-GB"/>
              </w:rPr>
              <w:t>3.1</w:t>
            </w:r>
          </w:p>
        </w:tc>
      </w:tr>
    </w:tbl>
    <w:p w14:paraId="066549F7" w14:textId="1F8E9C61" w:rsidR="00C86446" w:rsidRPr="00103073" w:rsidRDefault="00C86446" w:rsidP="00103073">
      <w:pPr>
        <w:spacing w:after="0" w:line="240" w:lineRule="auto"/>
        <w:rPr>
          <w:rFonts w:ascii="Calibri" w:eastAsia="Times New Roman" w:hAnsi="Calibri" w:cs="Calibri"/>
          <w:color w:val="000000"/>
          <w:lang w:eastAsia="en-GB"/>
        </w:rPr>
      </w:pPr>
    </w:p>
    <w:p w14:paraId="07E7A9B0" w14:textId="53CA1C79" w:rsidR="005C4429" w:rsidRDefault="00937AD1" w:rsidP="005C4429">
      <w:pPr>
        <w:keepNext/>
      </w:pPr>
      <w:r>
        <w:rPr>
          <w:noProof/>
        </w:rPr>
        <w:lastRenderedPageBreak/>
        <w:drawing>
          <wp:inline distT="0" distB="0" distL="0" distR="0" wp14:anchorId="0BB33BE1" wp14:editId="6CF030E2">
            <wp:extent cx="6500486" cy="78962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515301" cy="7914221"/>
                    </a:xfrm>
                    <a:prstGeom prst="rect">
                      <a:avLst/>
                    </a:prstGeom>
                  </pic:spPr>
                </pic:pic>
              </a:graphicData>
            </a:graphic>
          </wp:inline>
        </w:drawing>
      </w:r>
    </w:p>
    <w:p w14:paraId="3E6905A9" w14:textId="2D9FC2A0" w:rsidR="00A543A9" w:rsidRDefault="005C4429" w:rsidP="005C4429">
      <w:pPr>
        <w:pStyle w:val="Caption"/>
      </w:pPr>
      <w:r>
        <w:t xml:space="preserve">Figure </w:t>
      </w:r>
      <w:r w:rsidR="009C7B91">
        <w:t>A</w:t>
      </w:r>
      <w:fldSimple w:instr=" SEQ Figure \* ARABIC ">
        <w:r w:rsidR="00BB7682">
          <w:rPr>
            <w:noProof/>
          </w:rPr>
          <w:t>2</w:t>
        </w:r>
      </w:fldSimple>
      <w:r w:rsidR="00AC4534">
        <w:t xml:space="preserve"> </w:t>
      </w:r>
      <w:r w:rsidR="00995B6A">
        <w:t xml:space="preserve">Estimated Increased installed capacity required </w:t>
      </w:r>
      <w:r w:rsidR="00791EF0">
        <w:t xml:space="preserve">for electrification </w:t>
      </w:r>
      <w:r w:rsidR="00995B6A">
        <w:t xml:space="preserve">under the different scenarios </w:t>
      </w:r>
      <w:r w:rsidR="00600631">
        <w:t xml:space="preserve">between 2021 to 2030 </w:t>
      </w:r>
      <w:r w:rsidR="00995B6A">
        <w:t xml:space="preserve">for </w:t>
      </w:r>
      <w:r w:rsidR="00F346DD">
        <w:t xml:space="preserve">the </w:t>
      </w:r>
      <w:r w:rsidR="00995B6A">
        <w:t>new central gr</w:t>
      </w:r>
      <w:r w:rsidR="00F346DD">
        <w:t>i</w:t>
      </w:r>
      <w:r w:rsidR="00995B6A">
        <w:t>d (blue) and off-grid connections (green).</w:t>
      </w:r>
    </w:p>
    <w:p w14:paraId="2E4257A4" w14:textId="3378BA65" w:rsidR="00D961B9" w:rsidRDefault="00D961B9">
      <w:pPr>
        <w:rPr>
          <w:lang w:val="en-US"/>
        </w:rPr>
      </w:pPr>
    </w:p>
    <w:p w14:paraId="089F7AF5" w14:textId="641ADE50" w:rsidR="00A543A9" w:rsidRDefault="002E4AFF" w:rsidP="00A543A9">
      <w:pPr>
        <w:keepNext/>
      </w:pPr>
      <w:r>
        <w:rPr>
          <w:noProof/>
        </w:rPr>
        <w:lastRenderedPageBreak/>
        <w:drawing>
          <wp:inline distT="0" distB="0" distL="0" distR="0" wp14:anchorId="75CF80CB" wp14:editId="4E10C579">
            <wp:extent cx="6496050" cy="80438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r="892"/>
                    <a:stretch/>
                  </pic:blipFill>
                  <pic:spPr bwMode="auto">
                    <a:xfrm>
                      <a:off x="0" y="0"/>
                      <a:ext cx="6518474" cy="8071645"/>
                    </a:xfrm>
                    <a:prstGeom prst="rect">
                      <a:avLst/>
                    </a:prstGeom>
                    <a:ln>
                      <a:noFill/>
                    </a:ln>
                    <a:extLst>
                      <a:ext uri="{53640926-AAD7-44D8-BBD7-CCE9431645EC}">
                        <a14:shadowObscured xmlns:a14="http://schemas.microsoft.com/office/drawing/2010/main"/>
                      </a:ext>
                    </a:extLst>
                  </pic:spPr>
                </pic:pic>
              </a:graphicData>
            </a:graphic>
          </wp:inline>
        </w:drawing>
      </w:r>
    </w:p>
    <w:p w14:paraId="3FF74C96" w14:textId="681F2D63" w:rsidR="00814AD8" w:rsidRDefault="00A543A9" w:rsidP="00BD14B0">
      <w:pPr>
        <w:pStyle w:val="Caption"/>
      </w:pPr>
      <w:r>
        <w:t xml:space="preserve">Figure </w:t>
      </w:r>
      <w:r w:rsidR="009C7B91">
        <w:t>A</w:t>
      </w:r>
      <w:r w:rsidR="00421743">
        <w:fldChar w:fldCharType="begin"/>
      </w:r>
      <w:r w:rsidR="00421743">
        <w:instrText xml:space="preserve"> SEQ Figure \* ARABIC </w:instrText>
      </w:r>
      <w:r w:rsidR="00421743">
        <w:fldChar w:fldCharType="separate"/>
      </w:r>
      <w:r w:rsidR="00BB7682">
        <w:rPr>
          <w:noProof/>
        </w:rPr>
        <w:t>3</w:t>
      </w:r>
      <w:r w:rsidR="00421743">
        <w:rPr>
          <w:noProof/>
        </w:rPr>
        <w:fldChar w:fldCharType="end"/>
      </w:r>
      <w:r w:rsidR="00221AEC">
        <w:t xml:space="preserve"> </w:t>
      </w:r>
      <w:r w:rsidR="00BD14B0">
        <w:t xml:space="preserve">Estimated Increased installed capacity required for electrification under the different scenarios between 2021 to 2030 for the new off-grid </w:t>
      </w:r>
      <w:r w:rsidR="00504822">
        <w:t>installed technologies</w:t>
      </w:r>
      <w:r w:rsidR="00BD14B0">
        <w:t>.</w:t>
      </w:r>
    </w:p>
    <w:p w14:paraId="37A4DEEC" w14:textId="7AD0CCE6" w:rsidR="00814AD8" w:rsidRDefault="000360A7" w:rsidP="00814AD8">
      <w:pPr>
        <w:rPr>
          <w:noProof/>
        </w:rPr>
      </w:pPr>
      <w:r>
        <w:rPr>
          <w:noProof/>
        </w:rPr>
        <w:t xml:space="preserve"> </w:t>
      </w:r>
    </w:p>
    <w:p w14:paraId="3751885C" w14:textId="4DE902DE" w:rsidR="00C72528" w:rsidRDefault="00C72528" w:rsidP="00814AD8">
      <w:pPr>
        <w:rPr>
          <w:noProof/>
        </w:rPr>
      </w:pPr>
    </w:p>
    <w:p w14:paraId="7F1FE97E" w14:textId="77777777" w:rsidR="00C72528" w:rsidRPr="00814AD8" w:rsidRDefault="00C72528" w:rsidP="00814AD8"/>
    <w:p w14:paraId="232B5C56" w14:textId="76A1860E" w:rsidR="00284A3B" w:rsidRDefault="00F71E91" w:rsidP="008A4E36">
      <w:pPr>
        <w:pStyle w:val="Heading2"/>
        <w:rPr>
          <w:lang w:val="en-US"/>
        </w:rPr>
      </w:pPr>
      <w:r>
        <w:rPr>
          <w:lang w:val="en-US"/>
        </w:rPr>
        <w:t>General</w:t>
      </w:r>
      <w:r w:rsidR="00BD6ED8">
        <w:rPr>
          <w:lang w:val="en-US"/>
        </w:rPr>
        <w:t xml:space="preserve"> assumptions</w:t>
      </w:r>
    </w:p>
    <w:p w14:paraId="2DA0BE99" w14:textId="3E40913B" w:rsidR="008A4E36" w:rsidRPr="008A4E36" w:rsidRDefault="008A4E36" w:rsidP="008A4E36">
      <w:pPr>
        <w:rPr>
          <w:lang w:val="en-US"/>
        </w:rPr>
      </w:pPr>
      <w:r>
        <w:rPr>
          <w:lang w:val="en-US"/>
        </w:rPr>
        <w:t xml:space="preserve">The </w:t>
      </w:r>
      <w:r w:rsidR="0065554E">
        <w:rPr>
          <w:lang w:val="en-US"/>
        </w:rPr>
        <w:t xml:space="preserve">transmission and distribution </w:t>
      </w:r>
      <w:r w:rsidR="00217408">
        <w:rPr>
          <w:lang w:val="en-US"/>
        </w:rPr>
        <w:t>capacity</w:t>
      </w:r>
      <w:r w:rsidR="00906686">
        <w:rPr>
          <w:lang w:val="en-US"/>
        </w:rPr>
        <w:t xml:space="preserve"> </w:t>
      </w:r>
      <w:r w:rsidR="0065554E">
        <w:rPr>
          <w:lang w:val="en-US"/>
        </w:rPr>
        <w:t xml:space="preserve">for central grid connections </w:t>
      </w:r>
      <w:r w:rsidR="00FA7C3F">
        <w:rPr>
          <w:lang w:val="en-US"/>
        </w:rPr>
        <w:t>or</w:t>
      </w:r>
      <w:r w:rsidR="0065554E">
        <w:rPr>
          <w:lang w:val="en-US"/>
        </w:rPr>
        <w:t xml:space="preserve"> mini</w:t>
      </w:r>
      <w:r w:rsidR="00A4096A">
        <w:rPr>
          <w:lang w:val="en-US"/>
        </w:rPr>
        <w:t>-grids</w:t>
      </w:r>
      <w:r w:rsidR="00217408">
        <w:rPr>
          <w:lang w:val="en-US"/>
        </w:rPr>
        <w:t xml:space="preserve"> w</w:t>
      </w:r>
      <w:r w:rsidR="004B5100">
        <w:rPr>
          <w:lang w:val="en-US"/>
        </w:rPr>
        <w:t>ere</w:t>
      </w:r>
      <w:r w:rsidR="00217408">
        <w:rPr>
          <w:lang w:val="en-US"/>
        </w:rPr>
        <w:t xml:space="preserve"> calculated </w:t>
      </w:r>
      <w:r w:rsidR="00A4096A">
        <w:rPr>
          <w:lang w:val="en-US"/>
        </w:rPr>
        <w:t>us</w:t>
      </w:r>
      <w:r w:rsidR="00561758">
        <w:rPr>
          <w:lang w:val="en-US"/>
        </w:rPr>
        <w:t xml:space="preserve">ing a threshold on the average household demand per region. Regions with </w:t>
      </w:r>
      <w:r w:rsidR="00110506">
        <w:rPr>
          <w:lang w:val="en-US"/>
        </w:rPr>
        <w:t xml:space="preserve">low </w:t>
      </w:r>
      <w:r w:rsidR="00561758">
        <w:rPr>
          <w:lang w:val="en-US"/>
        </w:rPr>
        <w:t xml:space="preserve">household demand </w:t>
      </w:r>
      <w:r w:rsidR="00110506">
        <w:rPr>
          <w:lang w:val="en-US"/>
        </w:rPr>
        <w:t>(</w:t>
      </w:r>
      <w:r w:rsidR="0040672D">
        <w:rPr>
          <w:lang w:val="en-US"/>
        </w:rPr>
        <w:t>700kWh/year</w:t>
      </w:r>
      <w:r w:rsidR="00110506">
        <w:rPr>
          <w:lang w:val="en-US"/>
        </w:rPr>
        <w:t>)</w:t>
      </w:r>
      <w:r w:rsidR="0040672D">
        <w:rPr>
          <w:lang w:val="en-US"/>
        </w:rPr>
        <w:t xml:space="preserve"> are assumed to </w:t>
      </w:r>
      <w:r w:rsidR="00A82CE8">
        <w:rPr>
          <w:lang w:val="en-US"/>
        </w:rPr>
        <w:t xml:space="preserve">use electricity for four hours </w:t>
      </w:r>
      <w:r w:rsidR="005E36D5">
        <w:rPr>
          <w:lang w:val="en-US"/>
        </w:rPr>
        <w:t>dail</w:t>
      </w:r>
      <w:r w:rsidR="00A82CE8">
        <w:rPr>
          <w:lang w:val="en-US"/>
        </w:rPr>
        <w:t>y. While</w:t>
      </w:r>
      <w:r w:rsidR="0046543B">
        <w:rPr>
          <w:lang w:val="en-US"/>
        </w:rPr>
        <w:t xml:space="preserve"> </w:t>
      </w:r>
      <w:r w:rsidR="00191634">
        <w:rPr>
          <w:lang w:val="en-US"/>
        </w:rPr>
        <w:t xml:space="preserve">for </w:t>
      </w:r>
      <w:r w:rsidR="0046543B">
        <w:rPr>
          <w:lang w:val="en-US"/>
        </w:rPr>
        <w:t>regions with average household demand exceeding this threshold</w:t>
      </w:r>
      <w:r w:rsidR="00721DE6">
        <w:rPr>
          <w:lang w:val="en-US"/>
        </w:rPr>
        <w:t xml:space="preserve">, </w:t>
      </w:r>
      <w:r w:rsidR="000D7DA3">
        <w:rPr>
          <w:lang w:val="en-US"/>
        </w:rPr>
        <w:t xml:space="preserve">the peak demand was implemented using </w:t>
      </w:r>
      <w:r w:rsidR="0015794C">
        <w:rPr>
          <w:lang w:val="en-US"/>
        </w:rPr>
        <w:t xml:space="preserve">a </w:t>
      </w:r>
      <w:r w:rsidR="00CD07F8">
        <w:rPr>
          <w:lang w:val="en-US"/>
        </w:rPr>
        <w:t xml:space="preserve">residential load curve </w:t>
      </w:r>
      <w:r w:rsidR="0015794C">
        <w:rPr>
          <w:lang w:val="en-US"/>
        </w:rPr>
        <w:t xml:space="preserve">obtained from </w:t>
      </w:r>
      <w:r w:rsidR="00CD07F8">
        <w:rPr>
          <w:lang w:val="en-US"/>
        </w:rPr>
        <w:t xml:space="preserve">Zapata et al., </w:t>
      </w:r>
      <w:r w:rsidR="00C9272D">
        <w:rPr>
          <w:lang w:val="en-US"/>
        </w:rPr>
        <w:fldChar w:fldCharType="begin" w:fldLock="1"/>
      </w:r>
      <w:r w:rsidR="00C9272D">
        <w:rPr>
          <w:lang w:val="en-US"/>
        </w:rPr>
        <w:instrText>ADDIN CSL_CITATION {"citationItems":[{"id":"ITEM-1","itemData":{"DOI":"10.1016/J.ENERGY.2022.124741","ISSN":"0360-5442","abstract":"The rapidly increasing electricity demand and the expected increase in the contribution of variable renewable energy sources raise the need for looking at the characteristics of long-term demand variations. Furthermore, demand changes (e.g., the increasing penetration of electric vehicles) could affect the shape of future load curves. However, integrated assessment models often assume a constant load shape. In this research, the shape of future electricity demand load curves is determined with a global scope for long-term exploratory scenarios analysis within integrated assessment models. This was done by using empirical data on daily demand patterns of different end-uses and aggregating them with end-use annual electricity demand data from the IMAGE model. The regional hourly aggregated patterns modelled vary over the years by projected variation of temperature and contribution variations of the different sectors to total electricity demand. Results under the shared socioeconomic pathway two show that future load curves depict low changes over time and a large sensitivity to load variations from electric vehicle daily charging patterns.","author":[{"dropping-particle":"","family":"Castillo","given":"Victhalia Zapata","non-dropping-particle":"","parse-names":false,"suffix":""},{"dropping-particle":"de","family":"Boer","given":"Harmen Sytze","non-dropping-particle":"","parse-names":false,"suffix":""},{"dropping-particle":"","family":"Muñoz","given":"Raúl Maícas","non-dropping-particle":"","parse-names":false,"suffix":""},{"dropping-particle":"","family":"Gernaat","given":"David E.H.J.","non-dropping-particle":"","parse-names":false,"suffix":""},{"dropping-particle":"","family":"Benders","given":"René","non-dropping-particle":"","parse-names":false,"suffix":""},{"dropping-particle":"","family":"Vuuren","given":"Detlef","non-dropping-particle":"van","parse-names":false,"suffix":""}],"container-title":"Energy","id":"ITEM-1","issued":{"date-parts":[["2022","11","1"]]},"page":"124741","publisher":"Pergamon","title":"Future global electricity demand load curves","type":"article-journal","volume":"258"},"uris":["http://www.mendeley.com/documents/?uuid=d0520ebe-e476-387a-bfe0-1cf54bd68818"]}],"mendeley":{"formattedCitation":"[1]","plainTextFormattedCitation":"[1]"},"properties":{"noteIndex":0},"schema":"https://github.com/citation-style-language/schema/raw/master/csl-citation.json"}</w:instrText>
      </w:r>
      <w:r w:rsidR="00C9272D">
        <w:rPr>
          <w:lang w:val="en-US"/>
        </w:rPr>
        <w:fldChar w:fldCharType="separate"/>
      </w:r>
      <w:r w:rsidR="00C9272D" w:rsidRPr="00C9272D">
        <w:rPr>
          <w:noProof/>
          <w:lang w:val="en-US"/>
        </w:rPr>
        <w:t>[1]</w:t>
      </w:r>
      <w:r w:rsidR="00C9272D">
        <w:rPr>
          <w:lang w:val="en-US"/>
        </w:rPr>
        <w:fldChar w:fldCharType="end"/>
      </w:r>
    </w:p>
    <w:p w14:paraId="045A7B82" w14:textId="519D893C" w:rsidR="00973390" w:rsidRPr="00973390" w:rsidRDefault="00911CD9" w:rsidP="00973390">
      <w:pPr>
        <w:rPr>
          <w:lang w:val="en-US"/>
        </w:rPr>
      </w:pPr>
      <w:r>
        <w:rPr>
          <w:lang w:val="en-US"/>
        </w:rPr>
        <w:t>Other</w:t>
      </w:r>
      <w:r w:rsidR="00F97146">
        <w:rPr>
          <w:lang w:val="en-US"/>
        </w:rPr>
        <w:t xml:space="preserve"> </w:t>
      </w:r>
      <w:r w:rsidR="0035500E">
        <w:rPr>
          <w:lang w:val="en-US"/>
        </w:rPr>
        <w:t>techno-</w:t>
      </w:r>
      <w:proofErr w:type="spellStart"/>
      <w:r w:rsidR="0035500E">
        <w:rPr>
          <w:lang w:val="en-US"/>
        </w:rPr>
        <w:t>eonomic</w:t>
      </w:r>
      <w:proofErr w:type="spellEnd"/>
      <w:r w:rsidR="0035500E">
        <w:rPr>
          <w:lang w:val="en-US"/>
        </w:rPr>
        <w:t xml:space="preserve"> assumptions are listed below</w:t>
      </w:r>
      <w:r w:rsidR="00771A04">
        <w:rPr>
          <w:lang w:val="en-US"/>
        </w:rPr>
        <w:t>, and t</w:t>
      </w:r>
      <w:r w:rsidR="0035500E">
        <w:rPr>
          <w:lang w:val="en-US"/>
        </w:rPr>
        <w:t>he remaining assumption</w:t>
      </w:r>
      <w:r w:rsidR="00771A04">
        <w:rPr>
          <w:lang w:val="en-US"/>
        </w:rPr>
        <w:t>s</w:t>
      </w:r>
      <w:r w:rsidR="0035500E">
        <w:rPr>
          <w:lang w:val="en-US"/>
        </w:rPr>
        <w:t xml:space="preserve"> were left</w:t>
      </w:r>
      <w:r w:rsidR="00B15AE8">
        <w:rPr>
          <w:lang w:val="en-US"/>
        </w:rPr>
        <w:t xml:space="preserve"> as described in </w:t>
      </w:r>
      <w:proofErr w:type="spellStart"/>
      <w:r w:rsidR="00B15AE8">
        <w:rPr>
          <w:lang w:val="en-US"/>
        </w:rPr>
        <w:t>Dagnechew</w:t>
      </w:r>
      <w:proofErr w:type="spellEnd"/>
      <w:r w:rsidR="00B15AE8">
        <w:rPr>
          <w:lang w:val="en-US"/>
        </w:rPr>
        <w:t xml:space="preserve"> et al., </w:t>
      </w:r>
      <w:r w:rsidR="00B15AE8">
        <w:rPr>
          <w:lang w:val="en-US"/>
        </w:rPr>
        <w:fldChar w:fldCharType="begin" w:fldLock="1"/>
      </w:r>
      <w:r w:rsidR="00C9272D">
        <w:rPr>
          <w:lang w:val="en-US"/>
        </w:rPr>
        <w:instrText>ADDIN CSL_CITATION {"citationItems":[{"id":"ITEM-1","itemData":{"DOI":"10.1016/J.ENERGY.2017.07.144","ISSN":"0360-5442","abstract":"Poverty and lack of access to electricity are highly correlated. In Sub-Saharan Africa, one of the poorest regions in the world, two in every three people have no access to electricity. This paper describes a purpose designed model to explore and project the development in the Sub-Saharan African electricity sector in Baseline and Universal access scenarios. The results provide insight into the role of different systems and technologies in providing access to electricity in the region and associated investment requirements. We project that Baseline developments do not lead to universal access to electricity, especially in Eastern Africa and the rural areas. The results show that central grid extension should be complemented with off-grid systems (mini-grid and stand-alone) to increase access in Sub-Saharan Africa. At the same time, the targeted level of consumption has large implications on the preferred electrification technology and associated investment requirements. For low levels of consumption, off-grid technologies are the most important technologies to increase access rate, while for high levels of consumption, extending the central grid is more economical. Total cumulative investment in the period 2010-2030 amount to 22 billion USD for low levels of consumption and exceed 2.5 trillion USD for high levels of consumption.","author":[{"dropping-particle":"","family":"Dagnachew","given":"Anteneh G.","non-dropping-particle":"","parse-names":false,"suffix":""},{"dropping-particle":"","family":"Lucas","given":"Paul L.","non-dropping-particle":"","parse-names":false,"suffix":""},{"dropping-particle":"","family":"Hof","given":"Andries F.","non-dropping-particle":"","parse-names":false,"suffix":""},{"dropping-particle":"","family":"Gernaat","given":"David E.H.J.","non-dropping-particle":"","parse-names":false,"suffix":""},{"dropping-particle":"","family":"Boer","given":"Harmen Sytze","non-dropping-particle":"de","parse-names":false,"suffix":""},{"dropping-particle":"","family":"Vuuren","given":"Detlef P.","non-dropping-particle":"van","parse-names":false,"suffix":""}],"container-title":"Energy","id":"ITEM-1","issued":{"date-parts":[["2017","11","15"]]},"page":"184-195","publisher":"Pergamon","title":"The role of decentralized systems in providing universal electricity access in Sub-Saharan Africa – A model-based approach","type":"article-journal","volume":"139"},"uris":["http://www.mendeley.com/documents/?uuid=9d575271-33d8-3ddd-a6a8-a74016ac3b55"]}],"mendeley":{"formattedCitation":"[2]","plainTextFormattedCitation":"[2]","previouslyFormattedCitation":"[1]"},"properties":{"noteIndex":0},"schema":"https://github.com/citation-style-language/schema/raw/master/csl-citation.json"}</w:instrText>
      </w:r>
      <w:r w:rsidR="00B15AE8">
        <w:rPr>
          <w:lang w:val="en-US"/>
        </w:rPr>
        <w:fldChar w:fldCharType="separate"/>
      </w:r>
      <w:r w:rsidR="00C9272D" w:rsidRPr="00C9272D">
        <w:rPr>
          <w:noProof/>
          <w:lang w:val="en-US"/>
        </w:rPr>
        <w:t>[2]</w:t>
      </w:r>
      <w:r w:rsidR="00B15AE8">
        <w:rPr>
          <w:lang w:val="en-US"/>
        </w:rPr>
        <w:fldChar w:fldCharType="end"/>
      </w:r>
    </w:p>
    <w:tbl>
      <w:tblPr>
        <w:tblStyle w:val="TableGrid"/>
        <w:tblW w:w="0" w:type="auto"/>
        <w:tblLook w:val="04A0" w:firstRow="1" w:lastRow="0" w:firstColumn="1" w:lastColumn="0" w:noHBand="0" w:noVBand="1"/>
      </w:tblPr>
      <w:tblGrid>
        <w:gridCol w:w="6941"/>
        <w:gridCol w:w="2075"/>
      </w:tblGrid>
      <w:tr w:rsidR="00C72528" w14:paraId="3B9E83C2" w14:textId="77777777" w:rsidTr="00DF55D1">
        <w:tc>
          <w:tcPr>
            <w:tcW w:w="6941" w:type="dxa"/>
          </w:tcPr>
          <w:p w14:paraId="7DD773A5" w14:textId="42DED9FE" w:rsidR="00C72528" w:rsidRPr="00F170FA" w:rsidRDefault="00825FB9" w:rsidP="00BD6ED8">
            <w:pPr>
              <w:rPr>
                <w:b/>
                <w:bCs/>
                <w:lang w:val="en-US"/>
              </w:rPr>
            </w:pPr>
            <w:r w:rsidRPr="00F170FA">
              <w:rPr>
                <w:b/>
                <w:bCs/>
                <w:lang w:val="en-US"/>
              </w:rPr>
              <w:t>Description</w:t>
            </w:r>
          </w:p>
        </w:tc>
        <w:tc>
          <w:tcPr>
            <w:tcW w:w="2075" w:type="dxa"/>
          </w:tcPr>
          <w:p w14:paraId="4D7C7B99" w14:textId="3D3F09F1" w:rsidR="00C72528" w:rsidRPr="00F170FA" w:rsidRDefault="00825FB9" w:rsidP="00BD6ED8">
            <w:pPr>
              <w:rPr>
                <w:b/>
                <w:bCs/>
                <w:lang w:val="en-US"/>
              </w:rPr>
            </w:pPr>
            <w:r w:rsidRPr="00F170FA">
              <w:rPr>
                <w:b/>
                <w:bCs/>
                <w:lang w:val="en-US"/>
              </w:rPr>
              <w:t>Value</w:t>
            </w:r>
          </w:p>
        </w:tc>
      </w:tr>
      <w:tr w:rsidR="00C72528" w14:paraId="0ED157F7" w14:textId="77777777" w:rsidTr="00DF55D1">
        <w:tc>
          <w:tcPr>
            <w:tcW w:w="6941" w:type="dxa"/>
          </w:tcPr>
          <w:p w14:paraId="3DFD62AC" w14:textId="36CB12BD" w:rsidR="00C72528" w:rsidRDefault="000E5958" w:rsidP="00C72528">
            <w:pPr>
              <w:rPr>
                <w:lang w:val="en-US"/>
              </w:rPr>
            </w:pPr>
            <w:r>
              <w:rPr>
                <w:lang w:val="en-US"/>
              </w:rPr>
              <w:t>Discount rate for net present value</w:t>
            </w:r>
          </w:p>
        </w:tc>
        <w:tc>
          <w:tcPr>
            <w:tcW w:w="2075" w:type="dxa"/>
          </w:tcPr>
          <w:p w14:paraId="3CBF37ED" w14:textId="3B7F6D91" w:rsidR="00C72528" w:rsidRDefault="000E5958" w:rsidP="00C72528">
            <w:pPr>
              <w:rPr>
                <w:lang w:val="en-US"/>
              </w:rPr>
            </w:pPr>
            <w:r>
              <w:rPr>
                <w:lang w:val="en-US"/>
              </w:rPr>
              <w:t>10%</w:t>
            </w:r>
          </w:p>
        </w:tc>
      </w:tr>
      <w:tr w:rsidR="00F0717A" w14:paraId="086D0548" w14:textId="77777777" w:rsidTr="00DF55D1">
        <w:tc>
          <w:tcPr>
            <w:tcW w:w="6941" w:type="dxa"/>
          </w:tcPr>
          <w:p w14:paraId="10AF65A8" w14:textId="4A3B8CD5" w:rsidR="00F0717A" w:rsidRDefault="00F0717A" w:rsidP="00F0717A">
            <w:pPr>
              <w:rPr>
                <w:lang w:val="en-US"/>
              </w:rPr>
            </w:pPr>
            <w:r>
              <w:rPr>
                <w:lang w:val="en-US"/>
              </w:rPr>
              <w:t>CO2 emissions of diesel</w:t>
            </w:r>
            <w:r w:rsidR="00316B1A">
              <w:rPr>
                <w:lang w:val="en-US"/>
              </w:rPr>
              <w:t xml:space="preserve"> generators</w:t>
            </w:r>
          </w:p>
        </w:tc>
        <w:tc>
          <w:tcPr>
            <w:tcW w:w="2075" w:type="dxa"/>
          </w:tcPr>
          <w:p w14:paraId="33DB8AEA" w14:textId="0EEA8DA1" w:rsidR="00F0717A" w:rsidRDefault="00F0717A" w:rsidP="00F0717A">
            <w:pPr>
              <w:rPr>
                <w:lang w:val="en-US"/>
              </w:rPr>
            </w:pPr>
            <w:r>
              <w:rPr>
                <w:lang w:val="en-US"/>
              </w:rPr>
              <w:t>2.68 kgCO</w:t>
            </w:r>
            <w:r w:rsidRPr="002E6568">
              <w:rPr>
                <w:vertAlign w:val="subscript"/>
                <w:lang w:val="en-US"/>
              </w:rPr>
              <w:t>2</w:t>
            </w:r>
            <w:r>
              <w:rPr>
                <w:lang w:val="en-US"/>
              </w:rPr>
              <w:t xml:space="preserve">/liter </w:t>
            </w:r>
          </w:p>
        </w:tc>
      </w:tr>
      <w:tr w:rsidR="00F0717A" w14:paraId="03E5D05A" w14:textId="77777777" w:rsidTr="00DF55D1">
        <w:tc>
          <w:tcPr>
            <w:tcW w:w="6941" w:type="dxa"/>
          </w:tcPr>
          <w:p w14:paraId="28175F5C" w14:textId="701DBBEC" w:rsidR="00F0717A" w:rsidRDefault="00F0717A" w:rsidP="00F0717A">
            <w:pPr>
              <w:rPr>
                <w:lang w:val="en-US"/>
              </w:rPr>
            </w:pPr>
            <w:r>
              <w:rPr>
                <w:lang w:val="en-US"/>
              </w:rPr>
              <w:t>Diesel consumption in generators</w:t>
            </w:r>
          </w:p>
        </w:tc>
        <w:tc>
          <w:tcPr>
            <w:tcW w:w="2075" w:type="dxa"/>
          </w:tcPr>
          <w:p w14:paraId="23B22297" w14:textId="529C74E9" w:rsidR="00F0717A" w:rsidRDefault="00F0717A" w:rsidP="00F0717A">
            <w:pPr>
              <w:rPr>
                <w:lang w:val="en-US"/>
              </w:rPr>
            </w:pPr>
            <w:r>
              <w:rPr>
                <w:lang w:val="en-US"/>
              </w:rPr>
              <w:t>0.266 liters/kWh</w:t>
            </w:r>
          </w:p>
        </w:tc>
      </w:tr>
      <w:tr w:rsidR="00F0717A" w14:paraId="3AEF5666" w14:textId="77777777" w:rsidTr="00DF55D1">
        <w:tc>
          <w:tcPr>
            <w:tcW w:w="6941" w:type="dxa"/>
          </w:tcPr>
          <w:p w14:paraId="11701F0E" w14:textId="11EF495B" w:rsidR="00F0717A" w:rsidRDefault="00F0717A" w:rsidP="00F0717A">
            <w:pPr>
              <w:rPr>
                <w:lang w:val="en-US"/>
              </w:rPr>
            </w:pPr>
            <w:r>
              <w:rPr>
                <w:lang w:val="en-US"/>
              </w:rPr>
              <w:t>Diesel generator stand -alone life-time</w:t>
            </w:r>
            <w:r w:rsidR="008427DB">
              <w:rPr>
                <w:lang w:val="en-US"/>
              </w:rPr>
              <w:t xml:space="preserve"> </w:t>
            </w:r>
            <w:r w:rsidR="002E10E3">
              <w:rPr>
                <w:lang w:val="en-US"/>
              </w:rPr>
              <w:fldChar w:fldCharType="begin" w:fldLock="1"/>
            </w:r>
            <w:r w:rsidR="00C9272D">
              <w:rPr>
                <w:lang w:val="en-US"/>
              </w:rPr>
              <w:instrText>ADDIN CSL_CITATION {"citationItems":[{"id":"ITEM-1","itemData":{"DOI":"10.1016/J.ESD.2015.12.001","ISSN":"0973-0826","abstract":"Africa is a resource-rich continent but lacks the required power infrastructure. Efforts such as the United Nations Sustainable Energy for All and U.S. President Obama's Power Africa initiatives aim to facilitate much needed investment. However, no systematic national and regional investment outlook is available to analysts. This paper examines indicative scenarios of power plant investments based on potential for electricity trade. OSeMOSYS, a cost-optimization tool for long-term energy planning, is used to develop least cost system configurations. The electricity supply systems of forty-seven countries are modelled individually and linked via trade links to form TEMBA (The Electricity Model Base for Africa). A scenario comparison up to 2040 shows that an enhanced grid network can alter Africa's generation mix and reduce electricity generation cost. The insights have important investment, trade and policy implications, as specific projects can be identified as of major significance, and thus receive political support and funding.","author":[{"dropping-particle":"","family":"Taliotis","given":"Constantinos","non-dropping-particle":"","parse-names":false,"suffix":""},{"dropping-particle":"","family":"Shivakumar","given":"Abhishek","non-dropping-particle":"","parse-names":false,"suffix":""},{"dropping-particle":"","family":"Ramos","given":"Eunice","non-dropping-particle":"","parse-names":false,"suffix":""},{"dropping-particle":"","family":"Howells","given":"Mark","non-dropping-particle":"","parse-names":false,"suffix":""},{"dropping-particle":"","family":"Mentis","given":"Dimitris","non-dropping-particle":"","parse-names":false,"suffix":""},{"dropping-particle":"","family":"Sridharan","given":"Vignesh","non-dropping-particle":"","parse-names":false,"suffix":""},{"dropping-particle":"","family":"Broad","given":"Oliver","non-dropping-particle":"","parse-names":false,"suffix":""},{"dropping-particle":"","family":"Mofor","given":"Linus","non-dropping-particle":"","parse-names":false,"suffix":""}],"container-title":"Energy for Sustainable Development","id":"ITEM-1","issued":{"date-parts":[["2016","4","1"]]},"page":"50-66","publisher":"Elsevier","title":"An indicative analysis of investment opportunities in the African electricity supply sector — Using TEMBA (The Electricity Model Base for Africa)","type":"article-journal","volume":"31"},"uris":["http://www.mendeley.com/documents/?uuid=8e6354e7-f117-3ed6-bd32-cac39202c8cd"]}],"mendeley":{"formattedCitation":"[3]","plainTextFormattedCitation":"[3]","previouslyFormattedCitation":"[2]"},"properties":{"noteIndex":0},"schema":"https://github.com/citation-style-language/schema/raw/master/csl-citation.json"}</w:instrText>
            </w:r>
            <w:r w:rsidR="002E10E3">
              <w:rPr>
                <w:lang w:val="en-US"/>
              </w:rPr>
              <w:fldChar w:fldCharType="separate"/>
            </w:r>
            <w:r w:rsidR="00C9272D" w:rsidRPr="00C9272D">
              <w:rPr>
                <w:noProof/>
                <w:lang w:val="en-US"/>
              </w:rPr>
              <w:t>[3]</w:t>
            </w:r>
            <w:r w:rsidR="002E10E3">
              <w:rPr>
                <w:lang w:val="en-US"/>
              </w:rPr>
              <w:fldChar w:fldCharType="end"/>
            </w:r>
          </w:p>
        </w:tc>
        <w:tc>
          <w:tcPr>
            <w:tcW w:w="2075" w:type="dxa"/>
          </w:tcPr>
          <w:p w14:paraId="15641110" w14:textId="1D107261" w:rsidR="00F0717A" w:rsidRDefault="00F0717A" w:rsidP="00F0717A">
            <w:pPr>
              <w:rPr>
                <w:lang w:val="en-US"/>
              </w:rPr>
            </w:pPr>
            <w:r>
              <w:rPr>
                <w:lang w:val="en-US"/>
              </w:rPr>
              <w:t>10 years</w:t>
            </w:r>
          </w:p>
        </w:tc>
      </w:tr>
      <w:tr w:rsidR="00F0717A" w14:paraId="57D20CAB" w14:textId="77777777" w:rsidTr="00DF55D1">
        <w:tc>
          <w:tcPr>
            <w:tcW w:w="6941" w:type="dxa"/>
          </w:tcPr>
          <w:p w14:paraId="1B3BEDCB" w14:textId="0F277211" w:rsidR="00F0717A" w:rsidRDefault="00F90303" w:rsidP="00F0717A">
            <w:pPr>
              <w:rPr>
                <w:lang w:val="en-US"/>
              </w:rPr>
            </w:pPr>
            <w:r>
              <w:rPr>
                <w:lang w:val="en-US"/>
              </w:rPr>
              <w:t>Diesel cost</w:t>
            </w:r>
            <w:r w:rsidR="00DF55D1">
              <w:rPr>
                <w:lang w:val="en-US"/>
              </w:rPr>
              <w:t xml:space="preserve">: </w:t>
            </w:r>
            <w:r w:rsidR="00600688">
              <w:rPr>
                <w:lang w:val="en-US"/>
              </w:rPr>
              <w:t>world-bank</w:t>
            </w:r>
            <w:r w:rsidR="00DF55D1">
              <w:rPr>
                <w:lang w:val="en-US"/>
              </w:rPr>
              <w:t xml:space="preserve"> country data for retail price</w:t>
            </w:r>
            <w:r w:rsidR="002040F7">
              <w:rPr>
                <w:lang w:val="en-US"/>
              </w:rPr>
              <w:t xml:space="preserve"> </w:t>
            </w:r>
            <w:r w:rsidR="003D208C">
              <w:rPr>
                <w:lang w:val="en-US"/>
              </w:rPr>
              <w:fldChar w:fldCharType="begin" w:fldLock="1"/>
            </w:r>
            <w:r w:rsidR="00C9272D">
              <w:rPr>
                <w:lang w:val="en-US"/>
              </w:rPr>
              <w:instrText>ADDIN CSL_CITATION {"citationItems":[{"id":"ITEM-1","itemData":{"DOI":"https://data.worldbank.org/indicator/EP.PMP.DESL.CD","URL":"https://data.worldbank.org/indicator/EP.PMP.DESL.CD","author":[{"dropping-particle":"","family":"World Bank","given":"","non-dropping-particle":"","parse-names":false,"suffix":""}],"id":"ITEM-1","issued":{"date-parts":[["0"]]},"title":"Pump price for diesel fuel","type":"webpage"},"uris":["http://www.mendeley.com/documents/?uuid=157a66bf-a47b-4b37-ba0b-990b5d7c8159"]}],"mendeley":{"formattedCitation":"[4]","plainTextFormattedCitation":"[4]","previouslyFormattedCitation":"[3]"},"properties":{"noteIndex":0},"schema":"https://github.com/citation-style-language/schema/raw/master/csl-citation.json"}</w:instrText>
            </w:r>
            <w:r w:rsidR="003D208C">
              <w:rPr>
                <w:lang w:val="en-US"/>
              </w:rPr>
              <w:fldChar w:fldCharType="separate"/>
            </w:r>
            <w:r w:rsidR="00C9272D" w:rsidRPr="00C9272D">
              <w:rPr>
                <w:noProof/>
                <w:lang w:val="en-US"/>
              </w:rPr>
              <w:t>[4]</w:t>
            </w:r>
            <w:r w:rsidR="003D208C">
              <w:rPr>
                <w:lang w:val="en-US"/>
              </w:rPr>
              <w:fldChar w:fldCharType="end"/>
            </w:r>
            <w:r w:rsidR="00DF55D1">
              <w:rPr>
                <w:lang w:val="en-US"/>
              </w:rPr>
              <w:t xml:space="preserve"> and trended with IMAGE </w:t>
            </w:r>
            <w:r w:rsidR="00CF6C37">
              <w:rPr>
                <w:lang w:val="en-US"/>
              </w:rPr>
              <w:t xml:space="preserve">scenario results. </w:t>
            </w:r>
          </w:p>
        </w:tc>
        <w:tc>
          <w:tcPr>
            <w:tcW w:w="2075" w:type="dxa"/>
          </w:tcPr>
          <w:p w14:paraId="651E55E5" w14:textId="3FAC3F58" w:rsidR="00F0717A" w:rsidRDefault="00F0717A" w:rsidP="00F0717A">
            <w:pPr>
              <w:rPr>
                <w:lang w:val="en-US"/>
              </w:rPr>
            </w:pPr>
          </w:p>
        </w:tc>
      </w:tr>
      <w:tr w:rsidR="00F0717A" w14:paraId="3B9A20F1" w14:textId="77777777" w:rsidTr="00DF55D1">
        <w:tc>
          <w:tcPr>
            <w:tcW w:w="6941" w:type="dxa"/>
          </w:tcPr>
          <w:p w14:paraId="4338E3D4" w14:textId="606CEC1C" w:rsidR="00F0717A" w:rsidRDefault="00F0717A" w:rsidP="00F0717A">
            <w:pPr>
              <w:rPr>
                <w:lang w:val="en-US"/>
              </w:rPr>
            </w:pPr>
            <w:r>
              <w:rPr>
                <w:lang w:val="en-US"/>
              </w:rPr>
              <w:t xml:space="preserve">Technical lifetime of solar wind and diesel mini-grids </w:t>
            </w:r>
            <w:r w:rsidR="002E10E3">
              <w:rPr>
                <w:lang w:val="en-US"/>
              </w:rPr>
              <w:t xml:space="preserve"> </w:t>
            </w:r>
            <w:r w:rsidR="002E10E3">
              <w:rPr>
                <w:lang w:val="en-US"/>
              </w:rPr>
              <w:fldChar w:fldCharType="begin" w:fldLock="1"/>
            </w:r>
            <w:r w:rsidR="00C9272D">
              <w:rPr>
                <w:lang w:val="en-US"/>
              </w:rPr>
              <w:instrText>ADDIN CSL_CITATION {"citationItems":[{"id":"ITEM-1","itemData":{"DOI":"10.1016/J.ESD.2015.12.001","ISSN":"0973-0826","abstract":"Africa is a resource-rich continent but lacks the required power infrastructure. Efforts such as the United Nations Sustainable Energy for All and U.S. President Obama's Power Africa initiatives aim to facilitate much needed investment. However, no systematic national and regional investment outlook is available to analysts. This paper examines indicative scenarios of power plant investments based on potential for electricity trade. OSeMOSYS, a cost-optimization tool for long-term energy planning, is used to develop least cost system configurations. The electricity supply systems of forty-seven countries are modelled individually and linked via trade links to form TEMBA (The Electricity Model Base for Africa). A scenario comparison up to 2040 shows that an enhanced grid network can alter Africa's generation mix and reduce electricity generation cost. The insights have important investment, trade and policy implications, as specific projects can be identified as of major significance, and thus receive political support and funding.","author":[{"dropping-particle":"","family":"Taliotis","given":"Constantinos","non-dropping-particle":"","parse-names":false,"suffix":""},{"dropping-particle":"","family":"Shivakumar","given":"Abhishek","non-dropping-particle":"","parse-names":false,"suffix":""},{"dropping-particle":"","family":"Ramos","given":"Eunice","non-dropping-particle":"","parse-names":false,"suffix":""},{"dropping-particle":"","family":"Howells","given":"Mark","non-dropping-particle":"","parse-names":false,"suffix":""},{"dropping-particle":"","family":"Mentis","given":"Dimitris","non-dropping-particle":"","parse-names":false,"suffix":""},{"dropping-particle":"","family":"Sridharan","given":"Vignesh","non-dropping-particle":"","parse-names":false,"suffix":""},{"dropping-particle":"","family":"Broad","given":"Oliver","non-dropping-particle":"","parse-names":false,"suffix":""},{"dropping-particle":"","family":"Mofor","given":"Linus","non-dropping-particle":"","parse-names":false,"suffix":""}],"container-title":"Energy for Sustainable Development","id":"ITEM-1","issued":{"date-parts":[["2016","4","1"]]},"page":"50-66","publisher":"Elsevier","title":"An indicative analysis of investment opportunities in the African electricity supply sector — Using TEMBA (The Electricity Model Base for Africa)","type":"article-journal","volume":"31"},"uris":["http://www.mendeley.com/documents/?uuid=8e6354e7-f117-3ed6-bd32-cac39202c8cd"]}],"mendeley":{"formattedCitation":"[3]","plainTextFormattedCitation":"[3]","previouslyFormattedCitation":"[2]"},"properties":{"noteIndex":0},"schema":"https://github.com/citation-style-language/schema/raw/master/csl-citation.json"}</w:instrText>
            </w:r>
            <w:r w:rsidR="002E10E3">
              <w:rPr>
                <w:lang w:val="en-US"/>
              </w:rPr>
              <w:fldChar w:fldCharType="separate"/>
            </w:r>
            <w:r w:rsidR="00C9272D" w:rsidRPr="00C9272D">
              <w:rPr>
                <w:noProof/>
                <w:lang w:val="en-US"/>
              </w:rPr>
              <w:t>[3]</w:t>
            </w:r>
            <w:r w:rsidR="002E10E3">
              <w:rPr>
                <w:lang w:val="en-US"/>
              </w:rPr>
              <w:fldChar w:fldCharType="end"/>
            </w:r>
          </w:p>
        </w:tc>
        <w:tc>
          <w:tcPr>
            <w:tcW w:w="2075" w:type="dxa"/>
          </w:tcPr>
          <w:p w14:paraId="78890538" w14:textId="2D3B86C7" w:rsidR="00F0717A" w:rsidRDefault="00F0717A" w:rsidP="00F0717A">
            <w:pPr>
              <w:rPr>
                <w:lang w:val="en-US"/>
              </w:rPr>
            </w:pPr>
            <w:r>
              <w:rPr>
                <w:lang w:val="en-US"/>
              </w:rPr>
              <w:t>25 years</w:t>
            </w:r>
          </w:p>
        </w:tc>
      </w:tr>
      <w:tr w:rsidR="00F0717A" w14:paraId="145AEB04" w14:textId="77777777" w:rsidTr="00DF55D1">
        <w:tc>
          <w:tcPr>
            <w:tcW w:w="6941" w:type="dxa"/>
          </w:tcPr>
          <w:p w14:paraId="029C6554" w14:textId="67136B57" w:rsidR="00F0717A" w:rsidRDefault="00F0717A" w:rsidP="00F0717A">
            <w:pPr>
              <w:rPr>
                <w:lang w:val="en-US"/>
              </w:rPr>
            </w:pPr>
            <w:r w:rsidRPr="008D4CEF">
              <w:rPr>
                <w:lang w:val="en-US"/>
              </w:rPr>
              <w:t>Storage kwh per system kilowatt for solar systems</w:t>
            </w:r>
          </w:p>
        </w:tc>
        <w:tc>
          <w:tcPr>
            <w:tcW w:w="2075" w:type="dxa"/>
          </w:tcPr>
          <w:p w14:paraId="44E806D5" w14:textId="2B09EF8A" w:rsidR="00F0717A" w:rsidRDefault="00F0717A" w:rsidP="00F0717A">
            <w:pPr>
              <w:rPr>
                <w:lang w:val="en-US"/>
              </w:rPr>
            </w:pPr>
            <w:r>
              <w:rPr>
                <w:lang w:val="en-US"/>
              </w:rPr>
              <w:t>4 hours</w:t>
            </w:r>
          </w:p>
        </w:tc>
      </w:tr>
      <w:tr w:rsidR="00F0717A" w14:paraId="4C154DE9" w14:textId="77777777" w:rsidTr="00DF55D1">
        <w:tc>
          <w:tcPr>
            <w:tcW w:w="6941" w:type="dxa"/>
          </w:tcPr>
          <w:p w14:paraId="255CB011" w14:textId="352560C0" w:rsidR="00F0717A" w:rsidRDefault="00F0717A" w:rsidP="00F0717A">
            <w:pPr>
              <w:rPr>
                <w:lang w:val="en-US"/>
              </w:rPr>
            </w:pPr>
            <w:r w:rsidRPr="008D4CEF">
              <w:rPr>
                <w:lang w:val="en-US"/>
              </w:rPr>
              <w:t xml:space="preserve">Storage kwh per system kilowatt for </w:t>
            </w:r>
            <w:r>
              <w:rPr>
                <w:lang w:val="en-US"/>
              </w:rPr>
              <w:t>wind</w:t>
            </w:r>
            <w:r w:rsidRPr="008D4CEF">
              <w:rPr>
                <w:lang w:val="en-US"/>
              </w:rPr>
              <w:t xml:space="preserve"> systems</w:t>
            </w:r>
          </w:p>
        </w:tc>
        <w:tc>
          <w:tcPr>
            <w:tcW w:w="2075" w:type="dxa"/>
          </w:tcPr>
          <w:p w14:paraId="6FDB533D" w14:textId="7DD9EA0C" w:rsidR="00F0717A" w:rsidRDefault="00F0717A" w:rsidP="00F0717A">
            <w:pPr>
              <w:rPr>
                <w:lang w:val="en-US"/>
              </w:rPr>
            </w:pPr>
            <w:r>
              <w:rPr>
                <w:lang w:val="en-US"/>
              </w:rPr>
              <w:t>2 hours</w:t>
            </w:r>
          </w:p>
        </w:tc>
      </w:tr>
      <w:tr w:rsidR="00F0717A" w14:paraId="01BABBD4" w14:textId="77777777" w:rsidTr="00DF55D1">
        <w:tc>
          <w:tcPr>
            <w:tcW w:w="6941" w:type="dxa"/>
          </w:tcPr>
          <w:p w14:paraId="3BDE69CE" w14:textId="61CD3441" w:rsidR="00F0717A" w:rsidRPr="008D4CEF" w:rsidRDefault="00F0717A" w:rsidP="00F0717A">
            <w:pPr>
              <w:rPr>
                <w:lang w:val="en-US"/>
              </w:rPr>
            </w:pPr>
            <w:r>
              <w:rPr>
                <w:lang w:val="en-US"/>
              </w:rPr>
              <w:t>Battery lifetime</w:t>
            </w:r>
            <w:r w:rsidR="00AD6498">
              <w:rPr>
                <w:lang w:val="en-US"/>
              </w:rPr>
              <w:t xml:space="preserve"> </w:t>
            </w:r>
            <w:r w:rsidR="00321087">
              <w:rPr>
                <w:lang w:val="en-US"/>
              </w:rPr>
              <w:fldChar w:fldCharType="begin" w:fldLock="1"/>
            </w:r>
            <w:r w:rsidR="00C9272D">
              <w:rPr>
                <w:lang w:val="en-US"/>
              </w:rPr>
              <w:instrText>ADDIN CSL_CITATION {"citationItems":[{"id":"ITEM-1","itemData":{"DOI":"10.1016/J.ESD.2020.02.009","ISSN":"0973-0826","abstract":"For decades, electrification planning in the developing world has often focused on extending the national grid to increase electricity access. This article draws attention to the potential complementary role of decentralized alternatives – primarily micro-grids – to address universal electricity access targets. To this aim, we propose a methodology consisting of three steps to estimate the LCOE and to size micro-grids for large-scale geo-spatial electrification modelling. In the first step, stochastic load demand profiles are generated for a wide range of settlement archetypes using the open-source RAMP model. In the second step, stochastic optimization is carried by the open-source MicroGridsPy model for combinations of settlement size, load demand profiles and other important techno-economic parameters influencing the LCOE. In the third step, surrogate models are generated to automatically evaluate the LCOE using a multivariate regression of micro-grid optimization results as a function of influencing parameters defining each scenario instance. Our developments coupled to the OnSSET electrification tool reveal an important increase in the cost-competitiveness of micro-grids compared to previous analyses.","author":[{"dropping-particle":"","family":"Peña Balderrama","given":"J. G.","non-dropping-particle":"","parse-names":false,"suffix":""},{"dropping-particle":"","family":"Balderrama Subieta","given":"S.","non-dropping-particle":"","parse-names":false,"suffix":""},{"dropping-particle":"","family":"Lombardi","given":"F.","non-dropping-particle":"","parse-names":false,"suffix":""},{"dropping-particle":"","family":"Stevanato","given":"N.","non-dropping-particle":"","parse-names":false,"suffix":""},{"dropping-particle":"","family":"Sahlberg","given":"A.","non-dropping-particle":"","parse-names":false,"suffix":""},{"dropping-particle":"","family":"Howells","given":"M.","non-dropping-particle":"","parse-names":false,"suffix":""},{"dropping-particle":"","family":"Colombo","given":"E.","non-dropping-particle":"","parse-names":false,"suffix":""},{"dropping-particle":"","family":"Quoilin","given":"S.","non-dropping-particle":"","parse-names":false,"suffix":""}],"container-title":"Energy for Sustainable Development","id":"ITEM-1","issued":{"date-parts":[["2020","6","1"]]},"page":"98-118","publisher":"Elsevier","title":"Incorporating high-resolution demand and techno-economic optimization to evaluate micro-grids into the Open Source Spatial Electrification Tool (OnSSET)","type":"article-journal","volume":"56"},"uris":["http://www.mendeley.com/documents/?uuid=d4724d52-cf87-34e8-a5f9-733edb25a280"]}],"mendeley":{"formattedCitation":"[5]","plainTextFormattedCitation":"[5]","previouslyFormattedCitation":"[4]"},"properties":{"noteIndex":0},"schema":"https://github.com/citation-style-language/schema/raw/master/csl-citation.json"}</w:instrText>
            </w:r>
            <w:r w:rsidR="00321087">
              <w:rPr>
                <w:lang w:val="en-US"/>
              </w:rPr>
              <w:fldChar w:fldCharType="separate"/>
            </w:r>
            <w:r w:rsidR="00C9272D" w:rsidRPr="00C9272D">
              <w:rPr>
                <w:noProof/>
                <w:lang w:val="en-US"/>
              </w:rPr>
              <w:t>[5]</w:t>
            </w:r>
            <w:r w:rsidR="00321087">
              <w:rPr>
                <w:lang w:val="en-US"/>
              </w:rPr>
              <w:fldChar w:fldCharType="end"/>
            </w:r>
          </w:p>
        </w:tc>
        <w:tc>
          <w:tcPr>
            <w:tcW w:w="2075" w:type="dxa"/>
          </w:tcPr>
          <w:p w14:paraId="5E8DD1E9" w14:textId="3FE76D5C" w:rsidR="00F0717A" w:rsidRDefault="00F0717A" w:rsidP="00F0717A">
            <w:pPr>
              <w:rPr>
                <w:lang w:val="en-US"/>
              </w:rPr>
            </w:pPr>
            <w:r>
              <w:rPr>
                <w:lang w:val="en-US"/>
              </w:rPr>
              <w:t>10 years</w:t>
            </w:r>
          </w:p>
        </w:tc>
      </w:tr>
    </w:tbl>
    <w:p w14:paraId="702649C9" w14:textId="05E22D6F" w:rsidR="00BD6ED8" w:rsidRDefault="00BD6ED8" w:rsidP="00BD6ED8">
      <w:pPr>
        <w:rPr>
          <w:lang w:val="en-US"/>
        </w:rPr>
      </w:pPr>
    </w:p>
    <w:p w14:paraId="50F5BD7C" w14:textId="7E7326CB" w:rsidR="00A95684" w:rsidRDefault="00A95684" w:rsidP="00BD6ED8">
      <w:pPr>
        <w:rPr>
          <w:lang w:val="en-US"/>
        </w:rPr>
      </w:pPr>
    </w:p>
    <w:p w14:paraId="4DFA11B5" w14:textId="77777777" w:rsidR="00BB7682" w:rsidRDefault="00A95684" w:rsidP="00BB7682">
      <w:pPr>
        <w:keepNext/>
      </w:pPr>
      <w:r>
        <w:rPr>
          <w:noProof/>
        </w:rPr>
        <w:drawing>
          <wp:inline distT="0" distB="0" distL="0" distR="0" wp14:anchorId="52CD78DF" wp14:editId="1C172058">
            <wp:extent cx="6076950" cy="3695700"/>
            <wp:effectExtent l="0" t="0" r="0" b="0"/>
            <wp:docPr id="2" name="Chart 2">
              <a:extLst xmlns:a="http://schemas.openxmlformats.org/drawingml/2006/main">
                <a:ext uri="{FF2B5EF4-FFF2-40B4-BE49-F238E27FC236}">
                  <a16:creationId xmlns:a16="http://schemas.microsoft.com/office/drawing/2014/main" id="{01808147-5F1F-44D2-B026-0D5E9793C8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2A43767" w14:textId="3D08654F" w:rsidR="00A95684" w:rsidRDefault="00BB7682" w:rsidP="00BB7682">
      <w:pPr>
        <w:pStyle w:val="Caption"/>
        <w:rPr>
          <w:lang w:val="en-US"/>
        </w:rPr>
      </w:pPr>
      <w:r>
        <w:t>Figure A</w:t>
      </w:r>
      <w:r w:rsidR="00421743">
        <w:fldChar w:fldCharType="begin"/>
      </w:r>
      <w:r w:rsidR="00421743">
        <w:instrText xml:space="preserve"> SEQ Figure \* ARABIC </w:instrText>
      </w:r>
      <w:r w:rsidR="00421743">
        <w:fldChar w:fldCharType="separate"/>
      </w:r>
      <w:r>
        <w:rPr>
          <w:noProof/>
        </w:rPr>
        <w:t>4</w:t>
      </w:r>
      <w:r w:rsidR="00421743">
        <w:rPr>
          <w:noProof/>
        </w:rPr>
        <w:fldChar w:fldCharType="end"/>
      </w:r>
      <w:r>
        <w:t xml:space="preserve"> </w:t>
      </w:r>
      <w:r w:rsidR="005536B5">
        <w:t xml:space="preserve">Carbon tax </w:t>
      </w:r>
      <w:r w:rsidR="002855D2">
        <w:t xml:space="preserve">implemented for mitigation scenarios </w:t>
      </w:r>
      <w:r w:rsidR="005536B5">
        <w:t xml:space="preserve">for </w:t>
      </w:r>
      <w:r w:rsidR="002855D2">
        <w:t>selected regions</w:t>
      </w:r>
    </w:p>
    <w:p w14:paraId="1AFE24C9" w14:textId="22D5FD33" w:rsidR="0038705C" w:rsidRDefault="0038705C" w:rsidP="00BD6ED8">
      <w:pPr>
        <w:rPr>
          <w:lang w:val="en-US"/>
        </w:rPr>
      </w:pPr>
    </w:p>
    <w:p w14:paraId="065F60A0" w14:textId="140A9E76" w:rsidR="0038705C" w:rsidRDefault="0038705C" w:rsidP="00BD6ED8">
      <w:pPr>
        <w:rPr>
          <w:lang w:val="en-US"/>
        </w:rPr>
      </w:pPr>
    </w:p>
    <w:p w14:paraId="766DE184" w14:textId="7594FD92" w:rsidR="0038705C" w:rsidRPr="00BD6ED8" w:rsidRDefault="0038705C" w:rsidP="0038705C">
      <w:pPr>
        <w:pStyle w:val="Heading2"/>
        <w:rPr>
          <w:lang w:val="en-US"/>
        </w:rPr>
      </w:pPr>
      <w:r>
        <w:rPr>
          <w:lang w:val="en-US"/>
        </w:rPr>
        <w:t>References</w:t>
      </w:r>
    </w:p>
    <w:p w14:paraId="6F8D42EF" w14:textId="2C0B3312" w:rsidR="00C9272D" w:rsidRPr="00C9272D" w:rsidRDefault="006B4840" w:rsidP="00C9272D">
      <w:pPr>
        <w:widowControl w:val="0"/>
        <w:autoSpaceDE w:val="0"/>
        <w:autoSpaceDN w:val="0"/>
        <w:adjustRightInd w:val="0"/>
        <w:spacing w:line="240" w:lineRule="auto"/>
        <w:ind w:left="640" w:hanging="640"/>
        <w:rPr>
          <w:rFonts w:ascii="Calibri" w:hAnsi="Calibri" w:cs="Calibri"/>
          <w:noProof/>
          <w:szCs w:val="24"/>
        </w:rPr>
      </w:pPr>
      <w:r>
        <w:rPr>
          <w:lang w:val="en-US"/>
        </w:rPr>
        <w:fldChar w:fldCharType="begin" w:fldLock="1"/>
      </w:r>
      <w:r>
        <w:rPr>
          <w:lang w:val="en-US"/>
        </w:rPr>
        <w:instrText xml:space="preserve">ADDIN Mendeley Bibliography CSL_BIBLIOGRAPHY </w:instrText>
      </w:r>
      <w:r>
        <w:rPr>
          <w:lang w:val="en-US"/>
        </w:rPr>
        <w:fldChar w:fldCharType="separate"/>
      </w:r>
      <w:r w:rsidR="00C9272D" w:rsidRPr="00C9272D">
        <w:rPr>
          <w:rFonts w:ascii="Calibri" w:hAnsi="Calibri" w:cs="Calibri"/>
          <w:noProof/>
          <w:szCs w:val="24"/>
        </w:rPr>
        <w:t>[1]</w:t>
      </w:r>
      <w:r w:rsidR="00C9272D" w:rsidRPr="00C9272D">
        <w:rPr>
          <w:rFonts w:ascii="Calibri" w:hAnsi="Calibri" w:cs="Calibri"/>
          <w:noProof/>
          <w:szCs w:val="24"/>
        </w:rPr>
        <w:tab/>
      </w:r>
      <w:r w:rsidR="00127FBE">
        <w:rPr>
          <w:rFonts w:ascii="Calibri" w:hAnsi="Calibri" w:cs="Calibri"/>
          <w:noProof/>
          <w:szCs w:val="24"/>
        </w:rPr>
        <w:t xml:space="preserve">Zapata </w:t>
      </w:r>
      <w:r w:rsidR="00C9272D" w:rsidRPr="00C9272D">
        <w:rPr>
          <w:rFonts w:ascii="Calibri" w:hAnsi="Calibri" w:cs="Calibri"/>
          <w:noProof/>
          <w:szCs w:val="24"/>
        </w:rPr>
        <w:t>Castillo V, Boer HS de, Muñoz RM, Gernaat DEHJ, Benders R, van Vuuren D. Future global electricity demand load curves. Energy 2022;258:124741. https://doi.org/10.1016/J.ENERGY.2022.124741.</w:t>
      </w:r>
    </w:p>
    <w:p w14:paraId="194DCDCD" w14:textId="49FF08F2" w:rsidR="00C9272D" w:rsidRPr="00C9272D" w:rsidRDefault="00C9272D" w:rsidP="00C9272D">
      <w:pPr>
        <w:widowControl w:val="0"/>
        <w:autoSpaceDE w:val="0"/>
        <w:autoSpaceDN w:val="0"/>
        <w:adjustRightInd w:val="0"/>
        <w:spacing w:line="240" w:lineRule="auto"/>
        <w:ind w:left="640" w:hanging="640"/>
        <w:rPr>
          <w:rFonts w:ascii="Calibri" w:hAnsi="Calibri" w:cs="Calibri"/>
          <w:noProof/>
          <w:szCs w:val="24"/>
        </w:rPr>
      </w:pPr>
      <w:r w:rsidRPr="00C9272D">
        <w:rPr>
          <w:rFonts w:ascii="Calibri" w:hAnsi="Calibri" w:cs="Calibri"/>
          <w:noProof/>
          <w:szCs w:val="24"/>
        </w:rPr>
        <w:t>[2]</w:t>
      </w:r>
      <w:r w:rsidRPr="00C9272D">
        <w:rPr>
          <w:rFonts w:ascii="Calibri" w:hAnsi="Calibri" w:cs="Calibri"/>
          <w:noProof/>
          <w:szCs w:val="24"/>
        </w:rPr>
        <w:tab/>
        <w:t>Dagnachew AG, Lucas PL, Hof AF, Gernaat DEHJ, de Boer HS, van Vuuren DP. The role of decentrali</w:t>
      </w:r>
      <w:r w:rsidR="00771A04">
        <w:rPr>
          <w:rFonts w:ascii="Calibri" w:hAnsi="Calibri" w:cs="Calibri"/>
          <w:noProof/>
          <w:szCs w:val="24"/>
        </w:rPr>
        <w:t>s</w:t>
      </w:r>
      <w:r w:rsidRPr="00C9272D">
        <w:rPr>
          <w:rFonts w:ascii="Calibri" w:hAnsi="Calibri" w:cs="Calibri"/>
          <w:noProof/>
          <w:szCs w:val="24"/>
        </w:rPr>
        <w:t>ed systems in providing universal electricity access in Sub-Saharan Africa – A model-based approach. Energy 2017;139:184–95. https://doi.org/10.1016/J.ENERGY.2017.07.144.</w:t>
      </w:r>
    </w:p>
    <w:p w14:paraId="58DCF86E" w14:textId="77777777" w:rsidR="00C9272D" w:rsidRPr="00C9272D" w:rsidRDefault="00C9272D" w:rsidP="00C9272D">
      <w:pPr>
        <w:widowControl w:val="0"/>
        <w:autoSpaceDE w:val="0"/>
        <w:autoSpaceDN w:val="0"/>
        <w:adjustRightInd w:val="0"/>
        <w:spacing w:line="240" w:lineRule="auto"/>
        <w:ind w:left="640" w:hanging="640"/>
        <w:rPr>
          <w:rFonts w:ascii="Calibri" w:hAnsi="Calibri" w:cs="Calibri"/>
          <w:noProof/>
          <w:szCs w:val="24"/>
        </w:rPr>
      </w:pPr>
      <w:r w:rsidRPr="00C9272D">
        <w:rPr>
          <w:rFonts w:ascii="Calibri" w:hAnsi="Calibri" w:cs="Calibri"/>
          <w:noProof/>
          <w:szCs w:val="24"/>
        </w:rPr>
        <w:t>[3]</w:t>
      </w:r>
      <w:r w:rsidRPr="00C9272D">
        <w:rPr>
          <w:rFonts w:ascii="Calibri" w:hAnsi="Calibri" w:cs="Calibri"/>
          <w:noProof/>
          <w:szCs w:val="24"/>
        </w:rPr>
        <w:tab/>
        <w:t>Taliotis C, Shivakumar A, Ramos E, Howells M, Mentis D, Sridharan V, et al. An indicative analysis of investment opportunities in the African electricity supply sector — Using TEMBA (The Electricity Model Base for Africa). Energy Sustain Dev 2016;31:50–66. https://doi.org/10.1016/J.ESD.2015.12.001.</w:t>
      </w:r>
    </w:p>
    <w:p w14:paraId="30336E53" w14:textId="77777777" w:rsidR="00C9272D" w:rsidRPr="00C9272D" w:rsidRDefault="00C9272D" w:rsidP="00C9272D">
      <w:pPr>
        <w:widowControl w:val="0"/>
        <w:autoSpaceDE w:val="0"/>
        <w:autoSpaceDN w:val="0"/>
        <w:adjustRightInd w:val="0"/>
        <w:spacing w:line="240" w:lineRule="auto"/>
        <w:ind w:left="640" w:hanging="640"/>
        <w:rPr>
          <w:rFonts w:ascii="Calibri" w:hAnsi="Calibri" w:cs="Calibri"/>
          <w:noProof/>
          <w:szCs w:val="24"/>
        </w:rPr>
      </w:pPr>
      <w:r w:rsidRPr="00C9272D">
        <w:rPr>
          <w:rFonts w:ascii="Calibri" w:hAnsi="Calibri" w:cs="Calibri"/>
          <w:noProof/>
          <w:szCs w:val="24"/>
        </w:rPr>
        <w:t>[4]</w:t>
      </w:r>
      <w:r w:rsidRPr="00C9272D">
        <w:rPr>
          <w:rFonts w:ascii="Calibri" w:hAnsi="Calibri" w:cs="Calibri"/>
          <w:noProof/>
          <w:szCs w:val="24"/>
        </w:rPr>
        <w:tab/>
        <w:t>World Bank. Pump price for diesel fuel n.d. https://doi.org/https://data.worldbank.org/indicator/EP.PMP.DESL.CD.</w:t>
      </w:r>
    </w:p>
    <w:p w14:paraId="401C423D" w14:textId="229F55D4" w:rsidR="00C9272D" w:rsidRPr="00C9272D" w:rsidRDefault="00C9272D" w:rsidP="00C9272D">
      <w:pPr>
        <w:widowControl w:val="0"/>
        <w:autoSpaceDE w:val="0"/>
        <w:autoSpaceDN w:val="0"/>
        <w:adjustRightInd w:val="0"/>
        <w:spacing w:line="240" w:lineRule="auto"/>
        <w:ind w:left="640" w:hanging="640"/>
        <w:rPr>
          <w:rFonts w:ascii="Calibri" w:hAnsi="Calibri" w:cs="Calibri"/>
          <w:noProof/>
        </w:rPr>
      </w:pPr>
      <w:r w:rsidRPr="00C9272D">
        <w:rPr>
          <w:rFonts w:ascii="Calibri" w:hAnsi="Calibri" w:cs="Calibri"/>
          <w:noProof/>
          <w:szCs w:val="24"/>
        </w:rPr>
        <w:t>[5]</w:t>
      </w:r>
      <w:r w:rsidRPr="00C9272D">
        <w:rPr>
          <w:rFonts w:ascii="Calibri" w:hAnsi="Calibri" w:cs="Calibri"/>
          <w:noProof/>
          <w:szCs w:val="24"/>
        </w:rPr>
        <w:tab/>
        <w:t>Peña Balderrama JG, Balderrama Subieta S, Lombardi F, Stevanato N, Sahlberg A, Howells M, et al. Incorporating high-resolution demand and techno-economic optimi</w:t>
      </w:r>
      <w:r w:rsidR="00771A04">
        <w:rPr>
          <w:rFonts w:ascii="Calibri" w:hAnsi="Calibri" w:cs="Calibri"/>
          <w:noProof/>
          <w:szCs w:val="24"/>
        </w:rPr>
        <w:t>s</w:t>
      </w:r>
      <w:r w:rsidRPr="00C9272D">
        <w:rPr>
          <w:rFonts w:ascii="Calibri" w:hAnsi="Calibri" w:cs="Calibri"/>
          <w:noProof/>
          <w:szCs w:val="24"/>
        </w:rPr>
        <w:t>ation to evaluate micro-grids into the Open Source Spatial Electrification Tool (OnSSET). Energy Sustain Dev 2020;56:98–118. https://doi.org/10.1016/J.ESD.2020.02.009.</w:t>
      </w:r>
    </w:p>
    <w:p w14:paraId="1FA65FF9" w14:textId="5900DEEC" w:rsidR="00B61F90" w:rsidRPr="00574890" w:rsidRDefault="006B4840" w:rsidP="00990E1E">
      <w:pPr>
        <w:keepNext/>
        <w:rPr>
          <w:lang w:val="en-US"/>
        </w:rPr>
      </w:pPr>
      <w:r>
        <w:rPr>
          <w:lang w:val="en-US"/>
        </w:rPr>
        <w:fldChar w:fldCharType="end"/>
      </w:r>
    </w:p>
    <w:sectPr w:rsidR="00B61F90" w:rsidRPr="00574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cxMLQ0MLc0NLA0MjZU0lEKTi0uzszPAykwNKwFAOnFXVctAAAA"/>
  </w:docVars>
  <w:rsids>
    <w:rsidRoot w:val="00574890"/>
    <w:rsid w:val="0003052B"/>
    <w:rsid w:val="000360A7"/>
    <w:rsid w:val="00044180"/>
    <w:rsid w:val="0005029C"/>
    <w:rsid w:val="0008225A"/>
    <w:rsid w:val="000D6C5A"/>
    <w:rsid w:val="000D7DA3"/>
    <w:rsid w:val="000E5958"/>
    <w:rsid w:val="00103073"/>
    <w:rsid w:val="00110506"/>
    <w:rsid w:val="00125DF3"/>
    <w:rsid w:val="00127FBE"/>
    <w:rsid w:val="00133795"/>
    <w:rsid w:val="0015794C"/>
    <w:rsid w:val="0017469C"/>
    <w:rsid w:val="001762BF"/>
    <w:rsid w:val="00187C67"/>
    <w:rsid w:val="00191634"/>
    <w:rsid w:val="001B5A38"/>
    <w:rsid w:val="001D0234"/>
    <w:rsid w:val="002040F7"/>
    <w:rsid w:val="00217408"/>
    <w:rsid w:val="00221AEC"/>
    <w:rsid w:val="002300CA"/>
    <w:rsid w:val="00237C69"/>
    <w:rsid w:val="0024262D"/>
    <w:rsid w:val="002717CB"/>
    <w:rsid w:val="00275B7A"/>
    <w:rsid w:val="00284A3B"/>
    <w:rsid w:val="002855D2"/>
    <w:rsid w:val="00295738"/>
    <w:rsid w:val="002971AA"/>
    <w:rsid w:val="002A4092"/>
    <w:rsid w:val="002C7EA6"/>
    <w:rsid w:val="002E10E3"/>
    <w:rsid w:val="002E4AFF"/>
    <w:rsid w:val="002E6568"/>
    <w:rsid w:val="00300B34"/>
    <w:rsid w:val="00312E5E"/>
    <w:rsid w:val="00316B1A"/>
    <w:rsid w:val="00320F57"/>
    <w:rsid w:val="00321087"/>
    <w:rsid w:val="00327B86"/>
    <w:rsid w:val="0033375E"/>
    <w:rsid w:val="00342E9A"/>
    <w:rsid w:val="00345D03"/>
    <w:rsid w:val="0035500E"/>
    <w:rsid w:val="00370F52"/>
    <w:rsid w:val="00383574"/>
    <w:rsid w:val="0038705C"/>
    <w:rsid w:val="003A5A47"/>
    <w:rsid w:val="003D208C"/>
    <w:rsid w:val="003F70D9"/>
    <w:rsid w:val="0040672D"/>
    <w:rsid w:val="00416B89"/>
    <w:rsid w:val="00421743"/>
    <w:rsid w:val="00423F13"/>
    <w:rsid w:val="00430242"/>
    <w:rsid w:val="0044242D"/>
    <w:rsid w:val="00451678"/>
    <w:rsid w:val="00456A70"/>
    <w:rsid w:val="0046543B"/>
    <w:rsid w:val="004A13A8"/>
    <w:rsid w:val="004B1445"/>
    <w:rsid w:val="004B5100"/>
    <w:rsid w:val="004C14A5"/>
    <w:rsid w:val="004F5ABE"/>
    <w:rsid w:val="004F687B"/>
    <w:rsid w:val="00504822"/>
    <w:rsid w:val="005536B5"/>
    <w:rsid w:val="00556464"/>
    <w:rsid w:val="00561758"/>
    <w:rsid w:val="00574890"/>
    <w:rsid w:val="005859B4"/>
    <w:rsid w:val="0059571A"/>
    <w:rsid w:val="00597F5A"/>
    <w:rsid w:val="005C4429"/>
    <w:rsid w:val="005D2A6C"/>
    <w:rsid w:val="005D319A"/>
    <w:rsid w:val="005E03FA"/>
    <w:rsid w:val="005E36D5"/>
    <w:rsid w:val="00600631"/>
    <w:rsid w:val="00600688"/>
    <w:rsid w:val="006058FA"/>
    <w:rsid w:val="0060782C"/>
    <w:rsid w:val="00635DD7"/>
    <w:rsid w:val="00647928"/>
    <w:rsid w:val="0065554E"/>
    <w:rsid w:val="0065615F"/>
    <w:rsid w:val="00665C01"/>
    <w:rsid w:val="0067301C"/>
    <w:rsid w:val="006B4840"/>
    <w:rsid w:val="006C1E6D"/>
    <w:rsid w:val="0070422B"/>
    <w:rsid w:val="00704C8A"/>
    <w:rsid w:val="00721DE6"/>
    <w:rsid w:val="00731335"/>
    <w:rsid w:val="007366EE"/>
    <w:rsid w:val="00754F7F"/>
    <w:rsid w:val="00755ACC"/>
    <w:rsid w:val="00761805"/>
    <w:rsid w:val="00771A04"/>
    <w:rsid w:val="0077408F"/>
    <w:rsid w:val="00777531"/>
    <w:rsid w:val="00791EF0"/>
    <w:rsid w:val="00797974"/>
    <w:rsid w:val="007B3E95"/>
    <w:rsid w:val="007C7532"/>
    <w:rsid w:val="007D5197"/>
    <w:rsid w:val="007F397C"/>
    <w:rsid w:val="0080459F"/>
    <w:rsid w:val="00814AD8"/>
    <w:rsid w:val="00817340"/>
    <w:rsid w:val="00825FB9"/>
    <w:rsid w:val="0083521D"/>
    <w:rsid w:val="008427DB"/>
    <w:rsid w:val="00843875"/>
    <w:rsid w:val="0084690E"/>
    <w:rsid w:val="008705D2"/>
    <w:rsid w:val="00874B82"/>
    <w:rsid w:val="00881BE3"/>
    <w:rsid w:val="008869B9"/>
    <w:rsid w:val="00887193"/>
    <w:rsid w:val="008A4E36"/>
    <w:rsid w:val="008B493A"/>
    <w:rsid w:val="008D4CEF"/>
    <w:rsid w:val="008E04C9"/>
    <w:rsid w:val="008E5EDA"/>
    <w:rsid w:val="0090015D"/>
    <w:rsid w:val="00906686"/>
    <w:rsid w:val="00911CD9"/>
    <w:rsid w:val="00937AD1"/>
    <w:rsid w:val="00973390"/>
    <w:rsid w:val="00987389"/>
    <w:rsid w:val="00990E1E"/>
    <w:rsid w:val="00995B6A"/>
    <w:rsid w:val="009C7B91"/>
    <w:rsid w:val="00A13066"/>
    <w:rsid w:val="00A13BB1"/>
    <w:rsid w:val="00A30DCD"/>
    <w:rsid w:val="00A30FC4"/>
    <w:rsid w:val="00A4096A"/>
    <w:rsid w:val="00A40F6B"/>
    <w:rsid w:val="00A46C91"/>
    <w:rsid w:val="00A543A9"/>
    <w:rsid w:val="00A6711E"/>
    <w:rsid w:val="00A82CE8"/>
    <w:rsid w:val="00A82E70"/>
    <w:rsid w:val="00A95684"/>
    <w:rsid w:val="00AC4534"/>
    <w:rsid w:val="00AD6498"/>
    <w:rsid w:val="00AF6768"/>
    <w:rsid w:val="00B15AE8"/>
    <w:rsid w:val="00B61F90"/>
    <w:rsid w:val="00BB7682"/>
    <w:rsid w:val="00BD14B0"/>
    <w:rsid w:val="00BD6ED8"/>
    <w:rsid w:val="00BE389B"/>
    <w:rsid w:val="00BF7391"/>
    <w:rsid w:val="00C127B6"/>
    <w:rsid w:val="00C21073"/>
    <w:rsid w:val="00C237F0"/>
    <w:rsid w:val="00C31183"/>
    <w:rsid w:val="00C46402"/>
    <w:rsid w:val="00C623A9"/>
    <w:rsid w:val="00C631B7"/>
    <w:rsid w:val="00C72528"/>
    <w:rsid w:val="00C86446"/>
    <w:rsid w:val="00C9272D"/>
    <w:rsid w:val="00CB05C8"/>
    <w:rsid w:val="00CD07F8"/>
    <w:rsid w:val="00CD64E2"/>
    <w:rsid w:val="00CF1FF6"/>
    <w:rsid w:val="00CF2C7E"/>
    <w:rsid w:val="00CF6C37"/>
    <w:rsid w:val="00D33849"/>
    <w:rsid w:val="00D44BCB"/>
    <w:rsid w:val="00D90E53"/>
    <w:rsid w:val="00D961B9"/>
    <w:rsid w:val="00DB553F"/>
    <w:rsid w:val="00DF55D1"/>
    <w:rsid w:val="00E17AC2"/>
    <w:rsid w:val="00E2022C"/>
    <w:rsid w:val="00E37DC6"/>
    <w:rsid w:val="00E737E8"/>
    <w:rsid w:val="00E92E5B"/>
    <w:rsid w:val="00E97B6F"/>
    <w:rsid w:val="00EC1AA5"/>
    <w:rsid w:val="00EE42AC"/>
    <w:rsid w:val="00F000FF"/>
    <w:rsid w:val="00F0717A"/>
    <w:rsid w:val="00F10C18"/>
    <w:rsid w:val="00F150B7"/>
    <w:rsid w:val="00F170FA"/>
    <w:rsid w:val="00F17CC2"/>
    <w:rsid w:val="00F25DE4"/>
    <w:rsid w:val="00F346DD"/>
    <w:rsid w:val="00F37640"/>
    <w:rsid w:val="00F53D2A"/>
    <w:rsid w:val="00F71E91"/>
    <w:rsid w:val="00F75F10"/>
    <w:rsid w:val="00F90303"/>
    <w:rsid w:val="00F97146"/>
    <w:rsid w:val="00FA191B"/>
    <w:rsid w:val="00FA7C3F"/>
    <w:rsid w:val="00FE5657"/>
    <w:rsid w:val="00FE762A"/>
    <w:rsid w:val="00FF72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6DD2D"/>
  <w15:chartTrackingRefBased/>
  <w15:docId w15:val="{11B7C278-6764-4D54-ACB8-FD35E91B6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489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61F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4890"/>
    <w:rPr>
      <w:rFonts w:asciiTheme="majorHAnsi" w:eastAsiaTheme="majorEastAsia" w:hAnsiTheme="majorHAnsi" w:cstheme="majorBidi"/>
      <w:color w:val="2F5496" w:themeColor="accent1" w:themeShade="BF"/>
      <w:sz w:val="32"/>
      <w:szCs w:val="32"/>
    </w:rPr>
  </w:style>
  <w:style w:type="paragraph" w:styleId="Caption">
    <w:name w:val="caption"/>
    <w:basedOn w:val="Normal"/>
    <w:next w:val="Normal"/>
    <w:uiPriority w:val="35"/>
    <w:unhideWhenUsed/>
    <w:qFormat/>
    <w:rsid w:val="00D90E53"/>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D44B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BCB"/>
    <w:rPr>
      <w:rFonts w:ascii="Segoe UI" w:hAnsi="Segoe UI" w:cs="Segoe UI"/>
      <w:sz w:val="18"/>
      <w:szCs w:val="18"/>
    </w:rPr>
  </w:style>
  <w:style w:type="character" w:customStyle="1" w:styleId="Heading2Char">
    <w:name w:val="Heading 2 Char"/>
    <w:basedOn w:val="DefaultParagraphFont"/>
    <w:link w:val="Heading2"/>
    <w:uiPriority w:val="9"/>
    <w:rsid w:val="00B61F90"/>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0D6C5A"/>
    <w:rPr>
      <w:sz w:val="16"/>
      <w:szCs w:val="16"/>
    </w:rPr>
  </w:style>
  <w:style w:type="paragraph" w:styleId="CommentText">
    <w:name w:val="annotation text"/>
    <w:basedOn w:val="Normal"/>
    <w:link w:val="CommentTextChar"/>
    <w:uiPriority w:val="99"/>
    <w:unhideWhenUsed/>
    <w:rsid w:val="000D6C5A"/>
    <w:pPr>
      <w:spacing w:line="240" w:lineRule="auto"/>
    </w:pPr>
    <w:rPr>
      <w:sz w:val="20"/>
      <w:szCs w:val="20"/>
    </w:rPr>
  </w:style>
  <w:style w:type="character" w:customStyle="1" w:styleId="CommentTextChar">
    <w:name w:val="Comment Text Char"/>
    <w:basedOn w:val="DefaultParagraphFont"/>
    <w:link w:val="CommentText"/>
    <w:uiPriority w:val="99"/>
    <w:rsid w:val="000D6C5A"/>
    <w:rPr>
      <w:sz w:val="20"/>
      <w:szCs w:val="20"/>
    </w:rPr>
  </w:style>
  <w:style w:type="table" w:styleId="TableGrid">
    <w:name w:val="Table Grid"/>
    <w:basedOn w:val="TableNormal"/>
    <w:uiPriority w:val="39"/>
    <w:rsid w:val="00C72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8">
    <w:name w:val="Pa18"/>
    <w:basedOn w:val="Normal"/>
    <w:next w:val="Normal"/>
    <w:uiPriority w:val="99"/>
    <w:rsid w:val="008705D2"/>
    <w:pPr>
      <w:autoSpaceDE w:val="0"/>
      <w:autoSpaceDN w:val="0"/>
      <w:adjustRightInd w:val="0"/>
      <w:spacing w:after="0" w:line="161" w:lineRule="atLeast"/>
    </w:pPr>
    <w:rPr>
      <w:rFonts w:ascii="Candara" w:hAnsi="Candara"/>
      <w:sz w:val="24"/>
      <w:szCs w:val="24"/>
    </w:rPr>
  </w:style>
  <w:style w:type="paragraph" w:styleId="CommentSubject">
    <w:name w:val="annotation subject"/>
    <w:basedOn w:val="CommentText"/>
    <w:next w:val="CommentText"/>
    <w:link w:val="CommentSubjectChar"/>
    <w:uiPriority w:val="99"/>
    <w:semiHidden/>
    <w:unhideWhenUsed/>
    <w:rsid w:val="00C623A9"/>
    <w:rPr>
      <w:b/>
      <w:bCs/>
    </w:rPr>
  </w:style>
  <w:style w:type="character" w:customStyle="1" w:styleId="CommentSubjectChar">
    <w:name w:val="Comment Subject Char"/>
    <w:basedOn w:val="CommentTextChar"/>
    <w:link w:val="CommentSubject"/>
    <w:uiPriority w:val="99"/>
    <w:semiHidden/>
    <w:rsid w:val="00C623A9"/>
    <w:rPr>
      <w:b/>
      <w:bCs/>
      <w:sz w:val="20"/>
      <w:szCs w:val="20"/>
    </w:rPr>
  </w:style>
  <w:style w:type="table" w:styleId="GridTable1Light-Accent2">
    <w:name w:val="Grid Table 1 Light Accent 2"/>
    <w:basedOn w:val="TableNormal"/>
    <w:uiPriority w:val="46"/>
    <w:rsid w:val="00327B8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ListTable7Colorful-Accent4">
    <w:name w:val="List Table 7 Colorful Accent 4"/>
    <w:basedOn w:val="TableNormal"/>
    <w:uiPriority w:val="52"/>
    <w:rsid w:val="00327B86"/>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4">
    <w:name w:val="Grid Table 4 Accent 4"/>
    <w:basedOn w:val="TableNormal"/>
    <w:uiPriority w:val="49"/>
    <w:rsid w:val="00327B86"/>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7Colorful-Accent4">
    <w:name w:val="Grid Table 7 Colorful Accent 4"/>
    <w:basedOn w:val="TableNormal"/>
    <w:uiPriority w:val="52"/>
    <w:rsid w:val="00777531"/>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2">
    <w:name w:val="Grid Table 7 Colorful Accent 2"/>
    <w:basedOn w:val="TableNormal"/>
    <w:uiPriority w:val="52"/>
    <w:rsid w:val="0024262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993066">
      <w:bodyDiv w:val="1"/>
      <w:marLeft w:val="0"/>
      <w:marRight w:val="0"/>
      <w:marTop w:val="0"/>
      <w:marBottom w:val="0"/>
      <w:divBdr>
        <w:top w:val="none" w:sz="0" w:space="0" w:color="auto"/>
        <w:left w:val="none" w:sz="0" w:space="0" w:color="auto"/>
        <w:bottom w:val="none" w:sz="0" w:space="0" w:color="auto"/>
        <w:right w:val="none" w:sz="0" w:space="0" w:color="auto"/>
      </w:divBdr>
    </w:div>
    <w:div w:id="363945788">
      <w:bodyDiv w:val="1"/>
      <w:marLeft w:val="0"/>
      <w:marRight w:val="0"/>
      <w:marTop w:val="0"/>
      <w:marBottom w:val="0"/>
      <w:divBdr>
        <w:top w:val="none" w:sz="0" w:space="0" w:color="auto"/>
        <w:left w:val="none" w:sz="0" w:space="0" w:color="auto"/>
        <w:bottom w:val="none" w:sz="0" w:space="0" w:color="auto"/>
        <w:right w:val="none" w:sz="0" w:space="0" w:color="auto"/>
      </w:divBdr>
    </w:div>
    <w:div w:id="432014379">
      <w:bodyDiv w:val="1"/>
      <w:marLeft w:val="0"/>
      <w:marRight w:val="0"/>
      <w:marTop w:val="0"/>
      <w:marBottom w:val="0"/>
      <w:divBdr>
        <w:top w:val="none" w:sz="0" w:space="0" w:color="auto"/>
        <w:left w:val="none" w:sz="0" w:space="0" w:color="auto"/>
        <w:bottom w:val="none" w:sz="0" w:space="0" w:color="auto"/>
        <w:right w:val="none" w:sz="0" w:space="0" w:color="auto"/>
      </w:divBdr>
    </w:div>
    <w:div w:id="811093545">
      <w:bodyDiv w:val="1"/>
      <w:marLeft w:val="0"/>
      <w:marRight w:val="0"/>
      <w:marTop w:val="0"/>
      <w:marBottom w:val="0"/>
      <w:divBdr>
        <w:top w:val="none" w:sz="0" w:space="0" w:color="auto"/>
        <w:left w:val="none" w:sz="0" w:space="0" w:color="auto"/>
        <w:bottom w:val="none" w:sz="0" w:space="0" w:color="auto"/>
        <w:right w:val="none" w:sz="0" w:space="0" w:color="auto"/>
      </w:divBdr>
    </w:div>
    <w:div w:id="920216630">
      <w:bodyDiv w:val="1"/>
      <w:marLeft w:val="0"/>
      <w:marRight w:val="0"/>
      <w:marTop w:val="0"/>
      <w:marBottom w:val="0"/>
      <w:divBdr>
        <w:top w:val="none" w:sz="0" w:space="0" w:color="auto"/>
        <w:left w:val="none" w:sz="0" w:space="0" w:color="auto"/>
        <w:bottom w:val="none" w:sz="0" w:space="0" w:color="auto"/>
        <w:right w:val="none" w:sz="0" w:space="0" w:color="auto"/>
      </w:divBdr>
    </w:div>
    <w:div w:id="1404722928">
      <w:bodyDiv w:val="1"/>
      <w:marLeft w:val="0"/>
      <w:marRight w:val="0"/>
      <w:marTop w:val="0"/>
      <w:marBottom w:val="0"/>
      <w:divBdr>
        <w:top w:val="none" w:sz="0" w:space="0" w:color="auto"/>
        <w:left w:val="none" w:sz="0" w:space="0" w:color="auto"/>
        <w:bottom w:val="none" w:sz="0" w:space="0" w:color="auto"/>
        <w:right w:val="none" w:sz="0" w:space="0" w:color="auto"/>
      </w:divBdr>
    </w:div>
    <w:div w:id="1673724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https://solisservices-my.sharepoint.com/personal/v_h_zapatacastillo_uu_nl/Documents/electrification/sdg7/results/key_value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[key_values.xlsx]scenarios_data!PivotTable2</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9"/>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9"/>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8.6746898573162229E-2"/>
          <c:y val="7.5485305716095852E-2"/>
          <c:w val="0.7209471849477711"/>
          <c:h val="0.7520818958032931"/>
        </c:manualLayout>
      </c:layout>
      <c:lineChart>
        <c:grouping val="standard"/>
        <c:varyColors val="0"/>
        <c:ser>
          <c:idx val="0"/>
          <c:order val="0"/>
          <c:tx>
            <c:strRef>
              <c:f>scenarios_data!$Y$6:$Y$7</c:f>
              <c:strCache>
                <c:ptCount val="1"/>
                <c:pt idx="0">
                  <c:v>E.Africa</c:v>
                </c:pt>
              </c:strCache>
            </c:strRef>
          </c:tx>
          <c:spPr>
            <a:ln w="28575" cap="rnd">
              <a:solidFill>
                <a:schemeClr val="accent1"/>
              </a:solidFill>
              <a:round/>
            </a:ln>
            <a:effectLst/>
          </c:spPr>
          <c:marker>
            <c:symbol val="none"/>
          </c:marker>
          <c:cat>
            <c:strRef>
              <c:f>scenarios_data!$X$8:$X$39</c:f>
              <c:strCache>
                <c:ptCount val="31"/>
                <c:pt idx="0">
                  <c:v>2020</c:v>
                </c:pt>
                <c:pt idx="1">
                  <c:v>2021</c:v>
                </c:pt>
                <c:pt idx="2">
                  <c:v>2022</c:v>
                </c:pt>
                <c:pt idx="3">
                  <c:v>2023</c:v>
                </c:pt>
                <c:pt idx="4">
                  <c:v>2024</c:v>
                </c:pt>
                <c:pt idx="5">
                  <c:v>2025</c:v>
                </c:pt>
                <c:pt idx="6">
                  <c:v>2026</c:v>
                </c:pt>
                <c:pt idx="7">
                  <c:v>2027</c:v>
                </c:pt>
                <c:pt idx="8">
                  <c:v>2028</c:v>
                </c:pt>
                <c:pt idx="9">
                  <c:v>2029</c:v>
                </c:pt>
                <c:pt idx="10">
                  <c:v>2030</c:v>
                </c:pt>
                <c:pt idx="11">
                  <c:v>2031</c:v>
                </c:pt>
                <c:pt idx="12">
                  <c:v>2032</c:v>
                </c:pt>
                <c:pt idx="13">
                  <c:v>2033</c:v>
                </c:pt>
                <c:pt idx="14">
                  <c:v>2034</c:v>
                </c:pt>
                <c:pt idx="15">
                  <c:v>2035</c:v>
                </c:pt>
                <c:pt idx="16">
                  <c:v>2036</c:v>
                </c:pt>
                <c:pt idx="17">
                  <c:v>2037</c:v>
                </c:pt>
                <c:pt idx="18">
                  <c:v>2038</c:v>
                </c:pt>
                <c:pt idx="19">
                  <c:v>2039</c:v>
                </c:pt>
                <c:pt idx="20">
                  <c:v>2040</c:v>
                </c:pt>
                <c:pt idx="21">
                  <c:v>2041</c:v>
                </c:pt>
                <c:pt idx="22">
                  <c:v>2042</c:v>
                </c:pt>
                <c:pt idx="23">
                  <c:v>2043</c:v>
                </c:pt>
                <c:pt idx="24">
                  <c:v>2044</c:v>
                </c:pt>
                <c:pt idx="25">
                  <c:v>2045</c:v>
                </c:pt>
                <c:pt idx="26">
                  <c:v>2046</c:v>
                </c:pt>
                <c:pt idx="27">
                  <c:v>2047</c:v>
                </c:pt>
                <c:pt idx="28">
                  <c:v>2048</c:v>
                </c:pt>
                <c:pt idx="29">
                  <c:v>2049</c:v>
                </c:pt>
                <c:pt idx="30">
                  <c:v>2050</c:v>
                </c:pt>
              </c:strCache>
            </c:strRef>
          </c:cat>
          <c:val>
            <c:numRef>
              <c:f>scenarios_data!$Y$8:$Y$39</c:f>
              <c:numCache>
                <c:formatCode>General</c:formatCode>
                <c:ptCount val="31"/>
                <c:pt idx="0">
                  <c:v>0</c:v>
                </c:pt>
                <c:pt idx="1">
                  <c:v>0</c:v>
                </c:pt>
                <c:pt idx="2">
                  <c:v>35.391399999999997</c:v>
                </c:pt>
                <c:pt idx="3">
                  <c:v>132.31299999999999</c:v>
                </c:pt>
                <c:pt idx="4">
                  <c:v>148.96299999999999</c:v>
                </c:pt>
                <c:pt idx="5">
                  <c:v>156.33500000000001</c:v>
                </c:pt>
                <c:pt idx="6">
                  <c:v>170.44800000000001</c:v>
                </c:pt>
                <c:pt idx="7">
                  <c:v>187.07599999999999</c:v>
                </c:pt>
                <c:pt idx="8">
                  <c:v>203.285</c:v>
                </c:pt>
                <c:pt idx="9">
                  <c:v>219.137</c:v>
                </c:pt>
                <c:pt idx="10">
                  <c:v>235.56200000000001</c:v>
                </c:pt>
                <c:pt idx="11">
                  <c:v>252.14400000000001</c:v>
                </c:pt>
                <c:pt idx="12">
                  <c:v>269.10000000000002</c:v>
                </c:pt>
                <c:pt idx="13">
                  <c:v>286.58100000000002</c:v>
                </c:pt>
                <c:pt idx="14">
                  <c:v>304.46600000000001</c:v>
                </c:pt>
                <c:pt idx="15">
                  <c:v>321.44499999999999</c:v>
                </c:pt>
                <c:pt idx="16">
                  <c:v>335.77300000000002</c:v>
                </c:pt>
                <c:pt idx="17">
                  <c:v>350.22899999999998</c:v>
                </c:pt>
                <c:pt idx="18">
                  <c:v>362.70600000000002</c:v>
                </c:pt>
                <c:pt idx="19">
                  <c:v>373.26600000000002</c:v>
                </c:pt>
                <c:pt idx="20">
                  <c:v>383.85899999999998</c:v>
                </c:pt>
                <c:pt idx="21">
                  <c:v>406.05200000000002</c:v>
                </c:pt>
                <c:pt idx="22">
                  <c:v>426.11599999999999</c:v>
                </c:pt>
                <c:pt idx="23">
                  <c:v>445.95400000000001</c:v>
                </c:pt>
                <c:pt idx="24">
                  <c:v>466.17500000000001</c:v>
                </c:pt>
                <c:pt idx="25">
                  <c:v>485.33800000000002</c:v>
                </c:pt>
                <c:pt idx="26">
                  <c:v>506.74200000000002</c:v>
                </c:pt>
                <c:pt idx="27">
                  <c:v>528.42899999999997</c:v>
                </c:pt>
                <c:pt idx="28">
                  <c:v>547.11599999999999</c:v>
                </c:pt>
                <c:pt idx="29">
                  <c:v>564.02499999999998</c:v>
                </c:pt>
                <c:pt idx="30">
                  <c:v>575.61500000000001</c:v>
                </c:pt>
              </c:numCache>
            </c:numRef>
          </c:val>
          <c:smooth val="0"/>
          <c:extLst>
            <c:ext xmlns:c16="http://schemas.microsoft.com/office/drawing/2014/chart" uri="{C3380CC4-5D6E-409C-BE32-E72D297353CC}">
              <c16:uniqueId val="{00000000-9289-44F7-804F-BDF5901D8CAD}"/>
            </c:ext>
          </c:extLst>
        </c:ser>
        <c:ser>
          <c:idx val="1"/>
          <c:order val="1"/>
          <c:tx>
            <c:strRef>
              <c:f>scenarios_data!$Z$6:$Z$7</c:f>
              <c:strCache>
                <c:ptCount val="1"/>
                <c:pt idx="0">
                  <c:v>India</c:v>
                </c:pt>
              </c:strCache>
            </c:strRef>
          </c:tx>
          <c:spPr>
            <a:ln w="28575" cap="rnd">
              <a:solidFill>
                <a:schemeClr val="accent2"/>
              </a:solidFill>
              <a:round/>
            </a:ln>
            <a:effectLst/>
          </c:spPr>
          <c:marker>
            <c:symbol val="none"/>
          </c:marker>
          <c:cat>
            <c:strRef>
              <c:f>scenarios_data!$X$8:$X$39</c:f>
              <c:strCache>
                <c:ptCount val="31"/>
                <c:pt idx="0">
                  <c:v>2020</c:v>
                </c:pt>
                <c:pt idx="1">
                  <c:v>2021</c:v>
                </c:pt>
                <c:pt idx="2">
                  <c:v>2022</c:v>
                </c:pt>
                <c:pt idx="3">
                  <c:v>2023</c:v>
                </c:pt>
                <c:pt idx="4">
                  <c:v>2024</c:v>
                </c:pt>
                <c:pt idx="5">
                  <c:v>2025</c:v>
                </c:pt>
                <c:pt idx="6">
                  <c:v>2026</c:v>
                </c:pt>
                <c:pt idx="7">
                  <c:v>2027</c:v>
                </c:pt>
                <c:pt idx="8">
                  <c:v>2028</c:v>
                </c:pt>
                <c:pt idx="9">
                  <c:v>2029</c:v>
                </c:pt>
                <c:pt idx="10">
                  <c:v>2030</c:v>
                </c:pt>
                <c:pt idx="11">
                  <c:v>2031</c:v>
                </c:pt>
                <c:pt idx="12">
                  <c:v>2032</c:v>
                </c:pt>
                <c:pt idx="13">
                  <c:v>2033</c:v>
                </c:pt>
                <c:pt idx="14">
                  <c:v>2034</c:v>
                </c:pt>
                <c:pt idx="15">
                  <c:v>2035</c:v>
                </c:pt>
                <c:pt idx="16">
                  <c:v>2036</c:v>
                </c:pt>
                <c:pt idx="17">
                  <c:v>2037</c:v>
                </c:pt>
                <c:pt idx="18">
                  <c:v>2038</c:v>
                </c:pt>
                <c:pt idx="19">
                  <c:v>2039</c:v>
                </c:pt>
                <c:pt idx="20">
                  <c:v>2040</c:v>
                </c:pt>
                <c:pt idx="21">
                  <c:v>2041</c:v>
                </c:pt>
                <c:pt idx="22">
                  <c:v>2042</c:v>
                </c:pt>
                <c:pt idx="23">
                  <c:v>2043</c:v>
                </c:pt>
                <c:pt idx="24">
                  <c:v>2044</c:v>
                </c:pt>
                <c:pt idx="25">
                  <c:v>2045</c:v>
                </c:pt>
                <c:pt idx="26">
                  <c:v>2046</c:v>
                </c:pt>
                <c:pt idx="27">
                  <c:v>2047</c:v>
                </c:pt>
                <c:pt idx="28">
                  <c:v>2048</c:v>
                </c:pt>
                <c:pt idx="29">
                  <c:v>2049</c:v>
                </c:pt>
                <c:pt idx="30">
                  <c:v>2050</c:v>
                </c:pt>
              </c:strCache>
            </c:strRef>
          </c:cat>
          <c:val>
            <c:numRef>
              <c:f>scenarios_data!$Z$8:$Z$39</c:f>
              <c:numCache>
                <c:formatCode>General</c:formatCode>
                <c:ptCount val="31"/>
                <c:pt idx="0">
                  <c:v>0</c:v>
                </c:pt>
                <c:pt idx="1">
                  <c:v>0</c:v>
                </c:pt>
                <c:pt idx="2">
                  <c:v>25.8629</c:v>
                </c:pt>
                <c:pt idx="3">
                  <c:v>100.129</c:v>
                </c:pt>
                <c:pt idx="4">
                  <c:v>116.14100000000001</c:v>
                </c:pt>
                <c:pt idx="5">
                  <c:v>125.068</c:v>
                </c:pt>
                <c:pt idx="6">
                  <c:v>139.45699999999999</c:v>
                </c:pt>
                <c:pt idx="7">
                  <c:v>156.12100000000001</c:v>
                </c:pt>
                <c:pt idx="8">
                  <c:v>172.65299999999999</c:v>
                </c:pt>
                <c:pt idx="9">
                  <c:v>189.05500000000001</c:v>
                </c:pt>
                <c:pt idx="10">
                  <c:v>206.11699999999999</c:v>
                </c:pt>
                <c:pt idx="11">
                  <c:v>223.45699999999999</c:v>
                </c:pt>
                <c:pt idx="12">
                  <c:v>241.262</c:v>
                </c:pt>
                <c:pt idx="13">
                  <c:v>259.66399999999999</c:v>
                </c:pt>
                <c:pt idx="14">
                  <c:v>278.55399999999997</c:v>
                </c:pt>
                <c:pt idx="15">
                  <c:v>296.71899999999999</c:v>
                </c:pt>
                <c:pt idx="16">
                  <c:v>312.50200000000001</c:v>
                </c:pt>
                <c:pt idx="17">
                  <c:v>328.44400000000002</c:v>
                </c:pt>
                <c:pt idx="18">
                  <c:v>342.55599999999998</c:v>
                </c:pt>
                <c:pt idx="19">
                  <c:v>354.85300000000001</c:v>
                </c:pt>
                <c:pt idx="20">
                  <c:v>367.16899999999998</c:v>
                </c:pt>
                <c:pt idx="21">
                  <c:v>390.63400000000001</c:v>
                </c:pt>
                <c:pt idx="22">
                  <c:v>412.14499999999998</c:v>
                </c:pt>
                <c:pt idx="23">
                  <c:v>433.517</c:v>
                </c:pt>
                <c:pt idx="24">
                  <c:v>455.334</c:v>
                </c:pt>
                <c:pt idx="25">
                  <c:v>476.18099999999998</c:v>
                </c:pt>
                <c:pt idx="26">
                  <c:v>499.29</c:v>
                </c:pt>
                <c:pt idx="27">
                  <c:v>522.74699999999996</c:v>
                </c:pt>
                <c:pt idx="28">
                  <c:v>543.29</c:v>
                </c:pt>
                <c:pt idx="29">
                  <c:v>562.1</c:v>
                </c:pt>
                <c:pt idx="30">
                  <c:v>575.61500000000001</c:v>
                </c:pt>
              </c:numCache>
            </c:numRef>
          </c:val>
          <c:smooth val="0"/>
          <c:extLst>
            <c:ext xmlns:c16="http://schemas.microsoft.com/office/drawing/2014/chart" uri="{C3380CC4-5D6E-409C-BE32-E72D297353CC}">
              <c16:uniqueId val="{00000001-9289-44F7-804F-BDF5901D8CAD}"/>
            </c:ext>
          </c:extLst>
        </c:ser>
        <c:ser>
          <c:idx val="2"/>
          <c:order val="2"/>
          <c:tx>
            <c:strRef>
              <c:f>scenarios_data!$AA$6:$AA$7</c:f>
              <c:strCache>
                <c:ptCount val="1"/>
                <c:pt idx="0">
                  <c:v>Mexico</c:v>
                </c:pt>
              </c:strCache>
            </c:strRef>
          </c:tx>
          <c:spPr>
            <a:ln w="28575" cap="rnd">
              <a:solidFill>
                <a:schemeClr val="accent3"/>
              </a:solidFill>
              <a:round/>
            </a:ln>
            <a:effectLst/>
          </c:spPr>
          <c:marker>
            <c:symbol val="none"/>
          </c:marker>
          <c:cat>
            <c:strRef>
              <c:f>scenarios_data!$X$8:$X$39</c:f>
              <c:strCache>
                <c:ptCount val="31"/>
                <c:pt idx="0">
                  <c:v>2020</c:v>
                </c:pt>
                <c:pt idx="1">
                  <c:v>2021</c:v>
                </c:pt>
                <c:pt idx="2">
                  <c:v>2022</c:v>
                </c:pt>
                <c:pt idx="3">
                  <c:v>2023</c:v>
                </c:pt>
                <c:pt idx="4">
                  <c:v>2024</c:v>
                </c:pt>
                <c:pt idx="5">
                  <c:v>2025</c:v>
                </c:pt>
                <c:pt idx="6">
                  <c:v>2026</c:v>
                </c:pt>
                <c:pt idx="7">
                  <c:v>2027</c:v>
                </c:pt>
                <c:pt idx="8">
                  <c:v>2028</c:v>
                </c:pt>
                <c:pt idx="9">
                  <c:v>2029</c:v>
                </c:pt>
                <c:pt idx="10">
                  <c:v>2030</c:v>
                </c:pt>
                <c:pt idx="11">
                  <c:v>2031</c:v>
                </c:pt>
                <c:pt idx="12">
                  <c:v>2032</c:v>
                </c:pt>
                <c:pt idx="13">
                  <c:v>2033</c:v>
                </c:pt>
                <c:pt idx="14">
                  <c:v>2034</c:v>
                </c:pt>
                <c:pt idx="15">
                  <c:v>2035</c:v>
                </c:pt>
                <c:pt idx="16">
                  <c:v>2036</c:v>
                </c:pt>
                <c:pt idx="17">
                  <c:v>2037</c:v>
                </c:pt>
                <c:pt idx="18">
                  <c:v>2038</c:v>
                </c:pt>
                <c:pt idx="19">
                  <c:v>2039</c:v>
                </c:pt>
                <c:pt idx="20">
                  <c:v>2040</c:v>
                </c:pt>
                <c:pt idx="21">
                  <c:v>2041</c:v>
                </c:pt>
                <c:pt idx="22">
                  <c:v>2042</c:v>
                </c:pt>
                <c:pt idx="23">
                  <c:v>2043</c:v>
                </c:pt>
                <c:pt idx="24">
                  <c:v>2044</c:v>
                </c:pt>
                <c:pt idx="25">
                  <c:v>2045</c:v>
                </c:pt>
                <c:pt idx="26">
                  <c:v>2046</c:v>
                </c:pt>
                <c:pt idx="27">
                  <c:v>2047</c:v>
                </c:pt>
                <c:pt idx="28">
                  <c:v>2048</c:v>
                </c:pt>
                <c:pt idx="29">
                  <c:v>2049</c:v>
                </c:pt>
                <c:pt idx="30">
                  <c:v>2050</c:v>
                </c:pt>
              </c:strCache>
            </c:strRef>
          </c:cat>
          <c:val>
            <c:numRef>
              <c:f>scenarios_data!$AA$8:$AA$39</c:f>
              <c:numCache>
                <c:formatCode>General</c:formatCode>
                <c:ptCount val="31"/>
                <c:pt idx="0">
                  <c:v>0</c:v>
                </c:pt>
                <c:pt idx="1">
                  <c:v>0</c:v>
                </c:pt>
                <c:pt idx="2">
                  <c:v>68.740899999999996</c:v>
                </c:pt>
                <c:pt idx="3">
                  <c:v>244.959</c:v>
                </c:pt>
                <c:pt idx="4">
                  <c:v>263.84100000000001</c:v>
                </c:pt>
                <c:pt idx="5">
                  <c:v>265.76799999999997</c:v>
                </c:pt>
                <c:pt idx="6">
                  <c:v>278.91399999999999</c:v>
                </c:pt>
                <c:pt idx="7">
                  <c:v>295.41899999999998</c:v>
                </c:pt>
                <c:pt idx="8">
                  <c:v>310.49599999999998</c:v>
                </c:pt>
                <c:pt idx="9">
                  <c:v>324.41399999999999</c:v>
                </c:pt>
                <c:pt idx="10">
                  <c:v>338.62</c:v>
                </c:pt>
                <c:pt idx="11">
                  <c:v>352.548</c:v>
                </c:pt>
                <c:pt idx="12">
                  <c:v>366.53199999999998</c:v>
                </c:pt>
                <c:pt idx="13">
                  <c:v>380.78800000000001</c:v>
                </c:pt>
                <c:pt idx="14">
                  <c:v>395.15699999999998</c:v>
                </c:pt>
                <c:pt idx="15">
                  <c:v>407.988</c:v>
                </c:pt>
                <c:pt idx="16">
                  <c:v>417.22300000000001</c:v>
                </c:pt>
                <c:pt idx="17">
                  <c:v>426.47500000000002</c:v>
                </c:pt>
                <c:pt idx="18">
                  <c:v>433.23200000000003</c:v>
                </c:pt>
                <c:pt idx="19">
                  <c:v>437.70800000000003</c:v>
                </c:pt>
                <c:pt idx="20">
                  <c:v>442.27199999999999</c:v>
                </c:pt>
                <c:pt idx="21">
                  <c:v>460.02199999999999</c:v>
                </c:pt>
                <c:pt idx="22">
                  <c:v>475.01499999999999</c:v>
                </c:pt>
                <c:pt idx="23">
                  <c:v>489.483</c:v>
                </c:pt>
                <c:pt idx="24">
                  <c:v>504.12</c:v>
                </c:pt>
                <c:pt idx="25">
                  <c:v>517.38800000000003</c:v>
                </c:pt>
                <c:pt idx="26">
                  <c:v>532.82399999999996</c:v>
                </c:pt>
                <c:pt idx="27">
                  <c:v>548.31600000000003</c:v>
                </c:pt>
                <c:pt idx="28">
                  <c:v>560.50699999999995</c:v>
                </c:pt>
                <c:pt idx="29">
                  <c:v>570.76199999999994</c:v>
                </c:pt>
                <c:pt idx="30">
                  <c:v>575.61500000000001</c:v>
                </c:pt>
              </c:numCache>
            </c:numRef>
          </c:val>
          <c:smooth val="0"/>
          <c:extLst>
            <c:ext xmlns:c16="http://schemas.microsoft.com/office/drawing/2014/chart" uri="{C3380CC4-5D6E-409C-BE32-E72D297353CC}">
              <c16:uniqueId val="{00000002-9289-44F7-804F-BDF5901D8CAD}"/>
            </c:ext>
          </c:extLst>
        </c:ser>
        <c:ser>
          <c:idx val="3"/>
          <c:order val="3"/>
          <c:tx>
            <c:strRef>
              <c:f>scenarios_data!$AB$6:$AB$7</c:f>
              <c:strCache>
                <c:ptCount val="1"/>
                <c:pt idx="0">
                  <c:v>N.Africa</c:v>
                </c:pt>
              </c:strCache>
            </c:strRef>
          </c:tx>
          <c:spPr>
            <a:ln w="28575" cap="rnd">
              <a:solidFill>
                <a:schemeClr val="accent4"/>
              </a:solidFill>
              <a:round/>
            </a:ln>
            <a:effectLst/>
          </c:spPr>
          <c:marker>
            <c:symbol val="none"/>
          </c:marker>
          <c:cat>
            <c:strRef>
              <c:f>scenarios_data!$X$8:$X$39</c:f>
              <c:strCache>
                <c:ptCount val="31"/>
                <c:pt idx="0">
                  <c:v>2020</c:v>
                </c:pt>
                <c:pt idx="1">
                  <c:v>2021</c:v>
                </c:pt>
                <c:pt idx="2">
                  <c:v>2022</c:v>
                </c:pt>
                <c:pt idx="3">
                  <c:v>2023</c:v>
                </c:pt>
                <c:pt idx="4">
                  <c:v>2024</c:v>
                </c:pt>
                <c:pt idx="5">
                  <c:v>2025</c:v>
                </c:pt>
                <c:pt idx="6">
                  <c:v>2026</c:v>
                </c:pt>
                <c:pt idx="7">
                  <c:v>2027</c:v>
                </c:pt>
                <c:pt idx="8">
                  <c:v>2028</c:v>
                </c:pt>
                <c:pt idx="9">
                  <c:v>2029</c:v>
                </c:pt>
                <c:pt idx="10">
                  <c:v>2030</c:v>
                </c:pt>
                <c:pt idx="11">
                  <c:v>2031</c:v>
                </c:pt>
                <c:pt idx="12">
                  <c:v>2032</c:v>
                </c:pt>
                <c:pt idx="13">
                  <c:v>2033</c:v>
                </c:pt>
                <c:pt idx="14">
                  <c:v>2034</c:v>
                </c:pt>
                <c:pt idx="15">
                  <c:v>2035</c:v>
                </c:pt>
                <c:pt idx="16">
                  <c:v>2036</c:v>
                </c:pt>
                <c:pt idx="17">
                  <c:v>2037</c:v>
                </c:pt>
                <c:pt idx="18">
                  <c:v>2038</c:v>
                </c:pt>
                <c:pt idx="19">
                  <c:v>2039</c:v>
                </c:pt>
                <c:pt idx="20">
                  <c:v>2040</c:v>
                </c:pt>
                <c:pt idx="21">
                  <c:v>2041</c:v>
                </c:pt>
                <c:pt idx="22">
                  <c:v>2042</c:v>
                </c:pt>
                <c:pt idx="23">
                  <c:v>2043</c:v>
                </c:pt>
                <c:pt idx="24">
                  <c:v>2044</c:v>
                </c:pt>
                <c:pt idx="25">
                  <c:v>2045</c:v>
                </c:pt>
                <c:pt idx="26">
                  <c:v>2046</c:v>
                </c:pt>
                <c:pt idx="27">
                  <c:v>2047</c:v>
                </c:pt>
                <c:pt idx="28">
                  <c:v>2048</c:v>
                </c:pt>
                <c:pt idx="29">
                  <c:v>2049</c:v>
                </c:pt>
                <c:pt idx="30">
                  <c:v>2050</c:v>
                </c:pt>
              </c:strCache>
            </c:strRef>
          </c:cat>
          <c:val>
            <c:numRef>
              <c:f>scenarios_data!$AB$8:$AB$39</c:f>
              <c:numCache>
                <c:formatCode>General</c:formatCode>
                <c:ptCount val="31"/>
                <c:pt idx="0">
                  <c:v>0</c:v>
                </c:pt>
                <c:pt idx="1">
                  <c:v>0</c:v>
                </c:pt>
                <c:pt idx="2">
                  <c:v>35.391399999999997</c:v>
                </c:pt>
                <c:pt idx="3">
                  <c:v>132.31299999999999</c:v>
                </c:pt>
                <c:pt idx="4">
                  <c:v>148.96299999999999</c:v>
                </c:pt>
                <c:pt idx="5">
                  <c:v>156.33500000000001</c:v>
                </c:pt>
                <c:pt idx="6">
                  <c:v>170.44800000000001</c:v>
                </c:pt>
                <c:pt idx="7">
                  <c:v>187.07599999999999</c:v>
                </c:pt>
                <c:pt idx="8">
                  <c:v>203.285</c:v>
                </c:pt>
                <c:pt idx="9">
                  <c:v>219.13900000000001</c:v>
                </c:pt>
                <c:pt idx="10">
                  <c:v>235.56200000000001</c:v>
                </c:pt>
                <c:pt idx="11">
                  <c:v>252.14400000000001</c:v>
                </c:pt>
                <c:pt idx="12">
                  <c:v>269.10000000000002</c:v>
                </c:pt>
                <c:pt idx="13">
                  <c:v>286.58100000000002</c:v>
                </c:pt>
                <c:pt idx="14">
                  <c:v>304.46600000000001</c:v>
                </c:pt>
                <c:pt idx="15">
                  <c:v>321.44499999999999</c:v>
                </c:pt>
                <c:pt idx="16">
                  <c:v>335.77300000000002</c:v>
                </c:pt>
                <c:pt idx="17">
                  <c:v>350.22899999999998</c:v>
                </c:pt>
                <c:pt idx="18">
                  <c:v>362.70600000000002</c:v>
                </c:pt>
                <c:pt idx="19">
                  <c:v>373.26600000000002</c:v>
                </c:pt>
                <c:pt idx="20">
                  <c:v>383.85899999999998</c:v>
                </c:pt>
                <c:pt idx="21">
                  <c:v>406.053</c:v>
                </c:pt>
                <c:pt idx="22">
                  <c:v>426.11599999999999</c:v>
                </c:pt>
                <c:pt idx="23">
                  <c:v>445.95400000000001</c:v>
                </c:pt>
                <c:pt idx="24">
                  <c:v>466.17500000000001</c:v>
                </c:pt>
                <c:pt idx="25">
                  <c:v>485.33800000000002</c:v>
                </c:pt>
                <c:pt idx="26">
                  <c:v>506.74200000000002</c:v>
                </c:pt>
                <c:pt idx="27">
                  <c:v>528.42899999999997</c:v>
                </c:pt>
                <c:pt idx="28">
                  <c:v>547.11599999999999</c:v>
                </c:pt>
                <c:pt idx="29">
                  <c:v>564.02499999999998</c:v>
                </c:pt>
                <c:pt idx="30">
                  <c:v>575.61500000000001</c:v>
                </c:pt>
              </c:numCache>
            </c:numRef>
          </c:val>
          <c:smooth val="0"/>
          <c:extLst>
            <c:ext xmlns:c16="http://schemas.microsoft.com/office/drawing/2014/chart" uri="{C3380CC4-5D6E-409C-BE32-E72D297353CC}">
              <c16:uniqueId val="{00000003-9289-44F7-804F-BDF5901D8CAD}"/>
            </c:ext>
          </c:extLst>
        </c:ser>
        <c:ser>
          <c:idx val="4"/>
          <c:order val="4"/>
          <c:tx>
            <c:strRef>
              <c:f>scenarios_data!$AC$6:$AC$7</c:f>
              <c:strCache>
                <c:ptCount val="1"/>
                <c:pt idx="0">
                  <c:v>Rest C.Am.</c:v>
                </c:pt>
              </c:strCache>
            </c:strRef>
          </c:tx>
          <c:spPr>
            <a:ln w="28575" cap="rnd">
              <a:solidFill>
                <a:schemeClr val="accent5"/>
              </a:solidFill>
              <a:round/>
            </a:ln>
            <a:effectLst/>
          </c:spPr>
          <c:marker>
            <c:symbol val="none"/>
          </c:marker>
          <c:cat>
            <c:strRef>
              <c:f>scenarios_data!$X$8:$X$39</c:f>
              <c:strCache>
                <c:ptCount val="31"/>
                <c:pt idx="0">
                  <c:v>2020</c:v>
                </c:pt>
                <c:pt idx="1">
                  <c:v>2021</c:v>
                </c:pt>
                <c:pt idx="2">
                  <c:v>2022</c:v>
                </c:pt>
                <c:pt idx="3">
                  <c:v>2023</c:v>
                </c:pt>
                <c:pt idx="4">
                  <c:v>2024</c:v>
                </c:pt>
                <c:pt idx="5">
                  <c:v>2025</c:v>
                </c:pt>
                <c:pt idx="6">
                  <c:v>2026</c:v>
                </c:pt>
                <c:pt idx="7">
                  <c:v>2027</c:v>
                </c:pt>
                <c:pt idx="8">
                  <c:v>2028</c:v>
                </c:pt>
                <c:pt idx="9">
                  <c:v>2029</c:v>
                </c:pt>
                <c:pt idx="10">
                  <c:v>2030</c:v>
                </c:pt>
                <c:pt idx="11">
                  <c:v>2031</c:v>
                </c:pt>
                <c:pt idx="12">
                  <c:v>2032</c:v>
                </c:pt>
                <c:pt idx="13">
                  <c:v>2033</c:v>
                </c:pt>
                <c:pt idx="14">
                  <c:v>2034</c:v>
                </c:pt>
                <c:pt idx="15">
                  <c:v>2035</c:v>
                </c:pt>
                <c:pt idx="16">
                  <c:v>2036</c:v>
                </c:pt>
                <c:pt idx="17">
                  <c:v>2037</c:v>
                </c:pt>
                <c:pt idx="18">
                  <c:v>2038</c:v>
                </c:pt>
                <c:pt idx="19">
                  <c:v>2039</c:v>
                </c:pt>
                <c:pt idx="20">
                  <c:v>2040</c:v>
                </c:pt>
                <c:pt idx="21">
                  <c:v>2041</c:v>
                </c:pt>
                <c:pt idx="22">
                  <c:v>2042</c:v>
                </c:pt>
                <c:pt idx="23">
                  <c:v>2043</c:v>
                </c:pt>
                <c:pt idx="24">
                  <c:v>2044</c:v>
                </c:pt>
                <c:pt idx="25">
                  <c:v>2045</c:v>
                </c:pt>
                <c:pt idx="26">
                  <c:v>2046</c:v>
                </c:pt>
                <c:pt idx="27">
                  <c:v>2047</c:v>
                </c:pt>
                <c:pt idx="28">
                  <c:v>2048</c:v>
                </c:pt>
                <c:pt idx="29">
                  <c:v>2049</c:v>
                </c:pt>
                <c:pt idx="30">
                  <c:v>2050</c:v>
                </c:pt>
              </c:strCache>
            </c:strRef>
          </c:cat>
          <c:val>
            <c:numRef>
              <c:f>scenarios_data!$AC$8:$AC$39</c:f>
              <c:numCache>
                <c:formatCode>General</c:formatCode>
                <c:ptCount val="31"/>
                <c:pt idx="0">
                  <c:v>0</c:v>
                </c:pt>
                <c:pt idx="1">
                  <c:v>0</c:v>
                </c:pt>
                <c:pt idx="2">
                  <c:v>56.603900000000003</c:v>
                </c:pt>
                <c:pt idx="3">
                  <c:v>201.71600000000001</c:v>
                </c:pt>
                <c:pt idx="4">
                  <c:v>214.608</c:v>
                </c:pt>
                <c:pt idx="5">
                  <c:v>218.86799999999999</c:v>
                </c:pt>
                <c:pt idx="6">
                  <c:v>238.27699999999999</c:v>
                </c:pt>
                <c:pt idx="7">
                  <c:v>255.19900000000001</c:v>
                </c:pt>
                <c:pt idx="8">
                  <c:v>271.10599999999999</c:v>
                </c:pt>
                <c:pt idx="9">
                  <c:v>286.18400000000003</c:v>
                </c:pt>
                <c:pt idx="10">
                  <c:v>301.67500000000001</c:v>
                </c:pt>
                <c:pt idx="11">
                  <c:v>317.07499999999999</c:v>
                </c:pt>
                <c:pt idx="12">
                  <c:v>332.67099999999999</c:v>
                </c:pt>
                <c:pt idx="13">
                  <c:v>348.65499999999997</c:v>
                </c:pt>
                <c:pt idx="14">
                  <c:v>364.88200000000001</c:v>
                </c:pt>
                <c:pt idx="15">
                  <c:v>379.81599999999997</c:v>
                </c:pt>
                <c:pt idx="16">
                  <c:v>391.49599999999998</c:v>
                </c:pt>
                <c:pt idx="17">
                  <c:v>403.24099999999999</c:v>
                </c:pt>
                <c:pt idx="18">
                  <c:v>412.66699999999997</c:v>
                </c:pt>
                <c:pt idx="19">
                  <c:v>419.92500000000001</c:v>
                </c:pt>
                <c:pt idx="20">
                  <c:v>427.24900000000002</c:v>
                </c:pt>
                <c:pt idx="21">
                  <c:v>447.31400000000002</c:v>
                </c:pt>
                <c:pt idx="22">
                  <c:v>464.83800000000002</c:v>
                </c:pt>
                <c:pt idx="23">
                  <c:v>481.95800000000003</c:v>
                </c:pt>
                <c:pt idx="24">
                  <c:v>499.34300000000002</c:v>
                </c:pt>
                <c:pt idx="25">
                  <c:v>515.46699999999998</c:v>
                </c:pt>
                <c:pt idx="26">
                  <c:v>533.85299999999995</c:v>
                </c:pt>
                <c:pt idx="27">
                  <c:v>552.39400000000001</c:v>
                </c:pt>
                <c:pt idx="28">
                  <c:v>567.70000000000005</c:v>
                </c:pt>
                <c:pt idx="29">
                  <c:v>581.101</c:v>
                </c:pt>
                <c:pt idx="30">
                  <c:v>589.02800000000002</c:v>
                </c:pt>
              </c:numCache>
            </c:numRef>
          </c:val>
          <c:smooth val="0"/>
          <c:extLst>
            <c:ext xmlns:c16="http://schemas.microsoft.com/office/drawing/2014/chart" uri="{C3380CC4-5D6E-409C-BE32-E72D297353CC}">
              <c16:uniqueId val="{00000004-9289-44F7-804F-BDF5901D8CAD}"/>
            </c:ext>
          </c:extLst>
        </c:ser>
        <c:ser>
          <c:idx val="5"/>
          <c:order val="5"/>
          <c:tx>
            <c:strRef>
              <c:f>scenarios_data!$AD$6:$AD$7</c:f>
              <c:strCache>
                <c:ptCount val="1"/>
                <c:pt idx="0">
                  <c:v>Rest S.Africa</c:v>
                </c:pt>
              </c:strCache>
            </c:strRef>
          </c:tx>
          <c:spPr>
            <a:ln w="28575" cap="rnd">
              <a:solidFill>
                <a:schemeClr val="accent6"/>
              </a:solidFill>
              <a:round/>
            </a:ln>
            <a:effectLst/>
          </c:spPr>
          <c:marker>
            <c:symbol val="none"/>
          </c:marker>
          <c:cat>
            <c:strRef>
              <c:f>scenarios_data!$X$8:$X$39</c:f>
              <c:strCache>
                <c:ptCount val="31"/>
                <c:pt idx="0">
                  <c:v>2020</c:v>
                </c:pt>
                <c:pt idx="1">
                  <c:v>2021</c:v>
                </c:pt>
                <c:pt idx="2">
                  <c:v>2022</c:v>
                </c:pt>
                <c:pt idx="3">
                  <c:v>2023</c:v>
                </c:pt>
                <c:pt idx="4">
                  <c:v>2024</c:v>
                </c:pt>
                <c:pt idx="5">
                  <c:v>2025</c:v>
                </c:pt>
                <c:pt idx="6">
                  <c:v>2026</c:v>
                </c:pt>
                <c:pt idx="7">
                  <c:v>2027</c:v>
                </c:pt>
                <c:pt idx="8">
                  <c:v>2028</c:v>
                </c:pt>
                <c:pt idx="9">
                  <c:v>2029</c:v>
                </c:pt>
                <c:pt idx="10">
                  <c:v>2030</c:v>
                </c:pt>
                <c:pt idx="11">
                  <c:v>2031</c:v>
                </c:pt>
                <c:pt idx="12">
                  <c:v>2032</c:v>
                </c:pt>
                <c:pt idx="13">
                  <c:v>2033</c:v>
                </c:pt>
                <c:pt idx="14">
                  <c:v>2034</c:v>
                </c:pt>
                <c:pt idx="15">
                  <c:v>2035</c:v>
                </c:pt>
                <c:pt idx="16">
                  <c:v>2036</c:v>
                </c:pt>
                <c:pt idx="17">
                  <c:v>2037</c:v>
                </c:pt>
                <c:pt idx="18">
                  <c:v>2038</c:v>
                </c:pt>
                <c:pt idx="19">
                  <c:v>2039</c:v>
                </c:pt>
                <c:pt idx="20">
                  <c:v>2040</c:v>
                </c:pt>
                <c:pt idx="21">
                  <c:v>2041</c:v>
                </c:pt>
                <c:pt idx="22">
                  <c:v>2042</c:v>
                </c:pt>
                <c:pt idx="23">
                  <c:v>2043</c:v>
                </c:pt>
                <c:pt idx="24">
                  <c:v>2044</c:v>
                </c:pt>
                <c:pt idx="25">
                  <c:v>2045</c:v>
                </c:pt>
                <c:pt idx="26">
                  <c:v>2046</c:v>
                </c:pt>
                <c:pt idx="27">
                  <c:v>2047</c:v>
                </c:pt>
                <c:pt idx="28">
                  <c:v>2048</c:v>
                </c:pt>
                <c:pt idx="29">
                  <c:v>2049</c:v>
                </c:pt>
                <c:pt idx="30">
                  <c:v>2050</c:v>
                </c:pt>
              </c:strCache>
            </c:strRef>
          </c:cat>
          <c:val>
            <c:numRef>
              <c:f>scenarios_data!$AD$8:$AD$39</c:f>
              <c:numCache>
                <c:formatCode>General</c:formatCode>
                <c:ptCount val="31"/>
                <c:pt idx="0">
                  <c:v>0</c:v>
                </c:pt>
                <c:pt idx="1">
                  <c:v>0</c:v>
                </c:pt>
                <c:pt idx="2">
                  <c:v>16.981200000000001</c:v>
                </c:pt>
                <c:pt idx="3">
                  <c:v>69.683599999999998</c:v>
                </c:pt>
                <c:pt idx="4">
                  <c:v>85.424599999999998</c:v>
                </c:pt>
                <c:pt idx="5">
                  <c:v>96.176900000000003</c:v>
                </c:pt>
                <c:pt idx="6">
                  <c:v>111.196</c:v>
                </c:pt>
                <c:pt idx="7">
                  <c:v>128.29</c:v>
                </c:pt>
                <c:pt idx="8">
                  <c:v>145.541</c:v>
                </c:pt>
                <c:pt idx="9">
                  <c:v>162.905</c:v>
                </c:pt>
                <c:pt idx="10">
                  <c:v>181.005</c:v>
                </c:pt>
                <c:pt idx="11">
                  <c:v>199.52500000000001</c:v>
                </c:pt>
                <c:pt idx="12">
                  <c:v>218.61199999999999</c:v>
                </c:pt>
                <c:pt idx="13">
                  <c:v>238.38300000000001</c:v>
                </c:pt>
                <c:pt idx="14">
                  <c:v>258.73399999999998</c:v>
                </c:pt>
                <c:pt idx="15">
                  <c:v>278.53199999999998</c:v>
                </c:pt>
                <c:pt idx="16">
                  <c:v>296.17500000000001</c:v>
                </c:pt>
                <c:pt idx="17">
                  <c:v>314.01299999999998</c:v>
                </c:pt>
                <c:pt idx="18">
                  <c:v>330.13400000000001</c:v>
                </c:pt>
                <c:pt idx="19">
                  <c:v>344.51</c:v>
                </c:pt>
                <c:pt idx="20">
                  <c:v>358.88900000000001</c:v>
                </c:pt>
                <c:pt idx="21">
                  <c:v>384.16399999999999</c:v>
                </c:pt>
                <c:pt idx="22">
                  <c:v>407.62700000000001</c:v>
                </c:pt>
                <c:pt idx="23">
                  <c:v>431.03399999999999</c:v>
                </c:pt>
                <c:pt idx="24">
                  <c:v>454.95699999999999</c:v>
                </c:pt>
                <c:pt idx="25">
                  <c:v>477.97899999999998</c:v>
                </c:pt>
                <c:pt idx="26">
                  <c:v>503.34699999999998</c:v>
                </c:pt>
                <c:pt idx="27">
                  <c:v>529.13499999999999</c:v>
                </c:pt>
                <c:pt idx="28">
                  <c:v>552.04</c:v>
                </c:pt>
                <c:pt idx="29">
                  <c:v>573.221</c:v>
                </c:pt>
                <c:pt idx="30">
                  <c:v>589.02800000000002</c:v>
                </c:pt>
              </c:numCache>
            </c:numRef>
          </c:val>
          <c:smooth val="0"/>
          <c:extLst>
            <c:ext xmlns:c16="http://schemas.microsoft.com/office/drawing/2014/chart" uri="{C3380CC4-5D6E-409C-BE32-E72D297353CC}">
              <c16:uniqueId val="{00000005-9289-44F7-804F-BDF5901D8CAD}"/>
            </c:ext>
          </c:extLst>
        </c:ser>
        <c:ser>
          <c:idx val="6"/>
          <c:order val="6"/>
          <c:tx>
            <c:strRef>
              <c:f>scenarios_data!$AE$6:$AE$7</c:f>
              <c:strCache>
                <c:ptCount val="1"/>
                <c:pt idx="0">
                  <c:v>Rest S.Am.</c:v>
                </c:pt>
              </c:strCache>
            </c:strRef>
          </c:tx>
          <c:spPr>
            <a:ln w="28575" cap="rnd">
              <a:solidFill>
                <a:schemeClr val="accent1">
                  <a:lumMod val="60000"/>
                </a:schemeClr>
              </a:solidFill>
              <a:round/>
            </a:ln>
            <a:effectLst/>
          </c:spPr>
          <c:marker>
            <c:symbol val="none"/>
          </c:marker>
          <c:cat>
            <c:strRef>
              <c:f>scenarios_data!$X$8:$X$39</c:f>
              <c:strCache>
                <c:ptCount val="31"/>
                <c:pt idx="0">
                  <c:v>2020</c:v>
                </c:pt>
                <c:pt idx="1">
                  <c:v>2021</c:v>
                </c:pt>
                <c:pt idx="2">
                  <c:v>2022</c:v>
                </c:pt>
                <c:pt idx="3">
                  <c:v>2023</c:v>
                </c:pt>
                <c:pt idx="4">
                  <c:v>2024</c:v>
                </c:pt>
                <c:pt idx="5">
                  <c:v>2025</c:v>
                </c:pt>
                <c:pt idx="6">
                  <c:v>2026</c:v>
                </c:pt>
                <c:pt idx="7">
                  <c:v>2027</c:v>
                </c:pt>
                <c:pt idx="8">
                  <c:v>2028</c:v>
                </c:pt>
                <c:pt idx="9">
                  <c:v>2029</c:v>
                </c:pt>
                <c:pt idx="10">
                  <c:v>2030</c:v>
                </c:pt>
                <c:pt idx="11">
                  <c:v>2031</c:v>
                </c:pt>
                <c:pt idx="12">
                  <c:v>2032</c:v>
                </c:pt>
                <c:pt idx="13">
                  <c:v>2033</c:v>
                </c:pt>
                <c:pt idx="14">
                  <c:v>2034</c:v>
                </c:pt>
                <c:pt idx="15">
                  <c:v>2035</c:v>
                </c:pt>
                <c:pt idx="16">
                  <c:v>2036</c:v>
                </c:pt>
                <c:pt idx="17">
                  <c:v>2037</c:v>
                </c:pt>
                <c:pt idx="18">
                  <c:v>2038</c:v>
                </c:pt>
                <c:pt idx="19">
                  <c:v>2039</c:v>
                </c:pt>
                <c:pt idx="20">
                  <c:v>2040</c:v>
                </c:pt>
                <c:pt idx="21">
                  <c:v>2041</c:v>
                </c:pt>
                <c:pt idx="22">
                  <c:v>2042</c:v>
                </c:pt>
                <c:pt idx="23">
                  <c:v>2043</c:v>
                </c:pt>
                <c:pt idx="24">
                  <c:v>2044</c:v>
                </c:pt>
                <c:pt idx="25">
                  <c:v>2045</c:v>
                </c:pt>
                <c:pt idx="26">
                  <c:v>2046</c:v>
                </c:pt>
                <c:pt idx="27">
                  <c:v>2047</c:v>
                </c:pt>
                <c:pt idx="28">
                  <c:v>2048</c:v>
                </c:pt>
                <c:pt idx="29">
                  <c:v>2049</c:v>
                </c:pt>
                <c:pt idx="30">
                  <c:v>2050</c:v>
                </c:pt>
              </c:strCache>
            </c:strRef>
          </c:cat>
          <c:val>
            <c:numRef>
              <c:f>scenarios_data!$AE$8:$AE$39</c:f>
              <c:numCache>
                <c:formatCode>General</c:formatCode>
                <c:ptCount val="31"/>
                <c:pt idx="0">
                  <c:v>0</c:v>
                </c:pt>
                <c:pt idx="1">
                  <c:v>0</c:v>
                </c:pt>
                <c:pt idx="2">
                  <c:v>54.448300000000003</c:v>
                </c:pt>
                <c:pt idx="3">
                  <c:v>197.09899999999999</c:v>
                </c:pt>
                <c:pt idx="4">
                  <c:v>218.315</c:v>
                </c:pt>
                <c:pt idx="5">
                  <c:v>218.86799999999999</c:v>
                </c:pt>
                <c:pt idx="6">
                  <c:v>232.428</c:v>
                </c:pt>
                <c:pt idx="7">
                  <c:v>248.98599999999999</c:v>
                </c:pt>
                <c:pt idx="8">
                  <c:v>264.548</c:v>
                </c:pt>
                <c:pt idx="9">
                  <c:v>279.3</c:v>
                </c:pt>
                <c:pt idx="10">
                  <c:v>294.45299999999997</c:v>
                </c:pt>
                <c:pt idx="11">
                  <c:v>309.51799999999997</c:v>
                </c:pt>
                <c:pt idx="12">
                  <c:v>324.77600000000001</c:v>
                </c:pt>
                <c:pt idx="13">
                  <c:v>340.41399999999999</c:v>
                </c:pt>
                <c:pt idx="14">
                  <c:v>356.28899999999999</c:v>
                </c:pt>
                <c:pt idx="15">
                  <c:v>370.89800000000002</c:v>
                </c:pt>
                <c:pt idx="16">
                  <c:v>382.31599999999997</c:v>
                </c:pt>
                <c:pt idx="17">
                  <c:v>393.798</c:v>
                </c:pt>
                <c:pt idx="18">
                  <c:v>403.00700000000001</c:v>
                </c:pt>
                <c:pt idx="19">
                  <c:v>410.09</c:v>
                </c:pt>
                <c:pt idx="20">
                  <c:v>417.238</c:v>
                </c:pt>
                <c:pt idx="21">
                  <c:v>436.892</c:v>
                </c:pt>
                <c:pt idx="22">
                  <c:v>454.05799999999999</c:v>
                </c:pt>
                <c:pt idx="23">
                  <c:v>470.82799999999997</c:v>
                </c:pt>
                <c:pt idx="24">
                  <c:v>487.858</c:v>
                </c:pt>
                <c:pt idx="25">
                  <c:v>503.65199999999999</c:v>
                </c:pt>
                <c:pt idx="26">
                  <c:v>521.64599999999996</c:v>
                </c:pt>
                <c:pt idx="27">
                  <c:v>539.79300000000001</c:v>
                </c:pt>
                <c:pt idx="28">
                  <c:v>554.76800000000003</c:v>
                </c:pt>
                <c:pt idx="29">
                  <c:v>567.875</c:v>
                </c:pt>
                <c:pt idx="30">
                  <c:v>575.61500000000001</c:v>
                </c:pt>
              </c:numCache>
            </c:numRef>
          </c:val>
          <c:smooth val="0"/>
          <c:extLst>
            <c:ext xmlns:c16="http://schemas.microsoft.com/office/drawing/2014/chart" uri="{C3380CC4-5D6E-409C-BE32-E72D297353CC}">
              <c16:uniqueId val="{00000006-9289-44F7-804F-BDF5901D8CAD}"/>
            </c:ext>
          </c:extLst>
        </c:ser>
        <c:ser>
          <c:idx val="7"/>
          <c:order val="7"/>
          <c:tx>
            <c:strRef>
              <c:f>scenarios_data!$AF$6:$AF$7</c:f>
              <c:strCache>
                <c:ptCount val="1"/>
                <c:pt idx="0">
                  <c:v>Rest S.Asia</c:v>
                </c:pt>
              </c:strCache>
            </c:strRef>
          </c:tx>
          <c:spPr>
            <a:ln w="28575" cap="rnd">
              <a:solidFill>
                <a:schemeClr val="accent2">
                  <a:lumMod val="60000"/>
                </a:schemeClr>
              </a:solidFill>
              <a:round/>
            </a:ln>
            <a:effectLst/>
          </c:spPr>
          <c:marker>
            <c:symbol val="none"/>
          </c:marker>
          <c:cat>
            <c:strRef>
              <c:f>scenarios_data!$X$8:$X$39</c:f>
              <c:strCache>
                <c:ptCount val="31"/>
                <c:pt idx="0">
                  <c:v>2020</c:v>
                </c:pt>
                <c:pt idx="1">
                  <c:v>2021</c:v>
                </c:pt>
                <c:pt idx="2">
                  <c:v>2022</c:v>
                </c:pt>
                <c:pt idx="3">
                  <c:v>2023</c:v>
                </c:pt>
                <c:pt idx="4">
                  <c:v>2024</c:v>
                </c:pt>
                <c:pt idx="5">
                  <c:v>2025</c:v>
                </c:pt>
                <c:pt idx="6">
                  <c:v>2026</c:v>
                </c:pt>
                <c:pt idx="7">
                  <c:v>2027</c:v>
                </c:pt>
                <c:pt idx="8">
                  <c:v>2028</c:v>
                </c:pt>
                <c:pt idx="9">
                  <c:v>2029</c:v>
                </c:pt>
                <c:pt idx="10">
                  <c:v>2030</c:v>
                </c:pt>
                <c:pt idx="11">
                  <c:v>2031</c:v>
                </c:pt>
                <c:pt idx="12">
                  <c:v>2032</c:v>
                </c:pt>
                <c:pt idx="13">
                  <c:v>2033</c:v>
                </c:pt>
                <c:pt idx="14">
                  <c:v>2034</c:v>
                </c:pt>
                <c:pt idx="15">
                  <c:v>2035</c:v>
                </c:pt>
                <c:pt idx="16">
                  <c:v>2036</c:v>
                </c:pt>
                <c:pt idx="17">
                  <c:v>2037</c:v>
                </c:pt>
                <c:pt idx="18">
                  <c:v>2038</c:v>
                </c:pt>
                <c:pt idx="19">
                  <c:v>2039</c:v>
                </c:pt>
                <c:pt idx="20">
                  <c:v>2040</c:v>
                </c:pt>
                <c:pt idx="21">
                  <c:v>2041</c:v>
                </c:pt>
                <c:pt idx="22">
                  <c:v>2042</c:v>
                </c:pt>
                <c:pt idx="23">
                  <c:v>2043</c:v>
                </c:pt>
                <c:pt idx="24">
                  <c:v>2044</c:v>
                </c:pt>
                <c:pt idx="25">
                  <c:v>2045</c:v>
                </c:pt>
                <c:pt idx="26">
                  <c:v>2046</c:v>
                </c:pt>
                <c:pt idx="27">
                  <c:v>2047</c:v>
                </c:pt>
                <c:pt idx="28">
                  <c:v>2048</c:v>
                </c:pt>
                <c:pt idx="29">
                  <c:v>2049</c:v>
                </c:pt>
                <c:pt idx="30">
                  <c:v>2050</c:v>
                </c:pt>
              </c:strCache>
            </c:strRef>
          </c:cat>
          <c:val>
            <c:numRef>
              <c:f>scenarios_data!$AF$8:$AF$39</c:f>
              <c:numCache>
                <c:formatCode>General</c:formatCode>
                <c:ptCount val="31"/>
                <c:pt idx="0">
                  <c:v>0</c:v>
                </c:pt>
                <c:pt idx="1">
                  <c:v>0</c:v>
                </c:pt>
                <c:pt idx="2">
                  <c:v>16.334499999999998</c:v>
                </c:pt>
                <c:pt idx="3">
                  <c:v>67.944699999999997</c:v>
                </c:pt>
                <c:pt idx="4">
                  <c:v>83.318299999999994</c:v>
                </c:pt>
                <c:pt idx="5">
                  <c:v>93.800899999999999</c:v>
                </c:pt>
                <c:pt idx="6">
                  <c:v>108.467</c:v>
                </c:pt>
                <c:pt idx="7">
                  <c:v>125.166</c:v>
                </c:pt>
                <c:pt idx="8">
                  <c:v>142.02099999999999</c:v>
                </c:pt>
                <c:pt idx="9">
                  <c:v>158.98099999999999</c:v>
                </c:pt>
                <c:pt idx="10">
                  <c:v>176.67099999999999</c:v>
                </c:pt>
                <c:pt idx="11">
                  <c:v>194.77</c:v>
                </c:pt>
                <c:pt idx="12">
                  <c:v>213.42400000000001</c:v>
                </c:pt>
                <c:pt idx="13">
                  <c:v>232.74799999999999</c:v>
                </c:pt>
                <c:pt idx="14">
                  <c:v>252.642</c:v>
                </c:pt>
                <c:pt idx="15">
                  <c:v>271.99200000000002</c:v>
                </c:pt>
                <c:pt idx="16">
                  <c:v>289.23</c:v>
                </c:pt>
                <c:pt idx="17">
                  <c:v>306.66000000000003</c:v>
                </c:pt>
                <c:pt idx="18">
                  <c:v>322.40499999999997</c:v>
                </c:pt>
                <c:pt idx="19">
                  <c:v>336.44099999999997</c:v>
                </c:pt>
                <c:pt idx="20">
                  <c:v>350.48</c:v>
                </c:pt>
                <c:pt idx="21">
                  <c:v>375.21100000000001</c:v>
                </c:pt>
                <c:pt idx="22">
                  <c:v>398.17399999999998</c:v>
                </c:pt>
                <c:pt idx="23">
                  <c:v>421.08</c:v>
                </c:pt>
                <c:pt idx="24">
                  <c:v>444.49299999999999</c:v>
                </c:pt>
                <c:pt idx="25">
                  <c:v>467.02300000000002</c:v>
                </c:pt>
                <c:pt idx="26">
                  <c:v>491.83800000000002</c:v>
                </c:pt>
                <c:pt idx="27">
                  <c:v>517.06500000000005</c:v>
                </c:pt>
                <c:pt idx="28">
                  <c:v>539.46400000000006</c:v>
                </c:pt>
                <c:pt idx="29">
                  <c:v>560.17499999999995</c:v>
                </c:pt>
                <c:pt idx="30">
                  <c:v>575.61500000000001</c:v>
                </c:pt>
              </c:numCache>
            </c:numRef>
          </c:val>
          <c:smooth val="0"/>
          <c:extLst>
            <c:ext xmlns:c16="http://schemas.microsoft.com/office/drawing/2014/chart" uri="{C3380CC4-5D6E-409C-BE32-E72D297353CC}">
              <c16:uniqueId val="{00000007-9289-44F7-804F-BDF5901D8CAD}"/>
            </c:ext>
          </c:extLst>
        </c:ser>
        <c:ser>
          <c:idx val="8"/>
          <c:order val="8"/>
          <c:tx>
            <c:strRef>
              <c:f>scenarios_data!$AG$6:$AG$7</c:f>
              <c:strCache>
                <c:ptCount val="1"/>
                <c:pt idx="0">
                  <c:v>SE.Asia</c:v>
                </c:pt>
              </c:strCache>
            </c:strRef>
          </c:tx>
          <c:spPr>
            <a:ln w="28575" cap="rnd">
              <a:solidFill>
                <a:schemeClr val="accent3">
                  <a:lumMod val="60000"/>
                </a:schemeClr>
              </a:solidFill>
              <a:round/>
            </a:ln>
            <a:effectLst/>
          </c:spPr>
          <c:marker>
            <c:symbol val="none"/>
          </c:marker>
          <c:cat>
            <c:strRef>
              <c:f>scenarios_data!$X$8:$X$39</c:f>
              <c:strCache>
                <c:ptCount val="31"/>
                <c:pt idx="0">
                  <c:v>2020</c:v>
                </c:pt>
                <c:pt idx="1">
                  <c:v>2021</c:v>
                </c:pt>
                <c:pt idx="2">
                  <c:v>2022</c:v>
                </c:pt>
                <c:pt idx="3">
                  <c:v>2023</c:v>
                </c:pt>
                <c:pt idx="4">
                  <c:v>2024</c:v>
                </c:pt>
                <c:pt idx="5">
                  <c:v>2025</c:v>
                </c:pt>
                <c:pt idx="6">
                  <c:v>2026</c:v>
                </c:pt>
                <c:pt idx="7">
                  <c:v>2027</c:v>
                </c:pt>
                <c:pt idx="8">
                  <c:v>2028</c:v>
                </c:pt>
                <c:pt idx="9">
                  <c:v>2029</c:v>
                </c:pt>
                <c:pt idx="10">
                  <c:v>2030</c:v>
                </c:pt>
                <c:pt idx="11">
                  <c:v>2031</c:v>
                </c:pt>
                <c:pt idx="12">
                  <c:v>2032</c:v>
                </c:pt>
                <c:pt idx="13">
                  <c:v>2033</c:v>
                </c:pt>
                <c:pt idx="14">
                  <c:v>2034</c:v>
                </c:pt>
                <c:pt idx="15">
                  <c:v>2035</c:v>
                </c:pt>
                <c:pt idx="16">
                  <c:v>2036</c:v>
                </c:pt>
                <c:pt idx="17">
                  <c:v>2037</c:v>
                </c:pt>
                <c:pt idx="18">
                  <c:v>2038</c:v>
                </c:pt>
                <c:pt idx="19">
                  <c:v>2039</c:v>
                </c:pt>
                <c:pt idx="20">
                  <c:v>2040</c:v>
                </c:pt>
                <c:pt idx="21">
                  <c:v>2041</c:v>
                </c:pt>
                <c:pt idx="22">
                  <c:v>2042</c:v>
                </c:pt>
                <c:pt idx="23">
                  <c:v>2043</c:v>
                </c:pt>
                <c:pt idx="24">
                  <c:v>2044</c:v>
                </c:pt>
                <c:pt idx="25">
                  <c:v>2045</c:v>
                </c:pt>
                <c:pt idx="26">
                  <c:v>2046</c:v>
                </c:pt>
                <c:pt idx="27">
                  <c:v>2047</c:v>
                </c:pt>
                <c:pt idx="28">
                  <c:v>2048</c:v>
                </c:pt>
                <c:pt idx="29">
                  <c:v>2049</c:v>
                </c:pt>
                <c:pt idx="30">
                  <c:v>2050</c:v>
                </c:pt>
              </c:strCache>
            </c:strRef>
          </c:cat>
          <c:val>
            <c:numRef>
              <c:f>scenarios_data!$AG$8:$AG$39</c:f>
              <c:numCache>
                <c:formatCode>General</c:formatCode>
                <c:ptCount val="31"/>
                <c:pt idx="0">
                  <c:v>0</c:v>
                </c:pt>
                <c:pt idx="1">
                  <c:v>0</c:v>
                </c:pt>
                <c:pt idx="2">
                  <c:v>36.792499999999997</c:v>
                </c:pt>
                <c:pt idx="3">
                  <c:v>135.69999999999999</c:v>
                </c:pt>
                <c:pt idx="4">
                  <c:v>152.72900000000001</c:v>
                </c:pt>
                <c:pt idx="5">
                  <c:v>160.29499999999999</c:v>
                </c:pt>
                <c:pt idx="6">
                  <c:v>174.73699999999999</c:v>
                </c:pt>
                <c:pt idx="7">
                  <c:v>191.745</c:v>
                </c:pt>
                <c:pt idx="8">
                  <c:v>208.32400000000001</c:v>
                </c:pt>
                <c:pt idx="9">
                  <c:v>224.54400000000001</c:v>
                </c:pt>
                <c:pt idx="10">
                  <c:v>241.34</c:v>
                </c:pt>
                <c:pt idx="11">
                  <c:v>258.3</c:v>
                </c:pt>
                <c:pt idx="12">
                  <c:v>275.642</c:v>
                </c:pt>
                <c:pt idx="13">
                  <c:v>293.51900000000001</c:v>
                </c:pt>
                <c:pt idx="14">
                  <c:v>311.80799999999999</c:v>
                </c:pt>
                <c:pt idx="15">
                  <c:v>329.17399999999998</c:v>
                </c:pt>
                <c:pt idx="16">
                  <c:v>343.83499999999998</c:v>
                </c:pt>
                <c:pt idx="17">
                  <c:v>358.62700000000001</c:v>
                </c:pt>
                <c:pt idx="18">
                  <c:v>371.4</c:v>
                </c:pt>
                <c:pt idx="19">
                  <c:v>382.21800000000002</c:v>
                </c:pt>
                <c:pt idx="20">
                  <c:v>393.06900000000002</c:v>
                </c:pt>
                <c:pt idx="21">
                  <c:v>415.73899999999998</c:v>
                </c:pt>
                <c:pt idx="22">
                  <c:v>436.233</c:v>
                </c:pt>
                <c:pt idx="23">
                  <c:v>456.49599999999998</c:v>
                </c:pt>
                <c:pt idx="24">
                  <c:v>477.15</c:v>
                </c:pt>
                <c:pt idx="25">
                  <c:v>496.72300000000001</c:v>
                </c:pt>
                <c:pt idx="26">
                  <c:v>518.6</c:v>
                </c:pt>
                <c:pt idx="27">
                  <c:v>540.76400000000001</c:v>
                </c:pt>
                <c:pt idx="28">
                  <c:v>559.87</c:v>
                </c:pt>
                <c:pt idx="29">
                  <c:v>577.16099999999994</c:v>
                </c:pt>
                <c:pt idx="30">
                  <c:v>589.02800000000002</c:v>
                </c:pt>
              </c:numCache>
            </c:numRef>
          </c:val>
          <c:smooth val="0"/>
          <c:extLst>
            <c:ext xmlns:c16="http://schemas.microsoft.com/office/drawing/2014/chart" uri="{C3380CC4-5D6E-409C-BE32-E72D297353CC}">
              <c16:uniqueId val="{00000008-9289-44F7-804F-BDF5901D8CAD}"/>
            </c:ext>
          </c:extLst>
        </c:ser>
        <c:ser>
          <c:idx val="9"/>
          <c:order val="9"/>
          <c:tx>
            <c:strRef>
              <c:f>scenarios_data!$AH$6:$AH$7</c:f>
              <c:strCache>
                <c:ptCount val="1"/>
                <c:pt idx="0">
                  <c:v>South Africa</c:v>
                </c:pt>
              </c:strCache>
            </c:strRef>
          </c:tx>
          <c:spPr>
            <a:ln w="28575" cap="rnd">
              <a:solidFill>
                <a:schemeClr val="accent4">
                  <a:lumMod val="60000"/>
                </a:schemeClr>
              </a:solidFill>
              <a:round/>
            </a:ln>
            <a:effectLst/>
          </c:spPr>
          <c:marker>
            <c:symbol val="none"/>
          </c:marker>
          <c:cat>
            <c:strRef>
              <c:f>scenarios_data!$X$8:$X$39</c:f>
              <c:strCache>
                <c:ptCount val="31"/>
                <c:pt idx="0">
                  <c:v>2020</c:v>
                </c:pt>
                <c:pt idx="1">
                  <c:v>2021</c:v>
                </c:pt>
                <c:pt idx="2">
                  <c:v>2022</c:v>
                </c:pt>
                <c:pt idx="3">
                  <c:v>2023</c:v>
                </c:pt>
                <c:pt idx="4">
                  <c:v>2024</c:v>
                </c:pt>
                <c:pt idx="5">
                  <c:v>2025</c:v>
                </c:pt>
                <c:pt idx="6">
                  <c:v>2026</c:v>
                </c:pt>
                <c:pt idx="7">
                  <c:v>2027</c:v>
                </c:pt>
                <c:pt idx="8">
                  <c:v>2028</c:v>
                </c:pt>
                <c:pt idx="9">
                  <c:v>2029</c:v>
                </c:pt>
                <c:pt idx="10">
                  <c:v>2030</c:v>
                </c:pt>
                <c:pt idx="11">
                  <c:v>2031</c:v>
                </c:pt>
                <c:pt idx="12">
                  <c:v>2032</c:v>
                </c:pt>
                <c:pt idx="13">
                  <c:v>2033</c:v>
                </c:pt>
                <c:pt idx="14">
                  <c:v>2034</c:v>
                </c:pt>
                <c:pt idx="15">
                  <c:v>2035</c:v>
                </c:pt>
                <c:pt idx="16">
                  <c:v>2036</c:v>
                </c:pt>
                <c:pt idx="17">
                  <c:v>2037</c:v>
                </c:pt>
                <c:pt idx="18">
                  <c:v>2038</c:v>
                </c:pt>
                <c:pt idx="19">
                  <c:v>2039</c:v>
                </c:pt>
                <c:pt idx="20">
                  <c:v>2040</c:v>
                </c:pt>
                <c:pt idx="21">
                  <c:v>2041</c:v>
                </c:pt>
                <c:pt idx="22">
                  <c:v>2042</c:v>
                </c:pt>
                <c:pt idx="23">
                  <c:v>2043</c:v>
                </c:pt>
                <c:pt idx="24">
                  <c:v>2044</c:v>
                </c:pt>
                <c:pt idx="25">
                  <c:v>2045</c:v>
                </c:pt>
                <c:pt idx="26">
                  <c:v>2046</c:v>
                </c:pt>
                <c:pt idx="27">
                  <c:v>2047</c:v>
                </c:pt>
                <c:pt idx="28">
                  <c:v>2048</c:v>
                </c:pt>
                <c:pt idx="29">
                  <c:v>2049</c:v>
                </c:pt>
                <c:pt idx="30">
                  <c:v>2050</c:v>
                </c:pt>
              </c:strCache>
            </c:strRef>
          </c:cat>
          <c:val>
            <c:numRef>
              <c:f>scenarios_data!$AH$8:$AH$39</c:f>
              <c:numCache>
                <c:formatCode>General</c:formatCode>
                <c:ptCount val="31"/>
                <c:pt idx="0">
                  <c:v>0</c:v>
                </c:pt>
                <c:pt idx="1">
                  <c:v>0</c:v>
                </c:pt>
                <c:pt idx="2">
                  <c:v>54.448300000000003</c:v>
                </c:pt>
                <c:pt idx="3">
                  <c:v>196.68199999999999</c:v>
                </c:pt>
                <c:pt idx="4">
                  <c:v>214.608</c:v>
                </c:pt>
                <c:pt idx="5">
                  <c:v>218.869</c:v>
                </c:pt>
                <c:pt idx="6">
                  <c:v>232.428</c:v>
                </c:pt>
                <c:pt idx="7">
                  <c:v>248.98599999999999</c:v>
                </c:pt>
                <c:pt idx="8">
                  <c:v>264.548</c:v>
                </c:pt>
                <c:pt idx="9">
                  <c:v>279.29500000000002</c:v>
                </c:pt>
                <c:pt idx="10">
                  <c:v>294.45299999999997</c:v>
                </c:pt>
                <c:pt idx="11">
                  <c:v>309.51799999999997</c:v>
                </c:pt>
                <c:pt idx="12">
                  <c:v>324.77600000000001</c:v>
                </c:pt>
                <c:pt idx="13">
                  <c:v>340.41399999999999</c:v>
                </c:pt>
                <c:pt idx="14">
                  <c:v>356.28899999999999</c:v>
                </c:pt>
                <c:pt idx="15">
                  <c:v>370.89800000000002</c:v>
                </c:pt>
                <c:pt idx="16">
                  <c:v>382.31599999999997</c:v>
                </c:pt>
                <c:pt idx="17">
                  <c:v>393.798</c:v>
                </c:pt>
                <c:pt idx="18">
                  <c:v>403.00700000000001</c:v>
                </c:pt>
                <c:pt idx="19">
                  <c:v>410.09</c:v>
                </c:pt>
                <c:pt idx="20">
                  <c:v>417.238</c:v>
                </c:pt>
                <c:pt idx="21">
                  <c:v>436.89299999999997</c:v>
                </c:pt>
                <c:pt idx="22">
                  <c:v>454.05799999999999</c:v>
                </c:pt>
                <c:pt idx="23">
                  <c:v>470.82799999999997</c:v>
                </c:pt>
                <c:pt idx="24">
                  <c:v>487.858</c:v>
                </c:pt>
                <c:pt idx="25">
                  <c:v>504.608</c:v>
                </c:pt>
                <c:pt idx="26">
                  <c:v>533.85299999999995</c:v>
                </c:pt>
                <c:pt idx="27">
                  <c:v>552.39400000000001</c:v>
                </c:pt>
                <c:pt idx="28">
                  <c:v>567.70000000000005</c:v>
                </c:pt>
                <c:pt idx="29">
                  <c:v>581.101</c:v>
                </c:pt>
                <c:pt idx="30">
                  <c:v>589.02800000000002</c:v>
                </c:pt>
              </c:numCache>
            </c:numRef>
          </c:val>
          <c:smooth val="0"/>
          <c:extLst>
            <c:ext xmlns:c16="http://schemas.microsoft.com/office/drawing/2014/chart" uri="{C3380CC4-5D6E-409C-BE32-E72D297353CC}">
              <c16:uniqueId val="{00000009-9289-44F7-804F-BDF5901D8CAD}"/>
            </c:ext>
          </c:extLst>
        </c:ser>
        <c:ser>
          <c:idx val="10"/>
          <c:order val="10"/>
          <c:tx>
            <c:strRef>
              <c:f>scenarios_data!$AI$6:$AI$7</c:f>
              <c:strCache>
                <c:ptCount val="1"/>
                <c:pt idx="0">
                  <c:v>W.Africa</c:v>
                </c:pt>
              </c:strCache>
            </c:strRef>
          </c:tx>
          <c:spPr>
            <a:ln w="28575" cap="rnd">
              <a:solidFill>
                <a:schemeClr val="accent5">
                  <a:lumMod val="60000"/>
                </a:schemeClr>
              </a:solidFill>
              <a:round/>
            </a:ln>
            <a:effectLst/>
          </c:spPr>
          <c:marker>
            <c:symbol val="none"/>
          </c:marker>
          <c:cat>
            <c:strRef>
              <c:f>scenarios_data!$X$8:$X$39</c:f>
              <c:strCache>
                <c:ptCount val="31"/>
                <c:pt idx="0">
                  <c:v>2020</c:v>
                </c:pt>
                <c:pt idx="1">
                  <c:v>2021</c:v>
                </c:pt>
                <c:pt idx="2">
                  <c:v>2022</c:v>
                </c:pt>
                <c:pt idx="3">
                  <c:v>2023</c:v>
                </c:pt>
                <c:pt idx="4">
                  <c:v>2024</c:v>
                </c:pt>
                <c:pt idx="5">
                  <c:v>2025</c:v>
                </c:pt>
                <c:pt idx="6">
                  <c:v>2026</c:v>
                </c:pt>
                <c:pt idx="7">
                  <c:v>2027</c:v>
                </c:pt>
                <c:pt idx="8">
                  <c:v>2028</c:v>
                </c:pt>
                <c:pt idx="9">
                  <c:v>2029</c:v>
                </c:pt>
                <c:pt idx="10">
                  <c:v>2030</c:v>
                </c:pt>
                <c:pt idx="11">
                  <c:v>2031</c:v>
                </c:pt>
                <c:pt idx="12">
                  <c:v>2032</c:v>
                </c:pt>
                <c:pt idx="13">
                  <c:v>2033</c:v>
                </c:pt>
                <c:pt idx="14">
                  <c:v>2034</c:v>
                </c:pt>
                <c:pt idx="15">
                  <c:v>2035</c:v>
                </c:pt>
                <c:pt idx="16">
                  <c:v>2036</c:v>
                </c:pt>
                <c:pt idx="17">
                  <c:v>2037</c:v>
                </c:pt>
                <c:pt idx="18">
                  <c:v>2038</c:v>
                </c:pt>
                <c:pt idx="19">
                  <c:v>2039</c:v>
                </c:pt>
                <c:pt idx="20">
                  <c:v>2040</c:v>
                </c:pt>
                <c:pt idx="21">
                  <c:v>2041</c:v>
                </c:pt>
                <c:pt idx="22">
                  <c:v>2042</c:v>
                </c:pt>
                <c:pt idx="23">
                  <c:v>2043</c:v>
                </c:pt>
                <c:pt idx="24">
                  <c:v>2044</c:v>
                </c:pt>
                <c:pt idx="25">
                  <c:v>2045</c:v>
                </c:pt>
                <c:pt idx="26">
                  <c:v>2046</c:v>
                </c:pt>
                <c:pt idx="27">
                  <c:v>2047</c:v>
                </c:pt>
                <c:pt idx="28">
                  <c:v>2048</c:v>
                </c:pt>
                <c:pt idx="29">
                  <c:v>2049</c:v>
                </c:pt>
                <c:pt idx="30">
                  <c:v>2050</c:v>
                </c:pt>
              </c:strCache>
            </c:strRef>
          </c:cat>
          <c:val>
            <c:numRef>
              <c:f>scenarios_data!$AI$8:$AI$39</c:f>
              <c:numCache>
                <c:formatCode>General</c:formatCode>
                <c:ptCount val="31"/>
                <c:pt idx="0">
                  <c:v>0</c:v>
                </c:pt>
                <c:pt idx="1">
                  <c:v>0</c:v>
                </c:pt>
                <c:pt idx="2">
                  <c:v>16.334499999999998</c:v>
                </c:pt>
                <c:pt idx="3">
                  <c:v>67.944699999999997</c:v>
                </c:pt>
                <c:pt idx="4">
                  <c:v>83.318299999999994</c:v>
                </c:pt>
                <c:pt idx="5">
                  <c:v>93.800799999999995</c:v>
                </c:pt>
                <c:pt idx="6">
                  <c:v>108.467</c:v>
                </c:pt>
                <c:pt idx="7">
                  <c:v>125.166</c:v>
                </c:pt>
                <c:pt idx="8">
                  <c:v>142.02099999999999</c:v>
                </c:pt>
                <c:pt idx="9">
                  <c:v>158.98400000000001</c:v>
                </c:pt>
                <c:pt idx="10">
                  <c:v>176.67099999999999</c:v>
                </c:pt>
                <c:pt idx="11">
                  <c:v>194.77</c:v>
                </c:pt>
                <c:pt idx="12">
                  <c:v>213.42400000000001</c:v>
                </c:pt>
                <c:pt idx="13">
                  <c:v>232.74799999999999</c:v>
                </c:pt>
                <c:pt idx="14">
                  <c:v>252.642</c:v>
                </c:pt>
                <c:pt idx="15">
                  <c:v>271.99200000000002</c:v>
                </c:pt>
                <c:pt idx="16">
                  <c:v>289.23</c:v>
                </c:pt>
                <c:pt idx="17">
                  <c:v>306.66000000000003</c:v>
                </c:pt>
                <c:pt idx="18">
                  <c:v>322.40499999999997</c:v>
                </c:pt>
                <c:pt idx="19">
                  <c:v>336.44099999999997</c:v>
                </c:pt>
                <c:pt idx="20">
                  <c:v>350.48</c:v>
                </c:pt>
                <c:pt idx="21">
                  <c:v>375.21300000000002</c:v>
                </c:pt>
                <c:pt idx="22">
                  <c:v>398.17399999999998</c:v>
                </c:pt>
                <c:pt idx="23">
                  <c:v>421.08</c:v>
                </c:pt>
                <c:pt idx="24">
                  <c:v>444.49299999999999</c:v>
                </c:pt>
                <c:pt idx="25">
                  <c:v>467.02300000000002</c:v>
                </c:pt>
                <c:pt idx="26">
                  <c:v>491.83800000000002</c:v>
                </c:pt>
                <c:pt idx="27">
                  <c:v>517.06500000000005</c:v>
                </c:pt>
                <c:pt idx="28">
                  <c:v>539.46400000000006</c:v>
                </c:pt>
                <c:pt idx="29">
                  <c:v>560.17499999999995</c:v>
                </c:pt>
                <c:pt idx="30">
                  <c:v>575.61500000000001</c:v>
                </c:pt>
              </c:numCache>
            </c:numRef>
          </c:val>
          <c:smooth val="0"/>
          <c:extLst>
            <c:ext xmlns:c16="http://schemas.microsoft.com/office/drawing/2014/chart" uri="{C3380CC4-5D6E-409C-BE32-E72D297353CC}">
              <c16:uniqueId val="{0000000A-9289-44F7-804F-BDF5901D8CAD}"/>
            </c:ext>
          </c:extLst>
        </c:ser>
        <c:dLbls>
          <c:showLegendKey val="0"/>
          <c:showVal val="0"/>
          <c:showCatName val="0"/>
          <c:showSerName val="0"/>
          <c:showPercent val="0"/>
          <c:showBubbleSize val="0"/>
        </c:dLbls>
        <c:smooth val="0"/>
        <c:axId val="492058768"/>
        <c:axId val="492064672"/>
      </c:lineChart>
      <c:catAx>
        <c:axId val="492058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492064672"/>
        <c:crosses val="autoZero"/>
        <c:auto val="1"/>
        <c:lblAlgn val="ctr"/>
        <c:lblOffset val="100"/>
        <c:noMultiLvlLbl val="0"/>
      </c:catAx>
      <c:valAx>
        <c:axId val="492064672"/>
        <c:scaling>
          <c:orientation val="minMax"/>
          <c:max val="600"/>
        </c:scaling>
        <c:delete val="0"/>
        <c:axPos val="l"/>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US" sz="1200" baseline="0"/>
                  <a:t>Carbon Tax (us$/tC)</a:t>
                </a:r>
              </a:p>
              <a:p>
                <a:pPr>
                  <a:defRPr sz="1200"/>
                </a:pPr>
                <a:endParaRPr lang="en-US" sz="1200" baseline="0"/>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492058768"/>
        <c:crosses val="autoZero"/>
        <c:crossBetween val="between"/>
      </c:valAx>
      <c:spPr>
        <a:noFill/>
        <a:ln>
          <a:noFill/>
        </a:ln>
        <a:effectLst/>
      </c:spPr>
    </c:plotArea>
    <c:legend>
      <c:legendPos val="r"/>
      <c:layout>
        <c:manualLayout>
          <c:xMode val="edge"/>
          <c:yMode val="edge"/>
          <c:x val="0.80078345045578991"/>
          <c:y val="1.8513826711258414E-2"/>
          <c:w val="0.17988815914139761"/>
          <c:h val="0.944251666528261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E7C1C-B1C2-41A9-99C2-9DD2FF56A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2813</Words>
  <Characters>16631</Characters>
  <Application>Microsoft Office Word</Application>
  <DocSecurity>0</DocSecurity>
  <Lines>1039</Lines>
  <Paragraphs>810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Zapata Castillo, V.H. (Victhalia)</dc:creator>
  <cp:keywords/>
  <dc:description/>
  <cp:lastModifiedBy>Zapata Castillo, V.H. (Victhalia)</cp:lastModifiedBy>
  <cp:revision>80</cp:revision>
  <dcterms:created xsi:type="dcterms:W3CDTF">2023-07-06T12:57:00Z</dcterms:created>
  <dcterms:modified xsi:type="dcterms:W3CDTF">2023-09-07T10:21:00Z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 6th edition</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17th edition (author-date)</vt:lpwstr>
  </property>
  <property fmtid="{D5CDD505-2E9C-101B-9397-08002B2CF9AE}" pid="6" name="Mendeley Recent Style Id 2_1">
    <vt:lpwstr>http://www.zotero.org/styles/harvard-cite-them-right</vt:lpwstr>
  </property>
  <property fmtid="{D5CDD505-2E9C-101B-9397-08002B2CF9AE}" pid="7" name="Mendeley Recent Style Name 2_1">
    <vt:lpwstr>Cite Them Right 10th edition - Harvard</vt:lpwstr>
  </property>
  <property fmtid="{D5CDD505-2E9C-101B-9397-08002B2CF9AE}" pid="8" name="Mendeley Recent Style Id 3_1">
    <vt:lpwstr>http://www.zotero.org/styles/energy</vt:lpwstr>
  </property>
  <property fmtid="{D5CDD505-2E9C-101B-9397-08002B2CF9AE}" pid="9" name="Mendeley Recent Style Name 3_1">
    <vt:lpwstr>Energy</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756b854a-b072-3c70-97af-2dc502834269</vt:lpwstr>
  </property>
  <property fmtid="{D5CDD505-2E9C-101B-9397-08002B2CF9AE}" pid="24" name="Mendeley Citation Style_1">
    <vt:lpwstr>http://www.zotero.org/styles/energy</vt:lpwstr>
  </property>
  <property fmtid="{D5CDD505-2E9C-101B-9397-08002B2CF9AE}" pid="25" name="GrammarlyDocumentId">
    <vt:lpwstr>8232dcdc0b45d984f66ee7781f760fafbe27efed19456abf4366684daef593ef</vt:lpwstr>
  </property>
</Properties>
</file>